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397510</wp:posOffset>
            </wp:positionH>
            <wp:positionV relativeFrom="paragraph">
              <wp:posOffset>109855</wp:posOffset>
            </wp:positionV>
            <wp:extent cx="63474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347460" cy="8255"/>
                    </a:xfrm>
                    <a:prstGeom prst="rect">
                      <a:avLst/>
                    </a:prstGeom>
                    <a:noFill/>
                  </pic:spPr>
                </pic:pic>
              </a:graphicData>
            </a:graphic>
          </wp:anchor>
        </w:drawing>
        <w:drawing>
          <wp:anchor simplePos="0" relativeHeight="251657728" behindDoc="1" locked="0" layoutInCell="0" allowOverlap="1">
            <wp:simplePos x="0" y="0"/>
            <wp:positionH relativeFrom="column">
              <wp:posOffset>397510</wp:posOffset>
            </wp:positionH>
            <wp:positionV relativeFrom="paragraph">
              <wp:posOffset>76835</wp:posOffset>
            </wp:positionV>
            <wp:extent cx="63474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347460" cy="8255"/>
                    </a:xfrm>
                    <a:prstGeom prst="rect">
                      <a:avLst/>
                    </a:prstGeom>
                    <a:noFill/>
                  </pic:spPr>
                </pic:pic>
              </a:graphicData>
            </a:graphic>
          </wp:anchor>
        </w:drawing>
      </w:r>
    </w:p>
    <w:p>
      <w:pPr>
        <w:spacing w:after="0" w:line="22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1"/>
          <w:szCs w:val="31"/>
          <w:b w:val="1"/>
          <w:bCs w:val="1"/>
          <w:color w:val="auto"/>
        </w:rPr>
        <w:t>UNITED STATES</w:t>
      </w:r>
    </w:p>
    <w:p>
      <w:pPr>
        <w:spacing w:after="0" w:line="4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1"/>
          <w:szCs w:val="31"/>
          <w:b w:val="1"/>
          <w:bCs w:val="1"/>
          <w:color w:val="auto"/>
        </w:rPr>
        <w:t>SECURITIES AND EXCHANGE COMMISSION</w:t>
      </w:r>
    </w:p>
    <w:p>
      <w:pPr>
        <w:spacing w:after="0" w:line="1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Washington, D.C. 20549</w:t>
      </w:r>
    </w:p>
    <w:p>
      <w:pPr>
        <w:spacing w:after="0" w:line="35" w:lineRule="exact"/>
        <w:rPr>
          <w:sz w:val="24"/>
          <w:szCs w:val="24"/>
          <w:color w:val="auto"/>
        </w:rPr>
      </w:pPr>
    </w:p>
    <w:p>
      <w:pPr>
        <w:ind w:left="4580"/>
        <w:spacing w:after="0"/>
        <w:rPr>
          <w:sz w:val="20"/>
          <w:szCs w:val="20"/>
          <w:color w:val="auto"/>
        </w:rPr>
      </w:pPr>
      <w:r>
        <w:rPr>
          <w:rFonts w:ascii="Times New Roman" w:cs="Times New Roman" w:eastAsia="Times New Roman" w:hAnsi="Times New Roman"/>
          <w:sz w:val="17"/>
          <w:szCs w:val="17"/>
          <w:color w:val="auto"/>
        </w:rPr>
        <w:t>________________________</w:t>
      </w:r>
    </w:p>
    <w:p>
      <w:pPr>
        <w:spacing w:after="0" w:line="8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1"/>
          <w:szCs w:val="31"/>
          <w:b w:val="1"/>
          <w:bCs w:val="1"/>
          <w:color w:val="auto"/>
        </w:rPr>
        <w:t>FORM 10-Q</w:t>
      </w:r>
    </w:p>
    <w:p>
      <w:pPr>
        <w:spacing w:after="0" w:line="87" w:lineRule="exact"/>
        <w:rPr>
          <w:sz w:val="24"/>
          <w:szCs w:val="24"/>
          <w:color w:val="auto"/>
        </w:rPr>
      </w:pPr>
    </w:p>
    <w:p>
      <w:pPr>
        <w:ind w:left="4580"/>
        <w:spacing w:after="0"/>
        <w:rPr>
          <w:sz w:val="20"/>
          <w:szCs w:val="20"/>
          <w:color w:val="auto"/>
        </w:rPr>
      </w:pPr>
      <w:r>
        <w:rPr>
          <w:rFonts w:ascii="Times New Roman" w:cs="Times New Roman" w:eastAsia="Times New Roman" w:hAnsi="Times New Roman"/>
          <w:sz w:val="17"/>
          <w:szCs w:val="17"/>
          <w:color w:val="auto"/>
        </w:rPr>
        <w:t>________________________</w:t>
      </w:r>
    </w:p>
    <w:p>
      <w:pPr>
        <w:spacing w:after="0" w:line="6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(Mark One)</w:t>
      </w:r>
    </w:p>
    <w:p>
      <w:pPr>
        <w:spacing w:after="0" w:line="258" w:lineRule="exact"/>
        <w:rPr>
          <w:sz w:val="24"/>
          <w:szCs w:val="24"/>
          <w:color w:val="auto"/>
        </w:rPr>
      </w:pPr>
    </w:p>
    <w:p>
      <w:pPr>
        <w:ind w:left="900" w:right="2160" w:hanging="879"/>
        <w:spacing w:after="0" w:line="405" w:lineRule="auto"/>
        <w:tabs>
          <w:tab w:leader="none" w:pos="291"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b w:val="1"/>
          <w:bCs w:val="1"/>
          <w:color w:val="auto"/>
        </w:rPr>
        <w:t>QUARTERLY REPORT PURSUANT TO SECTION 13 OR 15(d) OF THE SECURITIES EXCHANGE ACT OF 1934 For the quarterly period ended September 30, 2024</w:t>
      </w:r>
    </w:p>
    <w:p>
      <w:pPr>
        <w:spacing w:after="0" w:line="1" w:lineRule="exact"/>
        <w:rPr>
          <w:sz w:val="24"/>
          <w:szCs w:val="24"/>
          <w:color w:val="auto"/>
        </w:rPr>
      </w:pPr>
    </w:p>
    <w:p>
      <w:pPr>
        <w:ind w:left="6140"/>
        <w:spacing w:after="0"/>
        <w:rPr>
          <w:sz w:val="20"/>
          <w:szCs w:val="20"/>
          <w:color w:val="auto"/>
        </w:rPr>
      </w:pPr>
      <w:r>
        <w:rPr>
          <w:rFonts w:ascii="Times New Roman" w:cs="Times New Roman" w:eastAsia="Times New Roman" w:hAnsi="Times New Roman"/>
          <w:sz w:val="17"/>
          <w:szCs w:val="17"/>
          <w:b w:val="1"/>
          <w:bCs w:val="1"/>
          <w:color w:val="auto"/>
        </w:rPr>
        <w:t>or</w:t>
      </w:r>
    </w:p>
    <w:p>
      <w:pPr>
        <w:spacing w:after="0" w:line="193" w:lineRule="exact"/>
        <w:rPr>
          <w:sz w:val="24"/>
          <w:szCs w:val="24"/>
          <w:color w:val="auto"/>
        </w:rPr>
      </w:pPr>
    </w:p>
    <w:p>
      <w:pPr>
        <w:ind w:left="300" w:right="2160" w:hanging="279"/>
        <w:spacing w:after="0" w:line="232" w:lineRule="auto"/>
        <w:tabs>
          <w:tab w:leader="none" w:pos="300" w:val="left"/>
        </w:tabs>
        <w:numPr>
          <w:ilvl w:val="0"/>
          <w:numId w:val="2"/>
        </w:numPr>
        <w:rPr>
          <w:rFonts w:ascii="Wingdings" w:cs="Wingdings" w:eastAsia="Wingdings" w:hAnsi="Wingdings"/>
          <w:sz w:val="35"/>
          <w:szCs w:val="35"/>
          <w:b w:val="1"/>
          <w:bCs w:val="1"/>
          <w:color w:val="auto"/>
          <w:vertAlign w:val="subscript"/>
        </w:rPr>
      </w:pPr>
      <w:r>
        <w:rPr>
          <w:rFonts w:ascii="Times New Roman" w:cs="Times New Roman" w:eastAsia="Times New Roman" w:hAnsi="Times New Roman"/>
          <w:sz w:val="17"/>
          <w:szCs w:val="17"/>
          <w:b w:val="1"/>
          <w:bCs w:val="1"/>
          <w:color w:val="auto"/>
        </w:rPr>
        <w:t>TRANSITION REPORT PURSUANT TO SECTION 13 OR 15(d) OF THE SECURITIES EXCHANGE ACT OF 1934 For the transition period from ____________ to ____________</w:t>
      </w:r>
    </w:p>
    <w:p>
      <w:pPr>
        <w:spacing w:after="0" w:line="356" w:lineRule="exact"/>
        <w:rPr>
          <w:rFonts w:ascii="Wingdings" w:cs="Wingdings" w:eastAsia="Wingdings" w:hAnsi="Wingdings"/>
          <w:sz w:val="35"/>
          <w:szCs w:val="35"/>
          <w:b w:val="1"/>
          <w:bCs w:val="1"/>
          <w:color w:val="auto"/>
          <w:vertAlign w:val="subscript"/>
        </w:rPr>
      </w:pPr>
    </w:p>
    <w:p>
      <w:pPr>
        <w:ind w:left="280"/>
        <w:spacing w:after="0"/>
        <w:rPr>
          <w:rFonts w:ascii="Wingdings" w:cs="Wingdings" w:eastAsia="Wingdings" w:hAnsi="Wingdings"/>
          <w:sz w:val="35"/>
          <w:szCs w:val="35"/>
          <w:b w:val="1"/>
          <w:bCs w:val="1"/>
          <w:color w:val="auto"/>
          <w:vertAlign w:val="subscript"/>
        </w:rPr>
      </w:pPr>
      <w:r>
        <w:rPr>
          <w:rFonts w:ascii="Times New Roman" w:cs="Times New Roman" w:eastAsia="Times New Roman" w:hAnsi="Times New Roman"/>
          <w:sz w:val="17"/>
          <w:szCs w:val="17"/>
          <w:b w:val="1"/>
          <w:bCs w:val="1"/>
          <w:color w:val="auto"/>
        </w:rPr>
        <w:t>Commission File Number: 001-00395</w:t>
      </w:r>
    </w:p>
    <w:p>
      <w:pPr>
        <w:spacing w:after="0" w:line="92" w:lineRule="exact"/>
        <w:rPr>
          <w:sz w:val="24"/>
          <w:szCs w:val="24"/>
          <w:color w:val="auto"/>
        </w:rPr>
      </w:pPr>
    </w:p>
    <w:p>
      <w:pPr>
        <w:ind w:left="4600"/>
        <w:spacing w:after="0"/>
        <w:rPr>
          <w:sz w:val="20"/>
          <w:szCs w:val="20"/>
          <w:color w:val="auto"/>
        </w:rPr>
      </w:pPr>
      <w:r>
        <w:rPr>
          <w:rFonts w:ascii="Times New Roman" w:cs="Times New Roman" w:eastAsia="Times New Roman" w:hAnsi="Times New Roman"/>
          <w:sz w:val="17"/>
          <w:szCs w:val="17"/>
          <w:color w:val="auto"/>
        </w:rPr>
        <w:t>________________________</w:t>
      </w:r>
    </w:p>
    <w:p>
      <w:pPr>
        <w:spacing w:after="0" w:line="34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1"/>
          <w:szCs w:val="31"/>
          <w:b w:val="1"/>
          <w:bCs w:val="1"/>
          <w:color w:val="auto"/>
        </w:rPr>
        <w:t>NCR VOYIX CORPORATION</w:t>
      </w:r>
    </w:p>
    <w:p>
      <w:pPr>
        <w:spacing w:after="0" w:line="5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(Exact name of registrant as specified in its charter)</w:t>
      </w:r>
    </w:p>
    <w:p>
      <w:pPr>
        <w:spacing w:after="0" w:line="44" w:lineRule="exact"/>
        <w:rPr>
          <w:sz w:val="24"/>
          <w:szCs w:val="24"/>
          <w:color w:val="auto"/>
        </w:rPr>
      </w:pPr>
    </w:p>
    <w:p>
      <w:pPr>
        <w:ind w:left="4580"/>
        <w:spacing w:after="0"/>
        <w:rPr>
          <w:sz w:val="20"/>
          <w:szCs w:val="20"/>
          <w:color w:val="auto"/>
        </w:rPr>
      </w:pPr>
      <w:r>
        <w:rPr>
          <w:rFonts w:ascii="Times New Roman" w:cs="Times New Roman" w:eastAsia="Times New Roman" w:hAnsi="Times New Roman"/>
          <w:sz w:val="17"/>
          <w:szCs w:val="17"/>
          <w:color w:val="auto"/>
        </w:rPr>
        <w:t>________________________</w:t>
      </w:r>
    </w:p>
    <w:p>
      <w:pPr>
        <w:sectPr>
          <w:pgSz w:w="11900" w:h="16838" w:orient="portrait"/>
          <w:cols w:equalWidth="0" w:num="1">
            <w:col w:w="11240"/>
          </w:cols>
          <w:pgMar w:left="320" w:top="221" w:right="339" w:bottom="45" w:gutter="0" w:footer="0" w:header="0"/>
        </w:sectPr>
      </w:pPr>
    </w:p>
    <w:p>
      <w:pPr>
        <w:spacing w:after="0" w:line="200" w:lineRule="exact"/>
        <w:rPr>
          <w:sz w:val="24"/>
          <w:szCs w:val="24"/>
          <w:color w:val="auto"/>
        </w:rPr>
      </w:pPr>
    </w:p>
    <w:p>
      <w:pPr>
        <w:spacing w:after="0" w:line="290" w:lineRule="exact"/>
        <w:rPr>
          <w:sz w:val="24"/>
          <w:szCs w:val="24"/>
          <w:color w:val="auto"/>
        </w:rPr>
      </w:pPr>
    </w:p>
    <w:p>
      <w:pPr>
        <w:ind w:left="2560"/>
        <w:spacing w:after="0"/>
        <w:rPr>
          <w:sz w:val="20"/>
          <w:szCs w:val="20"/>
          <w:color w:val="auto"/>
        </w:rPr>
      </w:pPr>
      <w:r>
        <w:rPr>
          <w:rFonts w:ascii="Times New Roman" w:cs="Times New Roman" w:eastAsia="Times New Roman" w:hAnsi="Times New Roman"/>
          <w:sz w:val="17"/>
          <w:szCs w:val="17"/>
          <w:b w:val="1"/>
          <w:bCs w:val="1"/>
          <w:color w:val="auto"/>
        </w:rPr>
        <w:t>Maryland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7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31-0387920</w:t>
      </w:r>
    </w:p>
    <w:p>
      <w:pPr>
        <w:spacing w:after="0" w:line="8" w:lineRule="exact"/>
        <w:rPr>
          <w:sz w:val="24"/>
          <w:szCs w:val="24"/>
          <w:color w:val="auto"/>
        </w:rPr>
      </w:pPr>
    </w:p>
    <w:p>
      <w:pPr>
        <w:sectPr>
          <w:pgSz w:w="11900" w:h="16838" w:orient="portrait"/>
          <w:cols w:equalWidth="0" w:num="2">
            <w:col w:w="7340" w:space="720"/>
            <w:col w:w="3180"/>
          </w:cols>
          <w:pgMar w:left="320" w:top="221" w:right="339" w:bottom="45" w:gutter="0" w:footer="0" w:header="0"/>
          <w:type w:val="continuous"/>
        </w:sectPr>
      </w:pPr>
    </w:p>
    <w:p>
      <w:pPr>
        <w:ind w:left="2080"/>
        <w:spacing w:after="0"/>
        <w:rPr>
          <w:sz w:val="20"/>
          <w:szCs w:val="20"/>
          <w:color w:val="auto"/>
        </w:rPr>
      </w:pPr>
      <w:r>
        <w:rPr>
          <w:rFonts w:ascii="Times New Roman" w:cs="Times New Roman" w:eastAsia="Times New Roman" w:hAnsi="Times New Roman"/>
          <w:sz w:val="14"/>
          <w:szCs w:val="14"/>
          <w:b w:val="1"/>
          <w:bCs w:val="1"/>
          <w:color w:val="auto"/>
        </w:rPr>
        <w:t>(State or other jurisdiction of</w:t>
      </w:r>
    </w:p>
    <w:p>
      <w:pPr>
        <w:ind w:left="2040"/>
        <w:spacing w:after="0"/>
        <w:rPr>
          <w:sz w:val="20"/>
          <w:szCs w:val="20"/>
          <w:color w:val="auto"/>
        </w:rPr>
      </w:pPr>
      <w:r>
        <w:rPr>
          <w:rFonts w:ascii="Times New Roman" w:cs="Times New Roman" w:eastAsia="Times New Roman" w:hAnsi="Times New Roman"/>
          <w:sz w:val="13"/>
          <w:szCs w:val="13"/>
          <w:b w:val="1"/>
          <w:bCs w:val="1"/>
          <w:color w:val="auto"/>
        </w:rPr>
        <w:t>incorporation or organization)</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Times New Roman" w:cs="Times New Roman" w:eastAsia="Times New Roman" w:hAnsi="Times New Roman"/>
          <w:sz w:val="14"/>
          <w:szCs w:val="14"/>
          <w:b w:val="1"/>
          <w:bCs w:val="1"/>
          <w:color w:val="auto"/>
        </w:rPr>
        <w:t>(I.R.S. Employer</w:t>
      </w:r>
    </w:p>
    <w:p>
      <w:pPr>
        <w:spacing w:after="0"/>
        <w:rPr>
          <w:sz w:val="20"/>
          <w:szCs w:val="20"/>
          <w:color w:val="auto"/>
        </w:rPr>
      </w:pPr>
      <w:r>
        <w:rPr>
          <w:rFonts w:ascii="Times New Roman" w:cs="Times New Roman" w:eastAsia="Times New Roman" w:hAnsi="Times New Roman"/>
          <w:sz w:val="13"/>
          <w:szCs w:val="13"/>
          <w:b w:val="1"/>
          <w:bCs w:val="1"/>
          <w:color w:val="auto"/>
        </w:rPr>
        <w:t>Identification No.)</w:t>
      </w:r>
    </w:p>
    <w:p>
      <w:pPr>
        <w:spacing w:after="0" w:line="174" w:lineRule="exact"/>
        <w:rPr>
          <w:sz w:val="24"/>
          <w:szCs w:val="24"/>
          <w:color w:val="auto"/>
        </w:rPr>
      </w:pPr>
    </w:p>
    <w:p>
      <w:pPr>
        <w:sectPr>
          <w:pgSz w:w="11900" w:h="16838" w:orient="portrait"/>
          <w:cols w:equalWidth="0" w:num="2">
            <w:col w:w="7220" w:space="720"/>
            <w:col w:w="3300"/>
          </w:cols>
          <w:pgMar w:left="320" w:top="221" w:right="339" w:bottom="45" w:gutter="0" w:footer="0" w:header="0"/>
          <w:type w:val="continuous"/>
        </w:sectPr>
      </w:pPr>
    </w:p>
    <w:p>
      <w:pPr>
        <w:jc w:val="center"/>
        <w:spacing w:after="0"/>
        <w:rPr>
          <w:sz w:val="20"/>
          <w:szCs w:val="20"/>
          <w:color w:val="auto"/>
        </w:rPr>
      </w:pPr>
      <w:r>
        <w:rPr>
          <w:rFonts w:ascii="Times New Roman" w:cs="Times New Roman" w:eastAsia="Times New Roman" w:hAnsi="Times New Roman"/>
          <w:sz w:val="17"/>
          <w:szCs w:val="17"/>
          <w:b w:val="1"/>
          <w:bCs w:val="1"/>
          <w:color w:val="auto"/>
        </w:rPr>
        <w:t>864 Spring Street NW</w:t>
      </w:r>
    </w:p>
    <w:p>
      <w:pPr>
        <w:spacing w:after="0" w:line="3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Atlanta, GA 30308</w:t>
      </w:r>
    </w:p>
    <w:p>
      <w:pPr>
        <w:spacing w:after="0" w:line="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 (Zip Code)</w:t>
      </w:r>
    </w:p>
    <w:p>
      <w:pPr>
        <w:sectPr>
          <w:pgSz w:w="11900" w:h="16838" w:orient="portrait"/>
          <w:cols w:equalWidth="0" w:num="1">
            <w:col w:w="11240"/>
          </w:cols>
          <w:pgMar w:left="320" w:top="221" w:right="339" w:bottom="45" w:gutter="0" w:footer="0" w:header="0"/>
          <w:type w:val="continuous"/>
        </w:sectPr>
      </w:pPr>
    </w:p>
    <w:p>
      <w:pPr>
        <w:spacing w:after="0" w:line="14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Registrant’s telephone number, including area code: (800) 225-5627</w:t>
      </w:r>
    </w:p>
    <w:p>
      <w:pPr>
        <w:spacing w:after="0" w:line="200" w:lineRule="exact"/>
        <w:rPr>
          <w:sz w:val="24"/>
          <w:szCs w:val="24"/>
          <w:color w:val="auto"/>
        </w:rPr>
      </w:pPr>
    </w:p>
    <w:p>
      <w:pPr>
        <w:spacing w:after="0" w:line="358" w:lineRule="exact"/>
        <w:rPr>
          <w:sz w:val="24"/>
          <w:szCs w:val="24"/>
          <w:color w:val="auto"/>
        </w:rPr>
      </w:pPr>
    </w:p>
    <w:p>
      <w:pPr>
        <w:ind w:left="240"/>
        <w:spacing w:after="0"/>
        <w:rPr>
          <w:sz w:val="20"/>
          <w:szCs w:val="20"/>
          <w:color w:val="auto"/>
        </w:rPr>
      </w:pPr>
      <w:r>
        <w:rPr>
          <w:rFonts w:ascii="Times New Roman" w:cs="Times New Roman" w:eastAsia="Times New Roman" w:hAnsi="Times New Roman"/>
          <w:sz w:val="17"/>
          <w:szCs w:val="17"/>
          <w:color w:val="auto"/>
        </w:rPr>
        <w:t>Securities registered pursuant to Section 12(b) of the Act:</w:t>
      </w:r>
    </w:p>
    <w:p>
      <w:pPr>
        <w:sectPr>
          <w:pgSz w:w="11900" w:h="16838" w:orient="portrait"/>
          <w:cols w:equalWidth="0" w:num="1">
            <w:col w:w="11240"/>
          </w:cols>
          <w:pgMar w:left="320" w:top="221" w:right="339" w:bottom="45" w:gutter="0" w:footer="0" w:header="0"/>
          <w:type w:val="continuous"/>
        </w:sectPr>
      </w:pPr>
    </w:p>
    <w:p>
      <w:pPr>
        <w:spacing w:after="0" w:line="295" w:lineRule="exact"/>
        <w:rPr>
          <w:sz w:val="24"/>
          <w:szCs w:val="24"/>
          <w:color w:val="auto"/>
        </w:rPr>
      </w:pPr>
    </w:p>
    <w:p>
      <w:pPr>
        <w:ind w:left="1460"/>
        <w:spacing w:after="0"/>
        <w:rPr>
          <w:sz w:val="20"/>
          <w:szCs w:val="20"/>
          <w:color w:val="auto"/>
        </w:rPr>
      </w:pPr>
      <w:r>
        <w:rPr>
          <w:rFonts w:ascii="Times New Roman" w:cs="Times New Roman" w:eastAsia="Times New Roman" w:hAnsi="Times New Roman"/>
          <w:sz w:val="17"/>
          <w:szCs w:val="17"/>
          <w:b w:val="1"/>
          <w:bCs w:val="1"/>
          <w:color w:val="auto"/>
        </w:rPr>
        <w:t>Title of each class</w:t>
      </w:r>
    </w:p>
    <w:p>
      <w:pPr>
        <w:spacing w:after="0" w:line="20" w:lineRule="exact"/>
        <w:rPr>
          <w:sz w:val="24"/>
          <w:szCs w:val="24"/>
          <w:color w:val="auto"/>
        </w:rPr>
      </w:pPr>
      <w:r>
        <w:rPr>
          <w:sz w:val="24"/>
          <w:szCs w:val="24"/>
          <w:color w:val="auto"/>
        </w:rPr>
        <w:br w:type="column"/>
      </w:r>
    </w:p>
    <w:p>
      <w:pPr>
        <w:spacing w:after="0" w:line="27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Trading Symbol(s)</w:t>
      </w:r>
    </w:p>
    <w:p>
      <w:pPr>
        <w:spacing w:after="0" w:line="20" w:lineRule="exact"/>
        <w:rPr>
          <w:sz w:val="24"/>
          <w:szCs w:val="24"/>
          <w:color w:val="auto"/>
        </w:rPr>
      </w:pPr>
      <w:r>
        <w:rPr>
          <w:sz w:val="24"/>
          <w:szCs w:val="24"/>
          <w:color w:val="auto"/>
        </w:rPr>
        <w:br w:type="column"/>
      </w:r>
    </w:p>
    <w:p>
      <w:pPr>
        <w:spacing w:after="0" w:line="27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Name of each exchange on which registered</w:t>
      </w:r>
    </w:p>
    <w:p>
      <w:pPr>
        <w:spacing w:after="0" w:line="182" w:lineRule="exact"/>
        <w:rPr>
          <w:sz w:val="24"/>
          <w:szCs w:val="24"/>
          <w:color w:val="auto"/>
        </w:rPr>
      </w:pPr>
    </w:p>
    <w:p>
      <w:pPr>
        <w:sectPr>
          <w:pgSz w:w="11900" w:h="16838" w:orient="portrait"/>
          <w:cols w:equalWidth="0" w:num="3">
            <w:col w:w="4080" w:space="720"/>
            <w:col w:w="1880" w:space="720"/>
            <w:col w:w="3840"/>
          </w:cols>
          <w:pgMar w:left="320" w:top="221" w:right="339" w:bottom="45" w:gutter="0" w:footer="0" w:header="0"/>
          <w:type w:val="continuous"/>
        </w:sectPr>
      </w:pPr>
    </w:p>
    <w:p>
      <w:pPr>
        <w:ind w:left="660"/>
        <w:spacing w:after="0"/>
        <w:rPr>
          <w:sz w:val="20"/>
          <w:szCs w:val="20"/>
          <w:color w:val="auto"/>
        </w:rPr>
      </w:pPr>
      <w:r>
        <w:rPr>
          <w:rFonts w:ascii="Times New Roman" w:cs="Times New Roman" w:eastAsia="Times New Roman" w:hAnsi="Times New Roman"/>
          <w:sz w:val="17"/>
          <w:szCs w:val="17"/>
          <w:color w:val="auto"/>
        </w:rPr>
        <w:t>Common Stock, par value $0.01 per share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color w:val="auto"/>
        </w:rPr>
        <w:t>VYX</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color w:val="auto"/>
        </w:rPr>
        <w:t>New York Stock Exchange</w:t>
      </w:r>
    </w:p>
    <w:p>
      <w:pPr>
        <w:spacing w:after="0" w:line="168" w:lineRule="exact"/>
        <w:rPr>
          <w:sz w:val="24"/>
          <w:szCs w:val="24"/>
          <w:color w:val="auto"/>
        </w:rPr>
      </w:pPr>
    </w:p>
    <w:p>
      <w:pPr>
        <w:sectPr>
          <w:pgSz w:w="11900" w:h="16838" w:orient="portrait"/>
          <w:cols w:equalWidth="0" w:num="3">
            <w:col w:w="4580" w:space="720"/>
            <w:col w:w="2060" w:space="720"/>
            <w:col w:w="3160"/>
          </w:cols>
          <w:pgMar w:left="320" w:top="221" w:right="339" w:bottom="45" w:gutter="0" w:footer="0" w:header="0"/>
          <w:type w:val="continuous"/>
        </w:sectPr>
      </w:pPr>
    </w:p>
    <w:p>
      <w:pPr>
        <w:jc w:val="both"/>
        <w:ind w:firstLine="181"/>
        <w:spacing w:after="0" w:line="222" w:lineRule="exact"/>
        <w:rPr>
          <w:sz w:val="20"/>
          <w:szCs w:val="20"/>
          <w:color w:val="auto"/>
        </w:rPr>
      </w:pPr>
      <w:r>
        <w:rPr>
          <w:rFonts w:ascii="Times New Roman" w:cs="Times New Roman" w:eastAsia="Times New Roman" w:hAnsi="Times New Roman"/>
          <w:sz w:val="17"/>
          <w:szCs w:val="17"/>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No </w:t>
      </w:r>
      <w:r>
        <w:rPr>
          <w:rFonts w:ascii="MS PGothic" w:cs="MS PGothic" w:eastAsia="MS PGothic" w:hAnsi="MS PGothic"/>
          <w:sz w:val="17"/>
          <w:szCs w:val="17"/>
          <w:color w:val="auto"/>
        </w:rPr>
        <w:t>☐</w:t>
      </w:r>
    </w:p>
    <w:p>
      <w:pPr>
        <w:spacing w:after="0" w:line="113" w:lineRule="exact"/>
        <w:rPr>
          <w:sz w:val="24"/>
          <w:szCs w:val="24"/>
          <w:color w:val="auto"/>
        </w:rPr>
      </w:pPr>
    </w:p>
    <w:p>
      <w:pPr>
        <w:jc w:val="both"/>
        <w:ind w:firstLine="268"/>
        <w:spacing w:after="0" w:line="263" w:lineRule="auto"/>
        <w:rPr>
          <w:sz w:val="20"/>
          <w:szCs w:val="20"/>
          <w:color w:val="auto"/>
        </w:rPr>
      </w:pPr>
      <w:r>
        <w:rPr>
          <w:rFonts w:ascii="Times New Roman" w:cs="Times New Roman" w:eastAsia="Times New Roman" w:hAnsi="Times New Roman"/>
          <w:sz w:val="17"/>
          <w:szCs w:val="17"/>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ind w:left="120"/>
        <w:spacing w:after="0" w:line="196" w:lineRule="exact"/>
        <w:tabs>
          <w:tab w:leader="none" w:pos="780" w:val="left"/>
        </w:tabs>
        <w:rPr>
          <w:sz w:val="20"/>
          <w:szCs w:val="20"/>
          <w:color w:val="auto"/>
        </w:rPr>
      </w:pPr>
      <w:r>
        <w:rPr>
          <w:rFonts w:ascii="Times New Roman" w:cs="Times New Roman" w:eastAsia="Times New Roman" w:hAnsi="Times New Roman"/>
          <w:sz w:val="17"/>
          <w:szCs w:val="17"/>
          <w:color w:val="auto"/>
        </w:rPr>
        <w:t xml:space="preserve">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ab/>
        <w:t xml:space="preserve">No </w:t>
      </w:r>
      <w:r>
        <w:rPr>
          <w:rFonts w:ascii="MS PGothic" w:cs="MS PGothic" w:eastAsia="MS PGothic" w:hAnsi="MS PGothic"/>
          <w:sz w:val="17"/>
          <w:szCs w:val="17"/>
          <w:color w:val="auto"/>
        </w:rPr>
        <w:t>☐</w:t>
      </w:r>
    </w:p>
    <w:p>
      <w:pPr>
        <w:spacing w:after="0" w:line="154" w:lineRule="exact"/>
        <w:rPr>
          <w:sz w:val="24"/>
          <w:szCs w:val="24"/>
          <w:color w:val="auto"/>
        </w:rPr>
      </w:pPr>
    </w:p>
    <w:p>
      <w:pPr>
        <w:jc w:val="both"/>
        <w:ind w:firstLine="257"/>
        <w:spacing w:after="0" w:line="273" w:lineRule="auto"/>
        <w:rPr>
          <w:sz w:val="20"/>
          <w:szCs w:val="20"/>
          <w:color w:val="auto"/>
        </w:rPr>
      </w:pPr>
      <w:r>
        <w:rPr>
          <w:rFonts w:ascii="Times New Roman" w:cs="Times New Roman" w:eastAsia="Times New Roman" w:hAnsi="Times New Roman"/>
          <w:sz w:val="17"/>
          <w:szCs w:val="17"/>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221" w:right="339" w:bottom="45"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5" w:lineRule="exact"/>
        <w:rPr>
          <w:sz w:val="24"/>
          <w:szCs w:val="24"/>
          <w:color w:val="auto"/>
        </w:rPr>
      </w:pPr>
    </w:p>
    <w:p>
      <w:pPr>
        <w:ind w:left="1420"/>
        <w:spacing w:after="0" w:line="184" w:lineRule="exact"/>
        <w:rPr>
          <w:sz w:val="20"/>
          <w:szCs w:val="20"/>
          <w:color w:val="auto"/>
        </w:rPr>
      </w:pPr>
      <w:r>
        <w:rPr>
          <w:rFonts w:ascii="Times New Roman" w:cs="Times New Roman" w:eastAsia="Times New Roman" w:hAnsi="Times New Roman"/>
          <w:sz w:val="16"/>
          <w:szCs w:val="16"/>
          <w:color w:val="auto"/>
        </w:rPr>
        <w:t xml:space="preserve">Large accelerated filer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5" w:lineRule="exact"/>
        <w:rPr>
          <w:sz w:val="24"/>
          <w:szCs w:val="24"/>
          <w:color w:val="auto"/>
        </w:rPr>
      </w:pPr>
    </w:p>
    <w:p>
      <w:pPr>
        <w:spacing w:after="0" w:line="184" w:lineRule="exact"/>
        <w:rPr>
          <w:sz w:val="20"/>
          <w:szCs w:val="20"/>
          <w:color w:val="auto"/>
        </w:rPr>
      </w:pPr>
      <w:r>
        <w:rPr>
          <w:rFonts w:ascii="Times New Roman" w:cs="Times New Roman" w:eastAsia="Times New Roman" w:hAnsi="Times New Roman"/>
          <w:sz w:val="16"/>
          <w:szCs w:val="16"/>
          <w:color w:val="auto"/>
        </w:rPr>
        <w:t xml:space="preserve">Accelerated filer </w:t>
      </w:r>
      <w:r>
        <w:rPr>
          <w:rFonts w:ascii="MS PGothic" w:cs="MS PGothic" w:eastAsia="MS PGothic" w:hAnsi="MS PGothic"/>
          <w:sz w:val="16"/>
          <w:szCs w:val="16"/>
          <w:color w:val="auto"/>
        </w:rPr>
        <w:t>☐</w:t>
      </w:r>
    </w:p>
    <w:p>
      <w:pPr>
        <w:spacing w:after="0" w:line="192" w:lineRule="exact"/>
        <w:rPr>
          <w:sz w:val="24"/>
          <w:szCs w:val="24"/>
          <w:color w:val="auto"/>
        </w:rPr>
      </w:pPr>
    </w:p>
    <w:p>
      <w:pPr>
        <w:sectPr>
          <w:pgSz w:w="11900" w:h="16838" w:orient="portrait"/>
          <w:cols w:equalWidth="0" w:num="2">
            <w:col w:w="7980" w:space="720"/>
            <w:col w:w="2540"/>
          </w:cols>
          <w:pgMar w:left="320" w:top="221" w:right="339" w:bottom="45" w:gutter="0" w:footer="0" w:header="0"/>
          <w:type w:val="continuous"/>
        </w:sectPr>
      </w:pPr>
    </w:p>
    <w:p>
      <w:pPr>
        <w:spacing w:after="0" w:line="38" w:lineRule="exact"/>
        <w:rPr>
          <w:sz w:val="24"/>
          <w:szCs w:val="24"/>
          <w:color w:val="auto"/>
        </w:rPr>
      </w:pPr>
    </w:p>
    <w:p>
      <w:pPr>
        <w:ind w:left="1500"/>
        <w:spacing w:after="0"/>
        <w:rPr>
          <w:sz w:val="20"/>
          <w:szCs w:val="20"/>
          <w:color w:val="auto"/>
        </w:rPr>
      </w:pPr>
      <w:r>
        <w:rPr>
          <w:rFonts w:ascii="Times New Roman" w:cs="Times New Roman" w:eastAsia="Times New Roman" w:hAnsi="Times New Roman"/>
          <w:sz w:val="17"/>
          <w:szCs w:val="17"/>
          <w:color w:val="auto"/>
        </w:rPr>
        <w:t xml:space="preserve">Non-accelerated filer </w:t>
      </w:r>
      <w:r>
        <w:rPr>
          <w:rFonts w:ascii="Wingdings" w:cs="Wingdings" w:eastAsia="Wingdings" w:hAnsi="Wingdings"/>
          <w:sz w:val="17"/>
          <w:szCs w:val="17"/>
          <w:b w:val="1"/>
          <w:bCs w:val="1"/>
          <w:color w:val="auto"/>
        </w:rPr>
        <w:t>o</w:t>
      </w:r>
    </w:p>
    <w:p>
      <w:pPr>
        <w:spacing w:after="0" w:line="20" w:lineRule="exact"/>
        <w:rPr>
          <w:sz w:val="24"/>
          <w:szCs w:val="24"/>
          <w:color w:val="auto"/>
        </w:rPr>
      </w:pPr>
      <w:r>
        <w:rPr>
          <w:sz w:val="24"/>
          <w:szCs w:val="24"/>
          <w:color w:val="auto"/>
        </w:rPr>
        <w:br w:type="column"/>
      </w:r>
    </w:p>
    <w:p>
      <w:pPr>
        <w:spacing w:after="0" w:line="176" w:lineRule="exact"/>
        <w:rPr>
          <w:sz w:val="20"/>
          <w:szCs w:val="20"/>
          <w:color w:val="auto"/>
        </w:rPr>
      </w:pPr>
      <w:r>
        <w:rPr>
          <w:rFonts w:ascii="Times New Roman" w:cs="Times New Roman" w:eastAsia="Times New Roman" w:hAnsi="Times New Roman"/>
          <w:sz w:val="17"/>
          <w:szCs w:val="17"/>
          <w:color w:val="auto"/>
        </w:rPr>
        <w:t xml:space="preserve">Smaller reporting company </w:t>
      </w:r>
      <w:r>
        <w:rPr>
          <w:rFonts w:ascii="MS PGothic" w:cs="MS PGothic" w:eastAsia="MS PGothic" w:hAnsi="MS PGothic"/>
          <w:sz w:val="17"/>
          <w:szCs w:val="17"/>
          <w:color w:val="auto"/>
        </w:rPr>
        <w:t>☐</w:t>
      </w:r>
    </w:p>
    <w:p>
      <w:pPr>
        <w:spacing w:after="0" w:line="180" w:lineRule="exact"/>
        <w:rPr>
          <w:sz w:val="24"/>
          <w:szCs w:val="24"/>
          <w:color w:val="auto"/>
        </w:rPr>
      </w:pPr>
    </w:p>
    <w:p>
      <w:pPr>
        <w:sectPr>
          <w:pgSz w:w="11900" w:h="16838" w:orient="portrait"/>
          <w:cols w:equalWidth="0" w:num="2">
            <w:col w:w="7240" w:space="720"/>
            <w:col w:w="3280"/>
          </w:cols>
          <w:pgMar w:left="320" w:top="221" w:right="339" w:bottom="45" w:gutter="0" w:footer="0" w:header="0"/>
          <w:type w:val="continuous"/>
        </w:sectPr>
      </w:pPr>
    </w:p>
    <w:p>
      <w:pPr>
        <w:ind w:left="7960"/>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ectPr>
          <w:pgSz w:w="11900" w:h="16838" w:orient="portrait"/>
          <w:cols w:equalWidth="0" w:num="1">
            <w:col w:w="11240"/>
          </w:cols>
          <w:pgMar w:left="320" w:top="221" w:right="339" w:bottom="45" w:gutter="0" w:footer="0" w:header="0"/>
          <w:type w:val="continuous"/>
        </w:sectPr>
      </w:pPr>
    </w:p>
    <w:p>
      <w:pPr>
        <w:spacing w:after="0" w:line="206" w:lineRule="exact"/>
        <w:rPr>
          <w:sz w:val="24"/>
          <w:szCs w:val="24"/>
          <w:color w:val="auto"/>
        </w:rPr>
      </w:pPr>
    </w:p>
    <w:p>
      <w:pPr>
        <w:ind w:right="240" w:firstLine="173"/>
        <w:spacing w:after="0" w:line="292" w:lineRule="auto"/>
        <w:rPr>
          <w:sz w:val="20"/>
          <w:szCs w:val="20"/>
          <w:color w:val="auto"/>
        </w:rPr>
      </w:pPr>
      <w:r>
        <w:rPr>
          <w:rFonts w:ascii="Times New Roman" w:cs="Times New Roman" w:eastAsia="Times New Roman" w:hAnsi="Times New Roman"/>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7"/>
          <w:szCs w:val="17"/>
          <w:b w:val="1"/>
          <w:bCs w:val="1"/>
          <w:color w:val="auto"/>
        </w:rPr>
        <w:t>o</w:t>
      </w:r>
    </w:p>
    <w:p>
      <w:pPr>
        <w:spacing w:after="0" w:line="56" w:lineRule="exact"/>
        <w:rPr>
          <w:sz w:val="24"/>
          <w:szCs w:val="24"/>
          <w:color w:val="auto"/>
        </w:rPr>
      </w:pPr>
    </w:p>
    <w:p>
      <w:pPr>
        <w:ind w:left="620" w:right="1600"/>
        <w:spacing w:after="0" w:line="314" w:lineRule="exact"/>
        <w:rPr>
          <w:sz w:val="20"/>
          <w:szCs w:val="20"/>
          <w:color w:val="auto"/>
        </w:rPr>
      </w:pPr>
      <w:r>
        <w:rPr>
          <w:rFonts w:ascii="Times New Roman" w:cs="Times New Roman" w:eastAsia="Times New Roman" w:hAnsi="Times New Roman"/>
          <w:sz w:val="17"/>
          <w:szCs w:val="17"/>
          <w:color w:val="auto"/>
        </w:rPr>
        <w:t xml:space="preserve">Indicate by check mark whether the registrant is a shell company (as defined in Rule 12b-2 of the Exchange Act). 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No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As of November 1, 2024, there were approximately 145,967,863 shares of the registrant’s common stock issued and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397510</wp:posOffset>
            </wp:positionH>
            <wp:positionV relativeFrom="paragraph">
              <wp:posOffset>107315</wp:posOffset>
            </wp:positionV>
            <wp:extent cx="634746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347460" cy="8255"/>
                    </a:xfrm>
                    <a:prstGeom prst="rect">
                      <a:avLst/>
                    </a:prstGeom>
                    <a:noFill/>
                  </pic:spPr>
                </pic:pic>
              </a:graphicData>
            </a:graphic>
          </wp:anchor>
        </w:drawing>
        <w:drawing>
          <wp:anchor simplePos="0" relativeHeight="251657728" behindDoc="1" locked="0" layoutInCell="0" allowOverlap="1">
            <wp:simplePos x="0" y="0"/>
            <wp:positionH relativeFrom="column">
              <wp:posOffset>397510</wp:posOffset>
            </wp:positionH>
            <wp:positionV relativeFrom="paragraph">
              <wp:posOffset>74295</wp:posOffset>
            </wp:positionV>
            <wp:extent cx="634746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347460" cy="8255"/>
                    </a:xfrm>
                    <a:prstGeom prst="rect">
                      <a:avLst/>
                    </a:prstGeom>
                    <a:noFill/>
                  </pic:spPr>
                </pic:pic>
              </a:graphicData>
            </a:graphic>
          </wp:anchor>
        </w:drawing>
      </w:r>
    </w:p>
    <w:p>
      <w:pPr>
        <w:sectPr>
          <w:pgSz w:w="11900" w:h="16838" w:orient="portrait"/>
          <w:cols w:equalWidth="0" w:num="1">
            <w:col w:w="11240"/>
          </w:cols>
          <w:pgMar w:left="320" w:top="221" w:right="339" w:bottom="45" w:gutter="0" w:footer="0" w:header="0"/>
          <w:type w:val="continuous"/>
        </w:sectPr>
      </w:pPr>
    </w:p>
    <w:bookmarkStart w:id="1" w:name="page2"/>
    <w:bookmarkEnd w:id="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193040</wp:posOffset>
            </wp:positionH>
            <wp:positionV relativeFrom="page">
              <wp:posOffset>290195</wp:posOffset>
            </wp:positionV>
            <wp:extent cx="7163435" cy="419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7"/>
          <w:szCs w:val="17"/>
          <w:b w:val="1"/>
          <w:bCs w:val="1"/>
          <w:color w:val="auto"/>
        </w:rPr>
        <w:t>TABLE OF CONTENTS</w:t>
      </w:r>
    </w:p>
    <w:p>
      <w:pPr>
        <w:spacing w:after="0" w:line="3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b w:val="1"/>
          <w:bCs w:val="1"/>
          <w:color w:val="auto"/>
        </w:rPr>
        <w:t>PART I. Financial Information</w:t>
      </w:r>
    </w:p>
    <w:p>
      <w:pPr>
        <w:spacing w:after="0" w:line="289"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920" w:type="dxa"/>
            <w:vAlign w:val="bottom"/>
          </w:tcPr>
          <w:p>
            <w:pPr>
              <w:spacing w:after="0"/>
              <w:rPr>
                <w:sz w:val="16"/>
                <w:szCs w:val="16"/>
                <w:color w:val="auto"/>
              </w:rPr>
            </w:pPr>
          </w:p>
        </w:tc>
        <w:tc>
          <w:tcPr>
            <w:tcW w:w="9620" w:type="dxa"/>
            <w:vAlign w:val="bottom"/>
            <w:gridSpan w:val="18"/>
          </w:tcPr>
          <w:p>
            <w:pPr>
              <w:spacing w:after="0"/>
              <w:rPr>
                <w:sz w:val="20"/>
                <w:szCs w:val="20"/>
                <w:color w:val="auto"/>
              </w:rPr>
            </w:pPr>
            <w:r>
              <w:rPr>
                <w:rFonts w:ascii="Times New Roman" w:cs="Times New Roman" w:eastAsia="Times New Roman" w:hAnsi="Times New Roman"/>
                <w:sz w:val="16"/>
                <w:szCs w:val="16"/>
                <w:b w:val="1"/>
                <w:bCs w:val="1"/>
                <w:color w:val="auto"/>
              </w:rPr>
              <w:t>Description</w:t>
            </w:r>
          </w:p>
        </w:tc>
        <w:tc>
          <w:tcPr>
            <w:tcW w:w="660" w:type="dxa"/>
            <w:vAlign w:val="bottom"/>
            <w:gridSpan w:val="4"/>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Page</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58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6"/>
        </w:trPr>
        <w:tc>
          <w:tcPr>
            <w:tcW w:w="920" w:type="dxa"/>
            <w:vAlign w:val="bottom"/>
          </w:tcPr>
          <w:p>
            <w:pPr>
              <w:spacing w:after="0"/>
              <w:rPr>
                <w:sz w:val="20"/>
                <w:szCs w:val="20"/>
                <w:color w:val="auto"/>
              </w:rPr>
            </w:pPr>
            <w:r>
              <w:rPr>
                <w:rFonts w:ascii="Times New Roman" w:cs="Times New Roman" w:eastAsia="Times New Roman" w:hAnsi="Times New Roman"/>
                <w:sz w:val="17"/>
                <w:szCs w:val="17"/>
                <w:color w:val="auto"/>
              </w:rPr>
              <w:t>Item 1.</w:t>
            </w:r>
          </w:p>
        </w:tc>
        <w:tc>
          <w:tcPr>
            <w:tcW w:w="9620" w:type="dxa"/>
            <w:vAlign w:val="bottom"/>
            <w:gridSpan w:val="18"/>
          </w:tcPr>
          <w:p>
            <w:pPr>
              <w:spacing w:after="0"/>
              <w:rPr>
                <w:sz w:val="20"/>
                <w:szCs w:val="20"/>
                <w:color w:val="auto"/>
              </w:rPr>
            </w:pPr>
            <w:r>
              <w:rPr>
                <w:rFonts w:ascii="Times New Roman" w:cs="Times New Roman" w:eastAsia="Times New Roman" w:hAnsi="Times New Roman"/>
                <w:sz w:val="17"/>
                <w:szCs w:val="17"/>
                <w:color w:val="0000FF"/>
              </w:rPr>
              <w:t>Financial Statements</w:t>
            </w:r>
          </w:p>
        </w:tc>
        <w:tc>
          <w:tcPr>
            <w:tcW w:w="660" w:type="dxa"/>
            <w:vAlign w:val="bottom"/>
            <w:gridSpan w:val="4"/>
          </w:tcPr>
          <w:p>
            <w:pPr>
              <w:jc w:val="right"/>
              <w:ind w:right="20"/>
              <w:spacing w:after="0"/>
              <w:rPr>
                <w:sz w:val="20"/>
                <w:szCs w:val="20"/>
                <w:color w:val="auto"/>
              </w:rPr>
            </w:pPr>
            <w:r>
              <w:rPr>
                <w:rFonts w:ascii="Times New Roman" w:cs="Times New Roman" w:eastAsia="Times New Roman" w:hAnsi="Times New Roman"/>
                <w:sz w:val="17"/>
                <w:szCs w:val="17"/>
                <w:color w:val="0000FF"/>
              </w:rPr>
              <w:t>3</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6"/>
        </w:trPr>
        <w:tc>
          <w:tcPr>
            <w:tcW w:w="920" w:type="dxa"/>
            <w:vAlign w:val="bottom"/>
          </w:tcPr>
          <w:p>
            <w:pPr>
              <w:spacing w:after="0"/>
              <w:rPr>
                <w:sz w:val="24"/>
                <w:szCs w:val="24"/>
                <w:color w:val="auto"/>
              </w:rPr>
            </w:pPr>
          </w:p>
        </w:tc>
        <w:tc>
          <w:tcPr>
            <w:tcW w:w="9500" w:type="dxa"/>
            <w:vAlign w:val="bottom"/>
            <w:gridSpan w:val="16"/>
          </w:tcPr>
          <w:p>
            <w:pPr>
              <w:spacing w:after="0"/>
              <w:rPr>
                <w:sz w:val="20"/>
                <w:szCs w:val="20"/>
                <w:color w:val="auto"/>
              </w:rPr>
            </w:pPr>
            <w:r>
              <w:rPr>
                <w:rFonts w:ascii="Times New Roman" w:cs="Times New Roman" w:eastAsia="Times New Roman" w:hAnsi="Times New Roman"/>
                <w:sz w:val="17"/>
                <w:szCs w:val="17"/>
                <w:color w:val="0000FF"/>
              </w:rPr>
              <w:t>Condensed Consolidated Statements of Operations (Unaudited) Three and Nine Months Ended September 30, 2024 and 2023</w:t>
            </w:r>
          </w:p>
        </w:tc>
        <w:tc>
          <w:tcPr>
            <w:tcW w:w="120" w:type="dxa"/>
            <w:vAlign w:val="bottom"/>
            <w:gridSpan w:val="2"/>
          </w:tcPr>
          <w:p>
            <w:pPr>
              <w:spacing w:after="0"/>
              <w:rPr>
                <w:sz w:val="24"/>
                <w:szCs w:val="24"/>
                <w:color w:val="auto"/>
              </w:rPr>
            </w:pPr>
          </w:p>
        </w:tc>
        <w:tc>
          <w:tcPr>
            <w:tcW w:w="660" w:type="dxa"/>
            <w:vAlign w:val="bottom"/>
            <w:gridSpan w:val="4"/>
          </w:tcPr>
          <w:p>
            <w:pPr>
              <w:jc w:val="right"/>
              <w:ind w:right="20"/>
              <w:spacing w:after="0"/>
              <w:rPr>
                <w:sz w:val="20"/>
                <w:szCs w:val="20"/>
                <w:color w:val="auto"/>
              </w:rPr>
            </w:pPr>
            <w:r>
              <w:rPr>
                <w:rFonts w:ascii="Times New Roman" w:cs="Times New Roman" w:eastAsia="Times New Roman" w:hAnsi="Times New Roman"/>
                <w:sz w:val="17"/>
                <w:szCs w:val="17"/>
                <w:color w:val="0000FF"/>
              </w:rPr>
              <w:t>3</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24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48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150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6"/>
        </w:trPr>
        <w:tc>
          <w:tcPr>
            <w:tcW w:w="920" w:type="dxa"/>
            <w:vAlign w:val="bottom"/>
          </w:tcPr>
          <w:p>
            <w:pPr>
              <w:spacing w:after="0"/>
              <w:rPr>
                <w:sz w:val="24"/>
                <w:szCs w:val="24"/>
                <w:color w:val="auto"/>
              </w:rPr>
            </w:pPr>
          </w:p>
        </w:tc>
        <w:tc>
          <w:tcPr>
            <w:tcW w:w="9620" w:type="dxa"/>
            <w:vAlign w:val="bottom"/>
            <w:gridSpan w:val="18"/>
          </w:tcPr>
          <w:p>
            <w:pPr>
              <w:spacing w:after="0"/>
              <w:rPr>
                <w:sz w:val="20"/>
                <w:szCs w:val="20"/>
                <w:color w:val="auto"/>
              </w:rPr>
            </w:pPr>
            <w:r>
              <w:rPr>
                <w:rFonts w:ascii="Times New Roman" w:cs="Times New Roman" w:eastAsia="Times New Roman" w:hAnsi="Times New Roman"/>
                <w:sz w:val="17"/>
                <w:szCs w:val="17"/>
                <w:color w:val="0000FF"/>
              </w:rPr>
              <w:t>Condensed Consolidated Statements of Comprehensive Income (Unaudited) Three and Nine Months Ended September 30, 2024 and 2023</w:t>
            </w:r>
          </w:p>
        </w:tc>
        <w:tc>
          <w:tcPr>
            <w:tcW w:w="660" w:type="dxa"/>
            <w:vAlign w:val="bottom"/>
            <w:gridSpan w:val="4"/>
          </w:tcPr>
          <w:p>
            <w:pPr>
              <w:jc w:val="right"/>
              <w:ind w:right="20"/>
              <w:spacing w:after="0"/>
              <w:rPr>
                <w:sz w:val="20"/>
                <w:szCs w:val="20"/>
                <w:color w:val="auto"/>
              </w:rPr>
            </w:pPr>
            <w:r>
              <w:rPr>
                <w:rFonts w:ascii="Times New Roman" w:cs="Times New Roman" w:eastAsia="Times New Roman" w:hAnsi="Times New Roman"/>
                <w:sz w:val="17"/>
                <w:szCs w:val="17"/>
                <w:color w:val="0000FF"/>
              </w:rPr>
              <w:t>4</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24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48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1500" w:type="dxa"/>
            <w:vAlign w:val="bottom"/>
            <w:gridSpan w:val="2"/>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6"/>
        </w:trPr>
        <w:tc>
          <w:tcPr>
            <w:tcW w:w="920" w:type="dxa"/>
            <w:vAlign w:val="bottom"/>
          </w:tcPr>
          <w:p>
            <w:pPr>
              <w:spacing w:after="0"/>
              <w:rPr>
                <w:sz w:val="24"/>
                <w:szCs w:val="24"/>
                <w:color w:val="auto"/>
              </w:rPr>
            </w:pPr>
          </w:p>
        </w:tc>
        <w:tc>
          <w:tcPr>
            <w:tcW w:w="9620" w:type="dxa"/>
            <w:vAlign w:val="bottom"/>
            <w:gridSpan w:val="18"/>
          </w:tcPr>
          <w:p>
            <w:pPr>
              <w:spacing w:after="0"/>
              <w:rPr>
                <w:sz w:val="20"/>
                <w:szCs w:val="20"/>
                <w:color w:val="auto"/>
              </w:rPr>
            </w:pPr>
            <w:r>
              <w:rPr>
                <w:rFonts w:ascii="Times New Roman" w:cs="Times New Roman" w:eastAsia="Times New Roman" w:hAnsi="Times New Roman"/>
                <w:sz w:val="17"/>
                <w:szCs w:val="17"/>
                <w:color w:val="0000FF"/>
              </w:rPr>
              <w:t>Condensed Consolidated Balance Sheets (Unaudited) September 30, 2024 and December 31, 2023</w:t>
            </w:r>
          </w:p>
        </w:tc>
        <w:tc>
          <w:tcPr>
            <w:tcW w:w="660" w:type="dxa"/>
            <w:vAlign w:val="bottom"/>
            <w:gridSpan w:val="4"/>
          </w:tcPr>
          <w:p>
            <w:pPr>
              <w:jc w:val="right"/>
              <w:ind w:right="20"/>
              <w:spacing w:after="0"/>
              <w:rPr>
                <w:sz w:val="20"/>
                <w:szCs w:val="20"/>
                <w:color w:val="auto"/>
              </w:rPr>
            </w:pPr>
            <w:r>
              <w:rPr>
                <w:rFonts w:ascii="Times New Roman" w:cs="Times New Roman" w:eastAsia="Times New Roman" w:hAnsi="Times New Roman"/>
                <w:sz w:val="17"/>
                <w:szCs w:val="17"/>
                <w:color w:val="0000FF"/>
              </w:rPr>
              <w:t>5</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24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48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6"/>
        </w:trPr>
        <w:tc>
          <w:tcPr>
            <w:tcW w:w="920" w:type="dxa"/>
            <w:vAlign w:val="bottom"/>
          </w:tcPr>
          <w:p>
            <w:pPr>
              <w:spacing w:after="0"/>
              <w:rPr>
                <w:sz w:val="24"/>
                <w:szCs w:val="24"/>
                <w:color w:val="auto"/>
              </w:rPr>
            </w:pPr>
          </w:p>
        </w:tc>
        <w:tc>
          <w:tcPr>
            <w:tcW w:w="8000" w:type="dxa"/>
            <w:vAlign w:val="bottom"/>
            <w:gridSpan w:val="14"/>
          </w:tcPr>
          <w:p>
            <w:pPr>
              <w:spacing w:after="0"/>
              <w:rPr>
                <w:sz w:val="20"/>
                <w:szCs w:val="20"/>
                <w:color w:val="auto"/>
              </w:rPr>
            </w:pPr>
            <w:r>
              <w:rPr>
                <w:rFonts w:ascii="Times New Roman" w:cs="Times New Roman" w:eastAsia="Times New Roman" w:hAnsi="Times New Roman"/>
                <w:sz w:val="17"/>
                <w:szCs w:val="17"/>
                <w:color w:val="0000FF"/>
              </w:rPr>
              <w:t>Condensed Consolidated Statements of Cash Flows (Unaudited) Nine Months Ended September 30, 2024 and 2023</w:t>
            </w:r>
          </w:p>
        </w:tc>
        <w:tc>
          <w:tcPr>
            <w:tcW w:w="1620" w:type="dxa"/>
            <w:vAlign w:val="bottom"/>
            <w:gridSpan w:val="4"/>
          </w:tcPr>
          <w:p>
            <w:pPr>
              <w:spacing w:after="0"/>
              <w:rPr>
                <w:sz w:val="24"/>
                <w:szCs w:val="24"/>
                <w:color w:val="auto"/>
              </w:rPr>
            </w:pPr>
          </w:p>
        </w:tc>
        <w:tc>
          <w:tcPr>
            <w:tcW w:w="660" w:type="dxa"/>
            <w:vAlign w:val="bottom"/>
            <w:gridSpan w:val="4"/>
          </w:tcPr>
          <w:p>
            <w:pPr>
              <w:jc w:val="right"/>
              <w:ind w:right="20"/>
              <w:spacing w:after="0"/>
              <w:rPr>
                <w:sz w:val="20"/>
                <w:szCs w:val="20"/>
                <w:color w:val="auto"/>
              </w:rPr>
            </w:pPr>
            <w:r>
              <w:rPr>
                <w:rFonts w:ascii="Times New Roman" w:cs="Times New Roman" w:eastAsia="Times New Roman" w:hAnsi="Times New Roman"/>
                <w:sz w:val="17"/>
                <w:szCs w:val="17"/>
                <w:color w:val="0000FF"/>
              </w:rPr>
              <w:t>6</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24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480" w:type="dxa"/>
            <w:vAlign w:val="bottom"/>
            <w:shd w:val="clear" w:color="auto" w:fill="0000FF"/>
          </w:tcPr>
          <w:p>
            <w:pPr>
              <w:spacing w:after="0" w:line="20" w:lineRule="exact"/>
              <w:rPr>
                <w:sz w:val="1"/>
                <w:szCs w:val="1"/>
                <w:color w:val="auto"/>
              </w:rPr>
            </w:pPr>
          </w:p>
        </w:tc>
        <w:tc>
          <w:tcPr>
            <w:tcW w:w="1800" w:type="dxa"/>
            <w:vAlign w:val="bottom"/>
            <w:gridSpan w:val="2"/>
            <w:shd w:val="clear" w:color="auto" w:fill="0000FF"/>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6"/>
        </w:trPr>
        <w:tc>
          <w:tcPr>
            <w:tcW w:w="920" w:type="dxa"/>
            <w:vAlign w:val="bottom"/>
          </w:tcPr>
          <w:p>
            <w:pPr>
              <w:spacing w:after="0"/>
              <w:rPr>
                <w:sz w:val="24"/>
                <w:szCs w:val="24"/>
                <w:color w:val="auto"/>
              </w:rPr>
            </w:pPr>
          </w:p>
        </w:tc>
        <w:tc>
          <w:tcPr>
            <w:tcW w:w="9620" w:type="dxa"/>
            <w:vAlign w:val="bottom"/>
            <w:gridSpan w:val="18"/>
            <w:vMerge w:val="restart"/>
          </w:tcPr>
          <w:p>
            <w:pPr>
              <w:spacing w:after="0"/>
              <w:rPr>
                <w:sz w:val="20"/>
                <w:szCs w:val="20"/>
                <w:color w:val="auto"/>
              </w:rPr>
            </w:pPr>
            <w:r>
              <w:rPr>
                <w:rFonts w:ascii="Times New Roman" w:cs="Times New Roman" w:eastAsia="Times New Roman" w:hAnsi="Times New Roman"/>
                <w:sz w:val="17"/>
                <w:szCs w:val="17"/>
                <w:color w:val="0000FF"/>
              </w:rPr>
              <w:t>Condensed Consolidated Statements of Changes in Stockholders’ Equity (Deficit) (Unaudited) Three and Nine Months Ended September</w:t>
            </w:r>
          </w:p>
        </w:tc>
        <w:tc>
          <w:tcPr>
            <w:tcW w:w="460" w:type="dxa"/>
            <w:vAlign w:val="bottom"/>
            <w:vMerge w:val="restart"/>
          </w:tcPr>
          <w:p>
            <w:pPr>
              <w:spacing w:after="0"/>
              <w:rPr>
                <w:sz w:val="24"/>
                <w:szCs w:val="24"/>
                <w:color w:val="auto"/>
              </w:rPr>
            </w:pPr>
          </w:p>
        </w:tc>
        <w:tc>
          <w:tcPr>
            <w:tcW w:w="100" w:type="dxa"/>
            <w:vAlign w:val="bottom"/>
            <w:vMerge w:val="restart"/>
          </w:tcPr>
          <w:p>
            <w:pPr>
              <w:spacing w:after="0"/>
              <w:rPr>
                <w:sz w:val="24"/>
                <w:szCs w:val="24"/>
                <w:color w:val="auto"/>
              </w:rPr>
            </w:pPr>
          </w:p>
        </w:tc>
        <w:tc>
          <w:tcPr>
            <w:tcW w:w="8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7"/>
                <w:szCs w:val="17"/>
                <w:color w:val="0000FF"/>
                <w:w w:val="70"/>
              </w:rPr>
              <w:t>7</w:t>
            </w:r>
          </w:p>
        </w:tc>
        <w:tc>
          <w:tcPr>
            <w:tcW w:w="20" w:type="dxa"/>
            <w:vAlign w:val="bottom"/>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32"/>
        </w:trPr>
        <w:tc>
          <w:tcPr>
            <w:tcW w:w="920" w:type="dxa"/>
            <w:vAlign w:val="bottom"/>
          </w:tcPr>
          <w:p>
            <w:pPr>
              <w:spacing w:after="0"/>
              <w:rPr>
                <w:sz w:val="2"/>
                <w:szCs w:val="2"/>
                <w:color w:val="auto"/>
              </w:rPr>
            </w:pPr>
          </w:p>
        </w:tc>
        <w:tc>
          <w:tcPr>
            <w:tcW w:w="9620" w:type="dxa"/>
            <w:vAlign w:val="bottom"/>
            <w:gridSpan w:val="18"/>
            <w:vMerge w:val="continue"/>
          </w:tcPr>
          <w:p>
            <w:pPr>
              <w:spacing w:after="0"/>
              <w:rPr>
                <w:sz w:val="2"/>
                <w:szCs w:val="2"/>
                <w:color w:val="auto"/>
              </w:rPr>
            </w:pPr>
          </w:p>
        </w:tc>
        <w:tc>
          <w:tcPr>
            <w:tcW w:w="460" w:type="dxa"/>
            <w:vAlign w:val="bottom"/>
            <w:vMerge w:val="continue"/>
          </w:tcPr>
          <w:p>
            <w:pPr>
              <w:spacing w:after="0"/>
              <w:rPr>
                <w:sz w:val="2"/>
                <w:szCs w:val="2"/>
                <w:color w:val="auto"/>
              </w:rPr>
            </w:pPr>
          </w:p>
        </w:tc>
        <w:tc>
          <w:tcPr>
            <w:tcW w:w="100" w:type="dxa"/>
            <w:vAlign w:val="bottom"/>
            <w:vMerge w:val="continue"/>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49"/>
        </w:trPr>
        <w:tc>
          <w:tcPr>
            <w:tcW w:w="920" w:type="dxa"/>
            <w:vAlign w:val="bottom"/>
          </w:tcPr>
          <w:p>
            <w:pPr>
              <w:spacing w:after="0"/>
              <w:rPr>
                <w:sz w:val="12"/>
                <w:szCs w:val="12"/>
                <w:color w:val="auto"/>
              </w:rPr>
            </w:pPr>
          </w:p>
        </w:tc>
        <w:tc>
          <w:tcPr>
            <w:tcW w:w="1300" w:type="dxa"/>
            <w:vAlign w:val="bottom"/>
            <w:tcBorders>
              <w:top w:val="single" w:sz="8" w:color="0000FF"/>
              <w:bottom w:val="single" w:sz="8" w:color="0000FF"/>
            </w:tcBorders>
            <w:gridSpan w:val="6"/>
          </w:tcPr>
          <w:p>
            <w:pPr>
              <w:spacing w:after="0" w:line="149" w:lineRule="exact"/>
              <w:rPr>
                <w:sz w:val="20"/>
                <w:szCs w:val="20"/>
                <w:color w:val="auto"/>
              </w:rPr>
            </w:pPr>
            <w:r>
              <w:rPr>
                <w:rFonts w:ascii="Times New Roman" w:cs="Times New Roman" w:eastAsia="Times New Roman" w:hAnsi="Times New Roman"/>
                <w:sz w:val="17"/>
                <w:szCs w:val="17"/>
                <w:color w:val="0000FF"/>
              </w:rPr>
              <w:t>30, 2024 and 2023</w:t>
            </w:r>
          </w:p>
        </w:tc>
        <w:tc>
          <w:tcPr>
            <w:tcW w:w="8200" w:type="dxa"/>
            <w:vAlign w:val="bottom"/>
            <w:tcBorders>
              <w:top w:val="single" w:sz="8" w:color="0000FF"/>
            </w:tcBorders>
            <w:gridSpan w:val="10"/>
          </w:tcPr>
          <w:p>
            <w:pPr>
              <w:spacing w:after="0"/>
              <w:rPr>
                <w:sz w:val="12"/>
                <w:szCs w:val="12"/>
                <w:color w:val="auto"/>
              </w:rPr>
            </w:pPr>
          </w:p>
        </w:tc>
        <w:tc>
          <w:tcPr>
            <w:tcW w:w="120" w:type="dxa"/>
            <w:vAlign w:val="bottom"/>
            <w:gridSpan w:val="2"/>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9"/>
        </w:trPr>
        <w:tc>
          <w:tcPr>
            <w:tcW w:w="920" w:type="dxa"/>
            <w:vAlign w:val="bottom"/>
          </w:tcPr>
          <w:p>
            <w:pPr>
              <w:spacing w:after="0"/>
              <w:rPr>
                <w:sz w:val="24"/>
                <w:szCs w:val="24"/>
                <w:color w:val="auto"/>
              </w:rPr>
            </w:pPr>
          </w:p>
        </w:tc>
        <w:tc>
          <w:tcPr>
            <w:tcW w:w="4720" w:type="dxa"/>
            <w:vAlign w:val="bottom"/>
            <w:gridSpan w:val="11"/>
          </w:tcPr>
          <w:p>
            <w:pPr>
              <w:spacing w:after="0"/>
              <w:rPr>
                <w:sz w:val="20"/>
                <w:szCs w:val="20"/>
                <w:color w:val="auto"/>
              </w:rPr>
            </w:pPr>
            <w:r>
              <w:rPr>
                <w:rFonts w:ascii="Times New Roman" w:cs="Times New Roman" w:eastAsia="Times New Roman" w:hAnsi="Times New Roman"/>
                <w:sz w:val="17"/>
                <w:szCs w:val="17"/>
                <w:color w:val="0000FF"/>
              </w:rPr>
              <w:t>Notes to Condensed Consolidated Financial Statements (Unaudited)</w:t>
            </w:r>
          </w:p>
        </w:tc>
        <w:tc>
          <w:tcPr>
            <w:tcW w:w="4900" w:type="dxa"/>
            <w:vAlign w:val="bottom"/>
            <w:gridSpan w:val="7"/>
          </w:tcPr>
          <w:p>
            <w:pPr>
              <w:spacing w:after="0"/>
              <w:rPr>
                <w:sz w:val="24"/>
                <w:szCs w:val="24"/>
                <w:color w:val="auto"/>
              </w:rPr>
            </w:pPr>
          </w:p>
        </w:tc>
        <w:tc>
          <w:tcPr>
            <w:tcW w:w="660" w:type="dxa"/>
            <w:vAlign w:val="bottom"/>
            <w:gridSpan w:val="4"/>
          </w:tcPr>
          <w:p>
            <w:pPr>
              <w:jc w:val="right"/>
              <w:ind w:right="20"/>
              <w:spacing w:after="0"/>
              <w:rPr>
                <w:sz w:val="20"/>
                <w:szCs w:val="20"/>
                <w:color w:val="auto"/>
              </w:rPr>
            </w:pPr>
            <w:r>
              <w:rPr>
                <w:rFonts w:ascii="Times New Roman" w:cs="Times New Roman" w:eastAsia="Times New Roman" w:hAnsi="Times New Roman"/>
                <w:sz w:val="17"/>
                <w:szCs w:val="17"/>
                <w:color w:val="0000FF"/>
              </w:rPr>
              <w:t>9</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gridSpan w:val="3"/>
            <w:shd w:val="clear" w:color="auto" w:fill="0000FF"/>
          </w:tcPr>
          <w:p>
            <w:pPr>
              <w:spacing w:after="0" w:line="20" w:lineRule="exact"/>
              <w:rPr>
                <w:sz w:val="1"/>
                <w:szCs w:val="1"/>
                <w:color w:val="auto"/>
              </w:rPr>
            </w:pPr>
          </w:p>
        </w:tc>
        <w:tc>
          <w:tcPr>
            <w:tcW w:w="24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3420" w:type="dxa"/>
            <w:vAlign w:val="bottom"/>
            <w:gridSpan w:val="6"/>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6"/>
        </w:trPr>
        <w:tc>
          <w:tcPr>
            <w:tcW w:w="920" w:type="dxa"/>
            <w:vAlign w:val="bottom"/>
          </w:tcPr>
          <w:p>
            <w:pPr>
              <w:spacing w:after="0"/>
              <w:rPr>
                <w:sz w:val="20"/>
                <w:szCs w:val="20"/>
                <w:color w:val="auto"/>
              </w:rPr>
            </w:pPr>
            <w:r>
              <w:rPr>
                <w:rFonts w:ascii="Times New Roman" w:cs="Times New Roman" w:eastAsia="Times New Roman" w:hAnsi="Times New Roman"/>
                <w:sz w:val="17"/>
                <w:szCs w:val="17"/>
                <w:color w:val="auto"/>
              </w:rPr>
              <w:t>Item 2.</w:t>
            </w:r>
          </w:p>
        </w:tc>
        <w:tc>
          <w:tcPr>
            <w:tcW w:w="9620" w:type="dxa"/>
            <w:vAlign w:val="bottom"/>
            <w:gridSpan w:val="18"/>
          </w:tcPr>
          <w:p>
            <w:pPr>
              <w:spacing w:after="0"/>
              <w:rPr>
                <w:sz w:val="20"/>
                <w:szCs w:val="20"/>
                <w:color w:val="auto"/>
              </w:rPr>
            </w:pPr>
            <w:r>
              <w:rPr>
                <w:rFonts w:ascii="Times New Roman" w:cs="Times New Roman" w:eastAsia="Times New Roman" w:hAnsi="Times New Roman"/>
                <w:sz w:val="17"/>
                <w:szCs w:val="17"/>
                <w:color w:val="0000FF"/>
              </w:rPr>
              <w:t>Management’s Discussion and Analysis of Financial Condition and Results of Operations</w:t>
            </w:r>
          </w:p>
        </w:tc>
        <w:tc>
          <w:tcPr>
            <w:tcW w:w="660" w:type="dxa"/>
            <w:vAlign w:val="bottom"/>
            <w:gridSpan w:val="4"/>
          </w:tcPr>
          <w:p>
            <w:pPr>
              <w:jc w:val="right"/>
              <w:ind w:right="20"/>
              <w:spacing w:after="0"/>
              <w:rPr>
                <w:sz w:val="20"/>
                <w:szCs w:val="20"/>
                <w:color w:val="auto"/>
              </w:rPr>
            </w:pPr>
            <w:r>
              <w:rPr>
                <w:rFonts w:ascii="Times New Roman" w:cs="Times New Roman" w:eastAsia="Times New Roman" w:hAnsi="Times New Roman"/>
                <w:sz w:val="17"/>
                <w:szCs w:val="17"/>
                <w:color w:val="0000FF"/>
              </w:rPr>
              <w:t>39</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gridSpan w:val="3"/>
            <w:shd w:val="clear" w:color="auto" w:fill="0000FF"/>
          </w:tcPr>
          <w:p>
            <w:pPr>
              <w:spacing w:after="0" w:line="20" w:lineRule="exact"/>
              <w:rPr>
                <w:sz w:val="1"/>
                <w:szCs w:val="1"/>
                <w:color w:val="auto"/>
              </w:rPr>
            </w:pPr>
          </w:p>
        </w:tc>
        <w:tc>
          <w:tcPr>
            <w:tcW w:w="24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20" w:type="dxa"/>
            <w:vAlign w:val="bottom"/>
            <w:gridSpan w:val="2"/>
            <w:shd w:val="clear" w:color="auto" w:fill="0000FF"/>
          </w:tcPr>
          <w:p>
            <w:pPr>
              <w:spacing w:after="0" w:line="20" w:lineRule="exact"/>
              <w:rPr>
                <w:sz w:val="1"/>
                <w:szCs w:val="1"/>
                <w:color w:val="auto"/>
              </w:rPr>
            </w:pPr>
          </w:p>
        </w:tc>
        <w:tc>
          <w:tcPr>
            <w:tcW w:w="3420" w:type="dxa"/>
            <w:vAlign w:val="bottom"/>
            <w:gridSpan w:val="6"/>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6"/>
        </w:trPr>
        <w:tc>
          <w:tcPr>
            <w:tcW w:w="920" w:type="dxa"/>
            <w:vAlign w:val="bottom"/>
          </w:tcPr>
          <w:p>
            <w:pPr>
              <w:spacing w:after="0"/>
              <w:rPr>
                <w:sz w:val="20"/>
                <w:szCs w:val="20"/>
                <w:color w:val="auto"/>
              </w:rPr>
            </w:pPr>
            <w:r>
              <w:rPr>
                <w:rFonts w:ascii="Times New Roman" w:cs="Times New Roman" w:eastAsia="Times New Roman" w:hAnsi="Times New Roman"/>
                <w:sz w:val="17"/>
                <w:szCs w:val="17"/>
                <w:color w:val="auto"/>
              </w:rPr>
              <w:t>Item 3.</w:t>
            </w:r>
          </w:p>
        </w:tc>
        <w:tc>
          <w:tcPr>
            <w:tcW w:w="4180" w:type="dxa"/>
            <w:vAlign w:val="bottom"/>
            <w:gridSpan w:val="10"/>
          </w:tcPr>
          <w:p>
            <w:pPr>
              <w:spacing w:after="0"/>
              <w:rPr>
                <w:sz w:val="20"/>
                <w:szCs w:val="20"/>
                <w:color w:val="auto"/>
              </w:rPr>
            </w:pPr>
            <w:r>
              <w:rPr>
                <w:rFonts w:ascii="Times New Roman" w:cs="Times New Roman" w:eastAsia="Times New Roman" w:hAnsi="Times New Roman"/>
                <w:sz w:val="17"/>
                <w:szCs w:val="17"/>
                <w:color w:val="0000FF"/>
              </w:rPr>
              <w:t>Quantitative and Qualitative Disclosures about Market Risk</w:t>
            </w:r>
          </w:p>
        </w:tc>
        <w:tc>
          <w:tcPr>
            <w:tcW w:w="2020" w:type="dxa"/>
            <w:vAlign w:val="bottom"/>
            <w:gridSpan w:val="2"/>
          </w:tcPr>
          <w:p>
            <w:pPr>
              <w:spacing w:after="0"/>
              <w:rPr>
                <w:sz w:val="24"/>
                <w:szCs w:val="24"/>
                <w:color w:val="auto"/>
              </w:rPr>
            </w:pPr>
          </w:p>
        </w:tc>
        <w:tc>
          <w:tcPr>
            <w:tcW w:w="3420" w:type="dxa"/>
            <w:vAlign w:val="bottom"/>
            <w:gridSpan w:val="6"/>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7"/>
                <w:szCs w:val="17"/>
                <w:color w:val="0000FF"/>
                <w:w w:val="93"/>
              </w:rPr>
              <w:t>56</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gridSpan w:val="3"/>
            <w:shd w:val="clear" w:color="auto" w:fill="0000FF"/>
          </w:tcPr>
          <w:p>
            <w:pPr>
              <w:spacing w:after="0" w:line="20" w:lineRule="exact"/>
              <w:rPr>
                <w:sz w:val="1"/>
                <w:szCs w:val="1"/>
                <w:color w:val="auto"/>
              </w:rPr>
            </w:pPr>
          </w:p>
        </w:tc>
        <w:tc>
          <w:tcPr>
            <w:tcW w:w="2480" w:type="dxa"/>
            <w:vAlign w:val="bottom"/>
            <w:gridSpan w:val="2"/>
            <w:shd w:val="clear" w:color="auto" w:fill="0000FF"/>
          </w:tcPr>
          <w:p>
            <w:pPr>
              <w:spacing w:after="0" w:line="20" w:lineRule="exact"/>
              <w:rPr>
                <w:sz w:val="1"/>
                <w:szCs w:val="1"/>
                <w:color w:val="auto"/>
              </w:rPr>
            </w:pPr>
          </w:p>
        </w:tc>
        <w:tc>
          <w:tcPr>
            <w:tcW w:w="5440" w:type="dxa"/>
            <w:vAlign w:val="bottom"/>
            <w:gridSpan w:val="8"/>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6"/>
        </w:trPr>
        <w:tc>
          <w:tcPr>
            <w:tcW w:w="920" w:type="dxa"/>
            <w:vAlign w:val="bottom"/>
          </w:tcPr>
          <w:p>
            <w:pPr>
              <w:spacing w:after="0"/>
              <w:rPr>
                <w:sz w:val="20"/>
                <w:szCs w:val="20"/>
                <w:color w:val="auto"/>
              </w:rPr>
            </w:pPr>
            <w:r>
              <w:rPr>
                <w:rFonts w:ascii="Times New Roman" w:cs="Times New Roman" w:eastAsia="Times New Roman" w:hAnsi="Times New Roman"/>
                <w:sz w:val="17"/>
                <w:szCs w:val="17"/>
                <w:color w:val="auto"/>
              </w:rPr>
              <w:t>Item 4.</w:t>
            </w:r>
          </w:p>
        </w:tc>
        <w:tc>
          <w:tcPr>
            <w:tcW w:w="4180" w:type="dxa"/>
            <w:vAlign w:val="bottom"/>
            <w:gridSpan w:val="10"/>
          </w:tcPr>
          <w:p>
            <w:pPr>
              <w:spacing w:after="0"/>
              <w:rPr>
                <w:sz w:val="20"/>
                <w:szCs w:val="20"/>
                <w:color w:val="auto"/>
              </w:rPr>
            </w:pPr>
            <w:r>
              <w:rPr>
                <w:rFonts w:ascii="Times New Roman" w:cs="Times New Roman" w:eastAsia="Times New Roman" w:hAnsi="Times New Roman"/>
                <w:sz w:val="17"/>
                <w:szCs w:val="17"/>
                <w:color w:val="0000FF"/>
              </w:rPr>
              <w:t>Controls and Procedures</w:t>
            </w:r>
          </w:p>
        </w:tc>
        <w:tc>
          <w:tcPr>
            <w:tcW w:w="5440" w:type="dxa"/>
            <w:vAlign w:val="bottom"/>
            <w:gridSpan w:val="8"/>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7"/>
                <w:szCs w:val="17"/>
                <w:color w:val="0000FF"/>
                <w:w w:val="93"/>
              </w:rPr>
              <w:t>57</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gridSpan w:val="3"/>
            <w:shd w:val="clear" w:color="auto" w:fill="0000FF"/>
          </w:tcPr>
          <w:p>
            <w:pPr>
              <w:spacing w:after="0" w:line="20" w:lineRule="exact"/>
              <w:rPr>
                <w:sz w:val="1"/>
                <w:szCs w:val="1"/>
                <w:color w:val="auto"/>
              </w:rPr>
            </w:pPr>
          </w:p>
        </w:tc>
        <w:tc>
          <w:tcPr>
            <w:tcW w:w="2480" w:type="dxa"/>
            <w:vAlign w:val="bottom"/>
            <w:gridSpan w:val="2"/>
          </w:tcPr>
          <w:p>
            <w:pPr>
              <w:spacing w:after="0" w:line="20" w:lineRule="exact"/>
              <w:rPr>
                <w:sz w:val="1"/>
                <w:szCs w:val="1"/>
                <w:color w:val="auto"/>
              </w:rPr>
            </w:pPr>
          </w:p>
        </w:tc>
        <w:tc>
          <w:tcPr>
            <w:tcW w:w="5440" w:type="dxa"/>
            <w:vAlign w:val="bottom"/>
            <w:gridSpan w:val="8"/>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9"/>
        </w:trPr>
        <w:tc>
          <w:tcPr>
            <w:tcW w:w="10540" w:type="dxa"/>
            <w:vAlign w:val="bottom"/>
            <w:gridSpan w:val="19"/>
          </w:tcPr>
          <w:p>
            <w:pPr>
              <w:spacing w:after="0"/>
              <w:rPr>
                <w:sz w:val="20"/>
                <w:szCs w:val="20"/>
                <w:color w:val="auto"/>
              </w:rPr>
            </w:pPr>
            <w:r>
              <w:rPr>
                <w:rFonts w:ascii="Times New Roman" w:cs="Times New Roman" w:eastAsia="Times New Roman" w:hAnsi="Times New Roman"/>
                <w:sz w:val="17"/>
                <w:szCs w:val="17"/>
                <w:b w:val="1"/>
                <w:bCs w:val="1"/>
                <w:color w:val="auto"/>
              </w:rPr>
              <w:t>PART II. Other Information</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1"/>
        </w:trPr>
        <w:tc>
          <w:tcPr>
            <w:tcW w:w="920" w:type="dxa"/>
            <w:vAlign w:val="bottom"/>
          </w:tcPr>
          <w:p>
            <w:pPr>
              <w:spacing w:after="0"/>
              <w:rPr>
                <w:sz w:val="24"/>
                <w:szCs w:val="24"/>
                <w:color w:val="auto"/>
              </w:rPr>
            </w:pPr>
          </w:p>
        </w:tc>
        <w:tc>
          <w:tcPr>
            <w:tcW w:w="9620" w:type="dxa"/>
            <w:vAlign w:val="bottom"/>
            <w:gridSpan w:val="18"/>
          </w:tcPr>
          <w:p>
            <w:pPr>
              <w:spacing w:after="0"/>
              <w:rPr>
                <w:sz w:val="20"/>
                <w:szCs w:val="20"/>
                <w:color w:val="auto"/>
              </w:rPr>
            </w:pPr>
            <w:r>
              <w:rPr>
                <w:rFonts w:ascii="Times New Roman" w:cs="Times New Roman" w:eastAsia="Times New Roman" w:hAnsi="Times New Roman"/>
                <w:sz w:val="16"/>
                <w:szCs w:val="16"/>
                <w:b w:val="1"/>
                <w:bCs w:val="1"/>
                <w:color w:val="auto"/>
              </w:rPr>
              <w:t>Description</w:t>
            </w:r>
          </w:p>
        </w:tc>
        <w:tc>
          <w:tcPr>
            <w:tcW w:w="660" w:type="dxa"/>
            <w:vAlign w:val="bottom"/>
            <w:gridSpan w:val="4"/>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Page</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58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6"/>
        </w:trPr>
        <w:tc>
          <w:tcPr>
            <w:tcW w:w="920" w:type="dxa"/>
            <w:vAlign w:val="bottom"/>
          </w:tcPr>
          <w:p>
            <w:pPr>
              <w:spacing w:after="0"/>
              <w:rPr>
                <w:sz w:val="20"/>
                <w:szCs w:val="20"/>
                <w:color w:val="auto"/>
              </w:rPr>
            </w:pPr>
            <w:r>
              <w:rPr>
                <w:rFonts w:ascii="Times New Roman" w:cs="Times New Roman" w:eastAsia="Times New Roman" w:hAnsi="Times New Roman"/>
                <w:sz w:val="17"/>
                <w:szCs w:val="17"/>
                <w:color w:val="auto"/>
              </w:rPr>
              <w:t>Item 1.</w:t>
            </w:r>
          </w:p>
        </w:tc>
        <w:tc>
          <w:tcPr>
            <w:tcW w:w="9620" w:type="dxa"/>
            <w:vAlign w:val="bottom"/>
            <w:gridSpan w:val="18"/>
          </w:tcPr>
          <w:p>
            <w:pPr>
              <w:spacing w:after="0"/>
              <w:rPr>
                <w:sz w:val="20"/>
                <w:szCs w:val="20"/>
                <w:color w:val="auto"/>
              </w:rPr>
            </w:pPr>
            <w:r>
              <w:rPr>
                <w:rFonts w:ascii="Times New Roman" w:cs="Times New Roman" w:eastAsia="Times New Roman" w:hAnsi="Times New Roman"/>
                <w:sz w:val="17"/>
                <w:szCs w:val="17"/>
                <w:color w:val="0000FF"/>
              </w:rPr>
              <w:t>Legal Proceedings</w:t>
            </w:r>
          </w:p>
        </w:tc>
        <w:tc>
          <w:tcPr>
            <w:tcW w:w="660" w:type="dxa"/>
            <w:vAlign w:val="bottom"/>
            <w:gridSpan w:val="4"/>
          </w:tcPr>
          <w:p>
            <w:pPr>
              <w:jc w:val="right"/>
              <w:ind w:right="20"/>
              <w:spacing w:after="0"/>
              <w:rPr>
                <w:sz w:val="20"/>
                <w:szCs w:val="20"/>
                <w:color w:val="auto"/>
              </w:rPr>
            </w:pPr>
            <w:r>
              <w:rPr>
                <w:rFonts w:ascii="Times New Roman" w:cs="Times New Roman" w:eastAsia="Times New Roman" w:hAnsi="Times New Roman"/>
                <w:sz w:val="17"/>
                <w:szCs w:val="17"/>
                <w:color w:val="0000FF"/>
              </w:rPr>
              <w:t>59</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920" w:type="dxa"/>
            <w:vAlign w:val="bottom"/>
            <w:tcBorders>
              <w:left w:val="single" w:sz="8" w:color="0000FF"/>
            </w:tcBorders>
            <w:gridSpan w:val="5"/>
          </w:tcPr>
          <w:p>
            <w:pPr>
              <w:spacing w:after="0" w:line="20" w:lineRule="exact"/>
              <w:rPr>
                <w:sz w:val="1"/>
                <w:szCs w:val="1"/>
                <w:color w:val="auto"/>
              </w:rPr>
            </w:pPr>
          </w:p>
        </w:tc>
        <w:tc>
          <w:tcPr>
            <w:tcW w:w="5440" w:type="dxa"/>
            <w:vAlign w:val="bottom"/>
            <w:gridSpan w:val="8"/>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6"/>
        </w:trPr>
        <w:tc>
          <w:tcPr>
            <w:tcW w:w="920" w:type="dxa"/>
            <w:vAlign w:val="bottom"/>
          </w:tcPr>
          <w:p>
            <w:pPr>
              <w:spacing w:after="0"/>
              <w:rPr>
                <w:sz w:val="20"/>
                <w:szCs w:val="20"/>
                <w:color w:val="auto"/>
              </w:rPr>
            </w:pPr>
            <w:r>
              <w:rPr>
                <w:rFonts w:ascii="Times New Roman" w:cs="Times New Roman" w:eastAsia="Times New Roman" w:hAnsi="Times New Roman"/>
                <w:sz w:val="17"/>
                <w:szCs w:val="17"/>
                <w:color w:val="auto"/>
              </w:rPr>
              <w:t>Item 1A.</w:t>
            </w:r>
          </w:p>
        </w:tc>
        <w:tc>
          <w:tcPr>
            <w:tcW w:w="88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Risk Factors</w:t>
            </w:r>
          </w:p>
        </w:tc>
        <w:tc>
          <w:tcPr>
            <w:tcW w:w="380" w:type="dxa"/>
            <w:vAlign w:val="bottom"/>
          </w:tcPr>
          <w:p>
            <w:pPr>
              <w:spacing w:after="0"/>
              <w:rPr>
                <w:sz w:val="24"/>
                <w:szCs w:val="24"/>
                <w:color w:val="auto"/>
              </w:rPr>
            </w:pPr>
          </w:p>
        </w:tc>
        <w:tc>
          <w:tcPr>
            <w:tcW w:w="8360" w:type="dxa"/>
            <w:vAlign w:val="bottom"/>
            <w:gridSpan w:val="13"/>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7"/>
                <w:szCs w:val="17"/>
                <w:color w:val="0000FF"/>
                <w:w w:val="93"/>
              </w:rPr>
              <w:t>59</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920" w:type="dxa"/>
            <w:vAlign w:val="bottom"/>
            <w:gridSpan w:val="5"/>
          </w:tcPr>
          <w:p>
            <w:pPr>
              <w:spacing w:after="0" w:line="20" w:lineRule="exact"/>
              <w:rPr>
                <w:sz w:val="1"/>
                <w:szCs w:val="1"/>
                <w:color w:val="auto"/>
              </w:rPr>
            </w:pPr>
          </w:p>
        </w:tc>
        <w:tc>
          <w:tcPr>
            <w:tcW w:w="5440" w:type="dxa"/>
            <w:vAlign w:val="bottom"/>
            <w:gridSpan w:val="8"/>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6"/>
        </w:trPr>
        <w:tc>
          <w:tcPr>
            <w:tcW w:w="920" w:type="dxa"/>
            <w:vAlign w:val="bottom"/>
          </w:tcPr>
          <w:p>
            <w:pPr>
              <w:spacing w:after="0"/>
              <w:rPr>
                <w:sz w:val="20"/>
                <w:szCs w:val="20"/>
                <w:color w:val="auto"/>
              </w:rPr>
            </w:pPr>
            <w:r>
              <w:rPr>
                <w:rFonts w:ascii="Times New Roman" w:cs="Times New Roman" w:eastAsia="Times New Roman" w:hAnsi="Times New Roman"/>
                <w:sz w:val="17"/>
                <w:szCs w:val="17"/>
                <w:color w:val="auto"/>
              </w:rPr>
              <w:t>Item 2.</w:t>
            </w:r>
          </w:p>
        </w:tc>
        <w:tc>
          <w:tcPr>
            <w:tcW w:w="4180" w:type="dxa"/>
            <w:vAlign w:val="bottom"/>
            <w:gridSpan w:val="10"/>
          </w:tcPr>
          <w:p>
            <w:pPr>
              <w:spacing w:after="0"/>
              <w:rPr>
                <w:sz w:val="20"/>
                <w:szCs w:val="20"/>
                <w:color w:val="auto"/>
              </w:rPr>
            </w:pPr>
            <w:r>
              <w:rPr>
                <w:rFonts w:ascii="Times New Roman" w:cs="Times New Roman" w:eastAsia="Times New Roman" w:hAnsi="Times New Roman"/>
                <w:sz w:val="17"/>
                <w:szCs w:val="17"/>
                <w:color w:val="0000FF"/>
              </w:rPr>
              <w:t>Unregistered Sales of Equity Securities and Use of Proceeds</w:t>
            </w:r>
          </w:p>
        </w:tc>
        <w:tc>
          <w:tcPr>
            <w:tcW w:w="5440" w:type="dxa"/>
            <w:vAlign w:val="bottom"/>
            <w:gridSpan w:val="8"/>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7"/>
                <w:szCs w:val="17"/>
                <w:color w:val="0000FF"/>
                <w:w w:val="93"/>
              </w:rPr>
              <w:t>60</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20" w:type="dxa"/>
            <w:vAlign w:val="bottom"/>
            <w:gridSpan w:val="3"/>
            <w:shd w:val="clear" w:color="auto" w:fill="0000FF"/>
          </w:tcPr>
          <w:p>
            <w:pPr>
              <w:spacing w:after="0" w:line="20" w:lineRule="exact"/>
              <w:rPr>
                <w:sz w:val="1"/>
                <w:szCs w:val="1"/>
                <w:color w:val="auto"/>
              </w:rPr>
            </w:pPr>
          </w:p>
        </w:tc>
        <w:tc>
          <w:tcPr>
            <w:tcW w:w="2920" w:type="dxa"/>
            <w:vAlign w:val="bottom"/>
            <w:tcBorders>
              <w:left w:val="single" w:sz="8" w:color="0000FF"/>
            </w:tcBorders>
            <w:gridSpan w:val="5"/>
            <w:shd w:val="clear" w:color="auto" w:fill="0000FF"/>
          </w:tcPr>
          <w:p>
            <w:pPr>
              <w:spacing w:after="0" w:line="20" w:lineRule="exact"/>
              <w:rPr>
                <w:sz w:val="1"/>
                <w:szCs w:val="1"/>
                <w:color w:val="auto"/>
              </w:rPr>
            </w:pPr>
          </w:p>
        </w:tc>
        <w:tc>
          <w:tcPr>
            <w:tcW w:w="5440" w:type="dxa"/>
            <w:vAlign w:val="bottom"/>
            <w:gridSpan w:val="8"/>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6"/>
        </w:trPr>
        <w:tc>
          <w:tcPr>
            <w:tcW w:w="920" w:type="dxa"/>
            <w:vAlign w:val="bottom"/>
          </w:tcPr>
          <w:p>
            <w:pPr>
              <w:spacing w:after="0"/>
              <w:rPr>
                <w:sz w:val="20"/>
                <w:szCs w:val="20"/>
                <w:color w:val="auto"/>
              </w:rPr>
            </w:pPr>
            <w:r>
              <w:rPr>
                <w:rFonts w:ascii="Times New Roman" w:cs="Times New Roman" w:eastAsia="Times New Roman" w:hAnsi="Times New Roman"/>
                <w:sz w:val="17"/>
                <w:szCs w:val="17"/>
                <w:color w:val="auto"/>
              </w:rPr>
              <w:t>Item 5.</w:t>
            </w:r>
          </w:p>
        </w:tc>
        <w:tc>
          <w:tcPr>
            <w:tcW w:w="4180" w:type="dxa"/>
            <w:vAlign w:val="bottom"/>
            <w:gridSpan w:val="10"/>
          </w:tcPr>
          <w:p>
            <w:pPr>
              <w:spacing w:after="0"/>
              <w:rPr>
                <w:sz w:val="20"/>
                <w:szCs w:val="20"/>
                <w:color w:val="auto"/>
              </w:rPr>
            </w:pPr>
            <w:r>
              <w:rPr>
                <w:rFonts w:ascii="Times New Roman" w:cs="Times New Roman" w:eastAsia="Times New Roman" w:hAnsi="Times New Roman"/>
                <w:sz w:val="17"/>
                <w:szCs w:val="17"/>
                <w:color w:val="0000FF"/>
              </w:rPr>
              <w:t>Other Information</w:t>
            </w:r>
          </w:p>
        </w:tc>
        <w:tc>
          <w:tcPr>
            <w:tcW w:w="5440" w:type="dxa"/>
            <w:vAlign w:val="bottom"/>
            <w:gridSpan w:val="8"/>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7"/>
                <w:szCs w:val="17"/>
                <w:color w:val="0000FF"/>
                <w:w w:val="93"/>
              </w:rPr>
              <w:t>61</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20" w:type="dxa"/>
            <w:vAlign w:val="bottom"/>
            <w:gridSpan w:val="3"/>
            <w:shd w:val="clear" w:color="auto" w:fill="0000FF"/>
          </w:tcPr>
          <w:p>
            <w:pPr>
              <w:spacing w:after="0" w:line="20" w:lineRule="exact"/>
              <w:rPr>
                <w:sz w:val="1"/>
                <w:szCs w:val="1"/>
                <w:color w:val="auto"/>
              </w:rPr>
            </w:pPr>
          </w:p>
        </w:tc>
        <w:tc>
          <w:tcPr>
            <w:tcW w:w="8360" w:type="dxa"/>
            <w:vAlign w:val="bottom"/>
            <w:gridSpan w:val="13"/>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6"/>
        </w:trPr>
        <w:tc>
          <w:tcPr>
            <w:tcW w:w="920" w:type="dxa"/>
            <w:vAlign w:val="bottom"/>
          </w:tcPr>
          <w:p>
            <w:pPr>
              <w:spacing w:after="0"/>
              <w:rPr>
                <w:sz w:val="20"/>
                <w:szCs w:val="20"/>
                <w:color w:val="auto"/>
              </w:rPr>
            </w:pPr>
            <w:r>
              <w:rPr>
                <w:rFonts w:ascii="Times New Roman" w:cs="Times New Roman" w:eastAsia="Times New Roman" w:hAnsi="Times New Roman"/>
                <w:sz w:val="17"/>
                <w:szCs w:val="17"/>
                <w:color w:val="auto"/>
              </w:rPr>
              <w:t>Item 6.</w:t>
            </w:r>
          </w:p>
        </w:tc>
        <w:tc>
          <w:tcPr>
            <w:tcW w:w="580" w:type="dxa"/>
            <w:vAlign w:val="bottom"/>
          </w:tcPr>
          <w:p>
            <w:pPr>
              <w:spacing w:after="0"/>
              <w:rPr>
                <w:sz w:val="20"/>
                <w:szCs w:val="20"/>
                <w:color w:val="auto"/>
              </w:rPr>
            </w:pPr>
            <w:r>
              <w:rPr>
                <w:rFonts w:ascii="Times New Roman" w:cs="Times New Roman" w:eastAsia="Times New Roman" w:hAnsi="Times New Roman"/>
                <w:sz w:val="17"/>
                <w:szCs w:val="17"/>
                <w:color w:val="0000FF"/>
                <w:w w:val="98"/>
              </w:rPr>
              <w:t>Exhibits</w:t>
            </w:r>
          </w:p>
        </w:tc>
        <w:tc>
          <w:tcPr>
            <w:tcW w:w="680" w:type="dxa"/>
            <w:vAlign w:val="bottom"/>
            <w:gridSpan w:val="4"/>
          </w:tcPr>
          <w:p>
            <w:pPr>
              <w:spacing w:after="0"/>
              <w:rPr>
                <w:sz w:val="24"/>
                <w:szCs w:val="24"/>
                <w:color w:val="auto"/>
              </w:rPr>
            </w:pPr>
          </w:p>
        </w:tc>
        <w:tc>
          <w:tcPr>
            <w:tcW w:w="8360" w:type="dxa"/>
            <w:vAlign w:val="bottom"/>
            <w:gridSpan w:val="13"/>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7"/>
                <w:szCs w:val="17"/>
                <w:color w:val="0000FF"/>
                <w:w w:val="93"/>
              </w:rPr>
              <w:t>62</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80" w:type="dxa"/>
            <w:vAlign w:val="bottom"/>
            <w:gridSpan w:val="16"/>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6"/>
        </w:trPr>
        <w:tc>
          <w:tcPr>
            <w:tcW w:w="920" w:type="dxa"/>
            <w:vAlign w:val="bottom"/>
          </w:tcPr>
          <w:p>
            <w:pPr>
              <w:spacing w:after="0"/>
              <w:rPr>
                <w:sz w:val="24"/>
                <w:szCs w:val="24"/>
                <w:color w:val="auto"/>
              </w:rPr>
            </w:pPr>
          </w:p>
        </w:tc>
        <w:tc>
          <w:tcPr>
            <w:tcW w:w="7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Signatures</w:t>
            </w:r>
          </w:p>
        </w:tc>
        <w:tc>
          <w:tcPr>
            <w:tcW w:w="8880" w:type="dxa"/>
            <w:vAlign w:val="bottom"/>
            <w:gridSpan w:val="16"/>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7"/>
                <w:szCs w:val="17"/>
                <w:color w:val="0000FF"/>
                <w:w w:val="93"/>
              </w:rPr>
              <w:t>63</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3435" cy="419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Part I. Financial Information</w:t>
      </w:r>
    </w:p>
    <w:p>
      <w:pPr>
        <w:spacing w:after="0" w:line="193" w:lineRule="exact"/>
        <w:rPr>
          <w:sz w:val="20"/>
          <w:szCs w:val="20"/>
          <w:color w:val="auto"/>
        </w:rPr>
      </w:pPr>
    </w:p>
    <w:p>
      <w:pPr>
        <w:spacing w:after="0"/>
        <w:tabs>
          <w:tab w:leader="none" w:pos="680" w:val="left"/>
        </w:tabs>
        <w:rPr>
          <w:sz w:val="20"/>
          <w:szCs w:val="20"/>
          <w:color w:val="auto"/>
        </w:rPr>
      </w:pPr>
      <w:r>
        <w:rPr>
          <w:rFonts w:ascii="Times New Roman" w:cs="Times New Roman" w:eastAsia="Times New Roman" w:hAnsi="Times New Roman"/>
          <w:sz w:val="17"/>
          <w:szCs w:val="17"/>
          <w:b w:val="1"/>
          <w:bCs w:val="1"/>
          <w:color w:val="auto"/>
        </w:rPr>
        <w:t>Item 1.</w:t>
        <w:tab/>
        <w:t>FINANCIAL STATEMENTS</w:t>
      </w:r>
    </w:p>
    <w:p>
      <w:pPr>
        <w:spacing w:after="0" w:line="33"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17"/>
          <w:szCs w:val="17"/>
          <w:b w:val="1"/>
          <w:bCs w:val="1"/>
          <w:color w:val="auto"/>
        </w:rPr>
        <w:t>NCR Voyix Corporation</w:t>
      </w:r>
    </w:p>
    <w:p>
      <w:pPr>
        <w:spacing w:after="0" w:line="12"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7"/>
          <w:szCs w:val="17"/>
          <w:b w:val="1"/>
          <w:bCs w:val="1"/>
          <w:color w:val="auto"/>
        </w:rPr>
        <w:t>Condensed Consolidated Statements of Operations (Unaudited)</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58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580" w:type="dxa"/>
            <w:vAlign w:val="bottom"/>
            <w:gridSpan w:val="5"/>
          </w:tcPr>
          <w:p>
            <w:pPr>
              <w:ind w:left="10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00" w:type="dxa"/>
            <w:vAlign w:val="bottom"/>
          </w:tcPr>
          <w:p>
            <w:pPr>
              <w:spacing w:after="0"/>
              <w:rPr>
                <w:sz w:val="15"/>
                <w:szCs w:val="15"/>
                <w:color w:val="auto"/>
              </w:rPr>
            </w:pPr>
          </w:p>
        </w:tc>
        <w:tc>
          <w:tcPr>
            <w:tcW w:w="2380" w:type="dxa"/>
            <w:vAlign w:val="bottom"/>
            <w:gridSpan w:val="4"/>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23"/>
        </w:trPr>
        <w:tc>
          <w:tcPr>
            <w:tcW w:w="58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58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 except per share amounts</w:t>
            </w:r>
          </w:p>
        </w:tc>
        <w:tc>
          <w:tcPr>
            <w:tcW w:w="200" w:type="dxa"/>
            <w:vAlign w:val="bottom"/>
          </w:tcPr>
          <w:p>
            <w:pPr>
              <w:spacing w:after="0"/>
              <w:rPr>
                <w:sz w:val="18"/>
                <w:szCs w:val="18"/>
                <w:color w:val="auto"/>
              </w:rPr>
            </w:pPr>
          </w:p>
        </w:tc>
        <w:tc>
          <w:tcPr>
            <w:tcW w:w="1180" w:type="dxa"/>
            <w:vAlign w:val="bottom"/>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3"/>
        </w:trPr>
        <w:tc>
          <w:tcPr>
            <w:tcW w:w="58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3"/>
        </w:trPr>
        <w:tc>
          <w:tcPr>
            <w:tcW w:w="5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Product revenue</w:t>
            </w:r>
          </w:p>
        </w:tc>
        <w:tc>
          <w:tcPr>
            <w:tcW w:w="2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219</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296</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684</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875</w:t>
            </w:r>
          </w:p>
        </w:tc>
        <w:tc>
          <w:tcPr>
            <w:tcW w:w="0" w:type="dxa"/>
            <w:vAlign w:val="bottom"/>
          </w:tcPr>
          <w:p>
            <w:pPr>
              <w:spacing w:after="0"/>
              <w:rPr>
                <w:sz w:val="1"/>
                <w:szCs w:val="1"/>
                <w:color w:val="auto"/>
              </w:rPr>
            </w:pPr>
          </w:p>
        </w:tc>
      </w:tr>
      <w:tr>
        <w:trPr>
          <w:trHeight w:val="220"/>
        </w:trPr>
        <w:tc>
          <w:tcPr>
            <w:tcW w:w="58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Service revenue</w:t>
            </w:r>
          </w:p>
        </w:tc>
        <w:tc>
          <w:tcPr>
            <w:tcW w:w="2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492</w:t>
            </w:r>
          </w:p>
        </w:tc>
        <w:tc>
          <w:tcPr>
            <w:tcW w:w="14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513</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1,460</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1,507</w:t>
            </w:r>
          </w:p>
        </w:tc>
        <w:tc>
          <w:tcPr>
            <w:tcW w:w="0" w:type="dxa"/>
            <w:vAlign w:val="bottom"/>
          </w:tcPr>
          <w:p>
            <w:pPr>
              <w:spacing w:after="0"/>
              <w:rPr>
                <w:sz w:val="1"/>
                <w:szCs w:val="1"/>
                <w:color w:val="auto"/>
              </w:rPr>
            </w:pPr>
          </w:p>
        </w:tc>
      </w:tr>
      <w:tr>
        <w:trPr>
          <w:trHeight w:val="213"/>
        </w:trPr>
        <w:tc>
          <w:tcPr>
            <w:tcW w:w="5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Total revenue</w:t>
            </w:r>
          </w:p>
        </w:tc>
        <w:tc>
          <w:tcPr>
            <w:tcW w:w="20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711</w:t>
            </w:r>
          </w:p>
        </w:tc>
        <w:tc>
          <w:tcPr>
            <w:tcW w:w="14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809</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2,144</w:t>
            </w:r>
          </w:p>
        </w:tc>
        <w:tc>
          <w:tcPr>
            <w:tcW w:w="1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2,382</w:t>
            </w:r>
          </w:p>
        </w:tc>
        <w:tc>
          <w:tcPr>
            <w:tcW w:w="0" w:type="dxa"/>
            <w:vAlign w:val="bottom"/>
          </w:tcPr>
          <w:p>
            <w:pPr>
              <w:spacing w:after="0"/>
              <w:rPr>
                <w:sz w:val="1"/>
                <w:szCs w:val="1"/>
                <w:color w:val="auto"/>
              </w:rPr>
            </w:pPr>
          </w:p>
        </w:tc>
      </w:tr>
      <w:tr>
        <w:trPr>
          <w:trHeight w:val="213"/>
        </w:trPr>
        <w:tc>
          <w:tcPr>
            <w:tcW w:w="58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Cost of products</w:t>
            </w:r>
          </w:p>
        </w:tc>
        <w:tc>
          <w:tcPr>
            <w:tcW w:w="2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185</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253</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594</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771</w:t>
            </w:r>
          </w:p>
        </w:tc>
        <w:tc>
          <w:tcPr>
            <w:tcW w:w="0" w:type="dxa"/>
            <w:vAlign w:val="bottom"/>
          </w:tcPr>
          <w:p>
            <w:pPr>
              <w:spacing w:after="0"/>
              <w:rPr>
                <w:sz w:val="1"/>
                <w:szCs w:val="1"/>
                <w:color w:val="auto"/>
              </w:rPr>
            </w:pPr>
          </w:p>
        </w:tc>
      </w:tr>
      <w:tr>
        <w:trPr>
          <w:trHeight w:val="220"/>
        </w:trPr>
        <w:tc>
          <w:tcPr>
            <w:tcW w:w="5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Cost of services</w:t>
            </w: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360</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1,120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1,053</w:t>
            </w:r>
          </w:p>
        </w:tc>
        <w:tc>
          <w:tcPr>
            <w:tcW w:w="0" w:type="dxa"/>
            <w:vAlign w:val="bottom"/>
          </w:tcPr>
          <w:p>
            <w:pPr>
              <w:spacing w:after="0"/>
              <w:rPr>
                <w:sz w:val="1"/>
                <w:szCs w:val="1"/>
                <w:color w:val="auto"/>
              </w:rPr>
            </w:pPr>
          </w:p>
        </w:tc>
      </w:tr>
      <w:tr>
        <w:trPr>
          <w:trHeight w:val="220"/>
        </w:trPr>
        <w:tc>
          <w:tcPr>
            <w:tcW w:w="58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Selling, general and administrative expenses</w:t>
            </w: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113</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142</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340</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427</w:t>
            </w:r>
          </w:p>
        </w:tc>
        <w:tc>
          <w:tcPr>
            <w:tcW w:w="0" w:type="dxa"/>
            <w:vAlign w:val="bottom"/>
          </w:tcPr>
          <w:p>
            <w:pPr>
              <w:spacing w:after="0"/>
              <w:rPr>
                <w:sz w:val="1"/>
                <w:szCs w:val="1"/>
                <w:color w:val="auto"/>
              </w:rPr>
            </w:pPr>
          </w:p>
        </w:tc>
      </w:tr>
      <w:tr>
        <w:trPr>
          <w:trHeight w:val="220"/>
        </w:trPr>
        <w:tc>
          <w:tcPr>
            <w:tcW w:w="5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Research and development expenses</w:t>
            </w:r>
          </w:p>
        </w:tc>
        <w:tc>
          <w:tcPr>
            <w:tcW w:w="2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38</w:t>
            </w:r>
          </w:p>
        </w:tc>
        <w:tc>
          <w:tcPr>
            <w:tcW w:w="14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129</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98</w:t>
            </w:r>
          </w:p>
        </w:tc>
        <w:tc>
          <w:tcPr>
            <w:tcW w:w="0" w:type="dxa"/>
            <w:vAlign w:val="bottom"/>
          </w:tcPr>
          <w:p>
            <w:pPr>
              <w:spacing w:after="0"/>
              <w:rPr>
                <w:sz w:val="1"/>
                <w:szCs w:val="1"/>
                <w:color w:val="auto"/>
              </w:rPr>
            </w:pPr>
          </w:p>
        </w:tc>
      </w:tr>
      <w:tr>
        <w:trPr>
          <w:trHeight w:val="213"/>
        </w:trPr>
        <w:tc>
          <w:tcPr>
            <w:tcW w:w="58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b w:val="1"/>
                <w:bCs w:val="1"/>
                <w:color w:val="auto"/>
              </w:rPr>
              <w:t>Total operating expenses</w:t>
            </w:r>
          </w:p>
        </w:tc>
        <w:tc>
          <w:tcPr>
            <w:tcW w:w="2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696</w:t>
            </w:r>
          </w:p>
        </w:tc>
        <w:tc>
          <w:tcPr>
            <w:tcW w:w="14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785</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2,183</w:t>
            </w:r>
          </w:p>
        </w:tc>
        <w:tc>
          <w:tcPr>
            <w:tcW w:w="12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2,349</w:t>
            </w:r>
          </w:p>
        </w:tc>
        <w:tc>
          <w:tcPr>
            <w:tcW w:w="0" w:type="dxa"/>
            <w:vAlign w:val="bottom"/>
          </w:tcPr>
          <w:p>
            <w:pPr>
              <w:spacing w:after="0"/>
              <w:rPr>
                <w:sz w:val="1"/>
                <w:szCs w:val="1"/>
                <w:color w:val="auto"/>
              </w:rPr>
            </w:pPr>
          </w:p>
        </w:tc>
      </w:tr>
      <w:tr>
        <w:trPr>
          <w:trHeight w:val="213"/>
        </w:trPr>
        <w:tc>
          <w:tcPr>
            <w:tcW w:w="5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Income (loss) from operations</w:t>
            </w: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15</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(39)</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w:t>
            </w:r>
          </w:p>
        </w:tc>
        <w:tc>
          <w:tcPr>
            <w:tcW w:w="0" w:type="dxa"/>
            <w:vAlign w:val="bottom"/>
          </w:tcPr>
          <w:p>
            <w:pPr>
              <w:spacing w:after="0"/>
              <w:rPr>
                <w:sz w:val="1"/>
                <w:szCs w:val="1"/>
                <w:color w:val="auto"/>
              </w:rPr>
            </w:pPr>
          </w:p>
        </w:tc>
      </w:tr>
      <w:tr>
        <w:trPr>
          <w:trHeight w:val="220"/>
        </w:trPr>
        <w:tc>
          <w:tcPr>
            <w:tcW w:w="58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Gain (loss) on extinguishment of debt</w:t>
            </w: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8</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8</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0"/>
        </w:trPr>
        <w:tc>
          <w:tcPr>
            <w:tcW w:w="5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Interest expense</w:t>
            </w: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(40)</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(83)</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(120)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(257)</w:t>
            </w:r>
          </w:p>
        </w:tc>
        <w:tc>
          <w:tcPr>
            <w:tcW w:w="0" w:type="dxa"/>
            <w:vAlign w:val="bottom"/>
          </w:tcPr>
          <w:p>
            <w:pPr>
              <w:spacing w:after="0"/>
              <w:rPr>
                <w:sz w:val="1"/>
                <w:szCs w:val="1"/>
                <w:color w:val="auto"/>
              </w:rPr>
            </w:pPr>
          </w:p>
        </w:tc>
      </w:tr>
      <w:tr>
        <w:trPr>
          <w:trHeight w:val="220"/>
        </w:trPr>
        <w:tc>
          <w:tcPr>
            <w:tcW w:w="58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Other income (expense), net</w:t>
            </w:r>
          </w:p>
        </w:tc>
        <w:tc>
          <w:tcPr>
            <w:tcW w:w="2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(15)</w:t>
            </w:r>
          </w:p>
        </w:tc>
        <w:tc>
          <w:tcPr>
            <w:tcW w:w="14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(40)</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(33)</w:t>
            </w:r>
          </w:p>
        </w:tc>
        <w:tc>
          <w:tcPr>
            <w:tcW w:w="0" w:type="dxa"/>
            <w:vAlign w:val="bottom"/>
          </w:tcPr>
          <w:p>
            <w:pPr>
              <w:spacing w:after="0"/>
              <w:rPr>
                <w:sz w:val="1"/>
                <w:szCs w:val="1"/>
                <w:color w:val="auto"/>
              </w:rPr>
            </w:pPr>
          </w:p>
        </w:tc>
      </w:tr>
      <w:tr>
        <w:trPr>
          <w:trHeight w:val="213"/>
        </w:trPr>
        <w:tc>
          <w:tcPr>
            <w:tcW w:w="5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Income (loss) from continuing operations before income taxes</w:t>
            </w: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(32)</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(79)</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(191)</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(257)</w:t>
            </w:r>
          </w:p>
        </w:tc>
        <w:tc>
          <w:tcPr>
            <w:tcW w:w="0" w:type="dxa"/>
            <w:vAlign w:val="bottom"/>
          </w:tcPr>
          <w:p>
            <w:pPr>
              <w:spacing w:after="0"/>
              <w:rPr>
                <w:sz w:val="1"/>
                <w:szCs w:val="1"/>
                <w:color w:val="auto"/>
              </w:rPr>
            </w:pPr>
          </w:p>
        </w:tc>
      </w:tr>
      <w:tr>
        <w:trPr>
          <w:trHeight w:val="220"/>
        </w:trPr>
        <w:tc>
          <w:tcPr>
            <w:tcW w:w="58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Income tax expense (benefit)</w:t>
            </w:r>
          </w:p>
        </w:tc>
        <w:tc>
          <w:tcPr>
            <w:tcW w:w="2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(1)</w:t>
            </w:r>
          </w:p>
        </w:tc>
        <w:tc>
          <w:tcPr>
            <w:tcW w:w="14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187</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3</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200</w:t>
            </w:r>
          </w:p>
        </w:tc>
        <w:tc>
          <w:tcPr>
            <w:tcW w:w="0" w:type="dxa"/>
            <w:vAlign w:val="bottom"/>
          </w:tcPr>
          <w:p>
            <w:pPr>
              <w:spacing w:after="0"/>
              <w:rPr>
                <w:sz w:val="1"/>
                <w:szCs w:val="1"/>
                <w:color w:val="auto"/>
              </w:rPr>
            </w:pPr>
          </w:p>
        </w:tc>
      </w:tr>
      <w:tr>
        <w:trPr>
          <w:trHeight w:val="213"/>
        </w:trPr>
        <w:tc>
          <w:tcPr>
            <w:tcW w:w="5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Income (loss) from continuing operations</w:t>
            </w: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(31)</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(266)</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(194)</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(457)</w:t>
            </w:r>
          </w:p>
        </w:tc>
        <w:tc>
          <w:tcPr>
            <w:tcW w:w="0" w:type="dxa"/>
            <w:vAlign w:val="bottom"/>
          </w:tcPr>
          <w:p>
            <w:pPr>
              <w:spacing w:after="0"/>
              <w:rPr>
                <w:sz w:val="1"/>
                <w:szCs w:val="1"/>
                <w:color w:val="auto"/>
              </w:rPr>
            </w:pPr>
          </w:p>
        </w:tc>
      </w:tr>
      <w:tr>
        <w:trPr>
          <w:trHeight w:val="220"/>
        </w:trPr>
        <w:tc>
          <w:tcPr>
            <w:tcW w:w="58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Income (loss) from discontinued operations, net of tax</w:t>
            </w:r>
          </w:p>
        </w:tc>
        <w:tc>
          <w:tcPr>
            <w:tcW w:w="2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1,113</w:t>
            </w:r>
          </w:p>
        </w:tc>
        <w:tc>
          <w:tcPr>
            <w:tcW w:w="14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138</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1,162</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353</w:t>
            </w:r>
          </w:p>
        </w:tc>
        <w:tc>
          <w:tcPr>
            <w:tcW w:w="0" w:type="dxa"/>
            <w:vAlign w:val="bottom"/>
          </w:tcPr>
          <w:p>
            <w:pPr>
              <w:spacing w:after="0"/>
              <w:rPr>
                <w:sz w:val="1"/>
                <w:szCs w:val="1"/>
                <w:color w:val="auto"/>
              </w:rPr>
            </w:pPr>
          </w:p>
        </w:tc>
      </w:tr>
      <w:tr>
        <w:trPr>
          <w:trHeight w:val="213"/>
        </w:trPr>
        <w:tc>
          <w:tcPr>
            <w:tcW w:w="5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Net income (loss)</w:t>
            </w: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1,082</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(128)</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968</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(104)</w:t>
            </w:r>
          </w:p>
        </w:tc>
        <w:tc>
          <w:tcPr>
            <w:tcW w:w="0" w:type="dxa"/>
            <w:vAlign w:val="bottom"/>
          </w:tcPr>
          <w:p>
            <w:pPr>
              <w:spacing w:after="0"/>
              <w:rPr>
                <w:sz w:val="1"/>
                <w:szCs w:val="1"/>
                <w:color w:val="auto"/>
              </w:rPr>
            </w:pPr>
          </w:p>
        </w:tc>
      </w:tr>
      <w:tr>
        <w:trPr>
          <w:trHeight w:val="220"/>
        </w:trPr>
        <w:tc>
          <w:tcPr>
            <w:tcW w:w="58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income (loss) attributable to noncontrolling interests</w:t>
            </w:r>
          </w:p>
        </w:tc>
        <w:tc>
          <w:tcPr>
            <w:tcW w:w="200" w:type="dxa"/>
            <w:vAlign w:val="bottom"/>
          </w:tcPr>
          <w:p>
            <w:pPr>
              <w:spacing w:after="0"/>
              <w:rPr>
                <w:sz w:val="19"/>
                <w:szCs w:val="19"/>
                <w:color w:val="auto"/>
              </w:rPr>
            </w:pP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b w:val="1"/>
                <w:bCs w:val="1"/>
                <w:color w:val="auto"/>
              </w:rPr>
              <w:t>—</w:t>
            </w:r>
          </w:p>
        </w:tc>
        <w:tc>
          <w:tcPr>
            <w:tcW w:w="260" w:type="dxa"/>
            <w:vAlign w:val="bottom"/>
          </w:tcPr>
          <w:p>
            <w:pPr>
              <w:spacing w:after="0"/>
              <w:rPr>
                <w:sz w:val="19"/>
                <w:szCs w:val="19"/>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(1)</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0"/>
        </w:trPr>
        <w:tc>
          <w:tcPr>
            <w:tcW w:w="5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income (loss) attributable to noncontrolling interests of discontinued operations</w:t>
            </w:r>
          </w:p>
        </w:tc>
        <w:tc>
          <w:tcPr>
            <w:tcW w:w="20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b w:val="1"/>
                <w:bCs w:val="1"/>
                <w:color w:val="auto"/>
              </w:rPr>
              <w:t>—</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b w:val="1"/>
                <w:bCs w:val="1"/>
                <w:color w:val="auto"/>
              </w:rPr>
              <w:t>—</w:t>
            </w: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0" w:type="dxa"/>
            <w:vAlign w:val="bottom"/>
          </w:tcPr>
          <w:p>
            <w:pPr>
              <w:spacing w:after="0"/>
              <w:rPr>
                <w:sz w:val="1"/>
                <w:szCs w:val="1"/>
                <w:color w:val="auto"/>
              </w:rPr>
            </w:pPr>
          </w:p>
        </w:tc>
      </w:tr>
      <w:tr>
        <w:trPr>
          <w:trHeight w:val="213"/>
        </w:trPr>
        <w:tc>
          <w:tcPr>
            <w:tcW w:w="588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Net income (loss) attributable to NCR Voyix</w:t>
            </w:r>
          </w:p>
        </w:tc>
        <w:tc>
          <w:tcPr>
            <w:tcW w:w="20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1,082</w:t>
            </w:r>
          </w:p>
        </w:tc>
        <w:tc>
          <w:tcPr>
            <w:tcW w:w="14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(129)</w:t>
            </w:r>
          </w:p>
        </w:tc>
        <w:tc>
          <w:tcPr>
            <w:tcW w:w="12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969</w:t>
            </w:r>
          </w:p>
        </w:tc>
        <w:tc>
          <w:tcPr>
            <w:tcW w:w="12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(105)</w:t>
            </w:r>
          </w:p>
        </w:tc>
        <w:tc>
          <w:tcPr>
            <w:tcW w:w="0" w:type="dxa"/>
            <w:vAlign w:val="bottom"/>
          </w:tcPr>
          <w:p>
            <w:pPr>
              <w:spacing w:after="0"/>
              <w:rPr>
                <w:sz w:val="1"/>
                <w:szCs w:val="1"/>
                <w:color w:val="auto"/>
              </w:rPr>
            </w:pPr>
          </w:p>
        </w:tc>
      </w:tr>
      <w:tr>
        <w:trPr>
          <w:trHeight w:val="20"/>
        </w:trPr>
        <w:tc>
          <w:tcPr>
            <w:tcW w:w="58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5880" w:type="dxa"/>
            <w:vAlign w:val="bottom"/>
            <w:shd w:val="clear" w:color="auto" w:fill="CCEEFF"/>
          </w:tcPr>
          <w:p>
            <w:pPr>
              <w:ind w:left="20"/>
              <w:spacing w:after="0" w:line="186" w:lineRule="exact"/>
              <w:rPr>
                <w:sz w:val="20"/>
                <w:szCs w:val="20"/>
                <w:color w:val="auto"/>
              </w:rPr>
            </w:pPr>
            <w:r>
              <w:rPr>
                <w:rFonts w:ascii="Times New Roman" w:cs="Times New Roman" w:eastAsia="Times New Roman" w:hAnsi="Times New Roman"/>
                <w:sz w:val="17"/>
                <w:szCs w:val="17"/>
                <w:b w:val="1"/>
                <w:bCs w:val="1"/>
                <w:color w:val="auto"/>
              </w:rPr>
              <w:t>Amounts attributable to NCR Voyix common stockholders:</w:t>
            </w:r>
          </w:p>
        </w:tc>
        <w:tc>
          <w:tcPr>
            <w:tcW w:w="20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58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Income (loss) from continuing operations</w:t>
            </w:r>
          </w:p>
        </w:tc>
        <w:tc>
          <w:tcPr>
            <w:tcW w:w="200" w:type="dxa"/>
            <w:vAlign w:val="bottom"/>
          </w:tcPr>
          <w:p>
            <w:pPr>
              <w:jc w:val="right"/>
              <w:ind w:right="1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(31)</w:t>
            </w:r>
          </w:p>
        </w:tc>
        <w:tc>
          <w:tcPr>
            <w:tcW w:w="140" w:type="dxa"/>
            <w:vAlign w:val="bottom"/>
          </w:tcPr>
          <w:p>
            <w:pPr>
              <w:spacing w:after="0"/>
              <w:rPr>
                <w:sz w:val="19"/>
                <w:szCs w:val="19"/>
                <w:color w:val="auto"/>
              </w:rPr>
            </w:pPr>
          </w:p>
        </w:tc>
        <w:tc>
          <w:tcPr>
            <w:tcW w:w="26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(266)</w:t>
            </w:r>
          </w:p>
        </w:tc>
        <w:tc>
          <w:tcPr>
            <w:tcW w:w="120" w:type="dxa"/>
            <w:vAlign w:val="bottom"/>
          </w:tcPr>
          <w:p>
            <w:pPr>
              <w:spacing w:after="0"/>
              <w:rPr>
                <w:sz w:val="19"/>
                <w:szCs w:val="19"/>
                <w:color w:val="auto"/>
              </w:rPr>
            </w:pPr>
          </w:p>
        </w:tc>
        <w:tc>
          <w:tcPr>
            <w:tcW w:w="200" w:type="dxa"/>
            <w:vAlign w:val="bottom"/>
          </w:tcPr>
          <w:p>
            <w:pPr>
              <w:jc w:val="right"/>
              <w:ind w:right="1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(193)</w:t>
            </w:r>
          </w:p>
        </w:tc>
        <w:tc>
          <w:tcPr>
            <w:tcW w:w="120" w:type="dxa"/>
            <w:vAlign w:val="bottom"/>
          </w:tcPr>
          <w:p>
            <w:pPr>
              <w:spacing w:after="0"/>
              <w:rPr>
                <w:sz w:val="19"/>
                <w:szCs w:val="19"/>
                <w:color w:val="auto"/>
              </w:rPr>
            </w:pPr>
          </w:p>
        </w:tc>
        <w:tc>
          <w:tcPr>
            <w:tcW w:w="280" w:type="dxa"/>
            <w:vAlign w:val="bottom"/>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(457)</w:t>
            </w:r>
          </w:p>
        </w:tc>
        <w:tc>
          <w:tcPr>
            <w:tcW w:w="0" w:type="dxa"/>
            <w:vAlign w:val="bottom"/>
          </w:tcPr>
          <w:p>
            <w:pPr>
              <w:spacing w:after="0"/>
              <w:rPr>
                <w:sz w:val="1"/>
                <w:szCs w:val="1"/>
                <w:color w:val="auto"/>
              </w:rPr>
            </w:pPr>
          </w:p>
        </w:tc>
      </w:tr>
      <w:tr>
        <w:trPr>
          <w:trHeight w:val="220"/>
        </w:trPr>
        <w:tc>
          <w:tcPr>
            <w:tcW w:w="5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Series A convertible preferred stock dividends</w:t>
            </w:r>
          </w:p>
        </w:tc>
        <w:tc>
          <w:tcPr>
            <w:tcW w:w="2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(4)</w:t>
            </w:r>
          </w:p>
        </w:tc>
        <w:tc>
          <w:tcPr>
            <w:tcW w:w="14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(12)</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w:t>
            </w:r>
          </w:p>
        </w:tc>
        <w:tc>
          <w:tcPr>
            <w:tcW w:w="0" w:type="dxa"/>
            <w:vAlign w:val="bottom"/>
          </w:tcPr>
          <w:p>
            <w:pPr>
              <w:spacing w:after="0"/>
              <w:rPr>
                <w:sz w:val="1"/>
                <w:szCs w:val="1"/>
                <w:color w:val="auto"/>
              </w:rPr>
            </w:pPr>
          </w:p>
        </w:tc>
      </w:tr>
      <w:tr>
        <w:trPr>
          <w:trHeight w:val="149"/>
        </w:trPr>
        <w:tc>
          <w:tcPr>
            <w:tcW w:w="5880" w:type="dxa"/>
            <w:vAlign w:val="bottom"/>
          </w:tcPr>
          <w:p>
            <w:pPr>
              <w:ind w:left="340"/>
              <w:spacing w:after="0" w:line="149" w:lineRule="exact"/>
              <w:rPr>
                <w:sz w:val="20"/>
                <w:szCs w:val="20"/>
                <w:color w:val="auto"/>
              </w:rPr>
            </w:pPr>
            <w:r>
              <w:rPr>
                <w:rFonts w:ascii="Times New Roman" w:cs="Times New Roman" w:eastAsia="Times New Roman" w:hAnsi="Times New Roman"/>
                <w:sz w:val="17"/>
                <w:szCs w:val="17"/>
                <w:color w:val="auto"/>
              </w:rPr>
              <w:t>Income (loss) from continuing operations attributable to NCR Voyix common</w:t>
            </w:r>
          </w:p>
        </w:tc>
        <w:tc>
          <w:tcPr>
            <w:tcW w:w="200" w:type="dxa"/>
            <w:vAlign w:val="bottom"/>
          </w:tcPr>
          <w:p>
            <w:pPr>
              <w:spacing w:after="0"/>
              <w:rPr>
                <w:sz w:val="12"/>
                <w:szCs w:val="12"/>
                <w:color w:val="auto"/>
              </w:rPr>
            </w:pPr>
          </w:p>
        </w:tc>
        <w:tc>
          <w:tcPr>
            <w:tcW w:w="1180" w:type="dxa"/>
            <w:vAlign w:val="bottom"/>
            <w:vMerge w:val="restart"/>
          </w:tcPr>
          <w:p>
            <w:pPr>
              <w:jc w:val="right"/>
              <w:spacing w:after="0"/>
              <w:rPr>
                <w:sz w:val="20"/>
                <w:szCs w:val="20"/>
                <w:color w:val="auto"/>
              </w:rPr>
            </w:pPr>
            <w:r>
              <w:rPr>
                <w:rFonts w:ascii="Times New Roman" w:cs="Times New Roman" w:eastAsia="Times New Roman" w:hAnsi="Times New Roman"/>
                <w:sz w:val="17"/>
                <w:szCs w:val="17"/>
                <w:b w:val="1"/>
                <w:bCs w:val="1"/>
                <w:color w:val="auto"/>
              </w:rPr>
              <w:t>(35)</w:t>
            </w: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b w:val="1"/>
                <w:bCs w:val="1"/>
                <w:color w:val="auto"/>
              </w:rPr>
              <w:t>(205)</w:t>
            </w: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3"/>
        </w:trPr>
        <w:tc>
          <w:tcPr>
            <w:tcW w:w="588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stockholders</w:t>
            </w:r>
          </w:p>
        </w:tc>
        <w:tc>
          <w:tcPr>
            <w:tcW w:w="200" w:type="dxa"/>
            <w:vAlign w:val="bottom"/>
          </w:tcPr>
          <w:p>
            <w:pPr>
              <w:spacing w:after="0"/>
              <w:rPr>
                <w:sz w:val="20"/>
                <w:szCs w:val="20"/>
                <w:color w:val="auto"/>
              </w:rPr>
            </w:pPr>
          </w:p>
        </w:tc>
        <w:tc>
          <w:tcPr>
            <w:tcW w:w="1180" w:type="dxa"/>
            <w:vAlign w:val="bottom"/>
            <w:vMerge w:val="continue"/>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(270)</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(469)</w:t>
            </w:r>
          </w:p>
        </w:tc>
        <w:tc>
          <w:tcPr>
            <w:tcW w:w="0" w:type="dxa"/>
            <w:vAlign w:val="bottom"/>
          </w:tcPr>
          <w:p>
            <w:pPr>
              <w:spacing w:after="0"/>
              <w:rPr>
                <w:sz w:val="1"/>
                <w:szCs w:val="1"/>
                <w:color w:val="auto"/>
              </w:rPr>
            </w:pPr>
          </w:p>
        </w:tc>
      </w:tr>
      <w:tr>
        <w:trPr>
          <w:trHeight w:val="220"/>
        </w:trPr>
        <w:tc>
          <w:tcPr>
            <w:tcW w:w="5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Income (loss) from discontinued operations, net of tax</w:t>
            </w:r>
          </w:p>
        </w:tc>
        <w:tc>
          <w:tcPr>
            <w:tcW w:w="2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1,113</w:t>
            </w:r>
          </w:p>
        </w:tc>
        <w:tc>
          <w:tcPr>
            <w:tcW w:w="14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137</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1,162</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352</w:t>
            </w:r>
          </w:p>
        </w:tc>
        <w:tc>
          <w:tcPr>
            <w:tcW w:w="0" w:type="dxa"/>
            <w:vAlign w:val="bottom"/>
          </w:tcPr>
          <w:p>
            <w:pPr>
              <w:spacing w:after="0"/>
              <w:rPr>
                <w:sz w:val="1"/>
                <w:szCs w:val="1"/>
                <w:color w:val="auto"/>
              </w:rPr>
            </w:pPr>
          </w:p>
        </w:tc>
      </w:tr>
      <w:tr>
        <w:trPr>
          <w:trHeight w:val="213"/>
        </w:trPr>
        <w:tc>
          <w:tcPr>
            <w:tcW w:w="588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Net income (loss) attributable to NCR Voyix common stockholders</w:t>
            </w:r>
          </w:p>
        </w:tc>
        <w:tc>
          <w:tcPr>
            <w:tcW w:w="20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1,078</w:t>
            </w:r>
          </w:p>
        </w:tc>
        <w:tc>
          <w:tcPr>
            <w:tcW w:w="140" w:type="dxa"/>
            <w:vAlign w:val="bottom"/>
          </w:tcPr>
          <w:p>
            <w:pPr>
              <w:spacing w:after="0"/>
              <w:rPr>
                <w:sz w:val="18"/>
                <w:szCs w:val="18"/>
                <w:color w:val="auto"/>
              </w:rPr>
            </w:pPr>
          </w:p>
        </w:tc>
        <w:tc>
          <w:tcPr>
            <w:tcW w:w="26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(133)</w:t>
            </w:r>
          </w:p>
        </w:tc>
        <w:tc>
          <w:tcPr>
            <w:tcW w:w="120" w:type="dxa"/>
            <w:vAlign w:val="bottom"/>
          </w:tcPr>
          <w:p>
            <w:pPr>
              <w:spacing w:after="0"/>
              <w:rPr>
                <w:sz w:val="18"/>
                <w:szCs w:val="18"/>
                <w:color w:val="auto"/>
              </w:rPr>
            </w:pPr>
          </w:p>
        </w:tc>
        <w:tc>
          <w:tcPr>
            <w:tcW w:w="20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957</w:t>
            </w:r>
          </w:p>
        </w:tc>
        <w:tc>
          <w:tcPr>
            <w:tcW w:w="120" w:type="dxa"/>
            <w:vAlign w:val="bottom"/>
          </w:tcPr>
          <w:p>
            <w:pPr>
              <w:spacing w:after="0"/>
              <w:rPr>
                <w:sz w:val="18"/>
                <w:szCs w:val="18"/>
                <w:color w:val="auto"/>
              </w:rPr>
            </w:pPr>
          </w:p>
        </w:tc>
        <w:tc>
          <w:tcPr>
            <w:tcW w:w="28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(117)</w:t>
            </w:r>
          </w:p>
        </w:tc>
        <w:tc>
          <w:tcPr>
            <w:tcW w:w="0" w:type="dxa"/>
            <w:vAlign w:val="bottom"/>
          </w:tcPr>
          <w:p>
            <w:pPr>
              <w:spacing w:after="0"/>
              <w:rPr>
                <w:sz w:val="1"/>
                <w:szCs w:val="1"/>
                <w:color w:val="auto"/>
              </w:rPr>
            </w:pPr>
          </w:p>
        </w:tc>
      </w:tr>
      <w:tr>
        <w:trPr>
          <w:trHeight w:val="20"/>
        </w:trPr>
        <w:tc>
          <w:tcPr>
            <w:tcW w:w="58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5880" w:type="dxa"/>
            <w:vAlign w:val="bottom"/>
            <w:shd w:val="clear" w:color="auto" w:fill="CCEEFF"/>
          </w:tcPr>
          <w:p>
            <w:pPr>
              <w:ind w:left="20"/>
              <w:spacing w:after="0" w:line="186" w:lineRule="exact"/>
              <w:rPr>
                <w:sz w:val="20"/>
                <w:szCs w:val="20"/>
                <w:color w:val="auto"/>
              </w:rPr>
            </w:pPr>
            <w:r>
              <w:rPr>
                <w:rFonts w:ascii="Times New Roman" w:cs="Times New Roman" w:eastAsia="Times New Roman" w:hAnsi="Times New Roman"/>
                <w:sz w:val="17"/>
                <w:szCs w:val="17"/>
                <w:b w:val="1"/>
                <w:bCs w:val="1"/>
                <w:color w:val="auto"/>
              </w:rPr>
              <w:t>Income (loss) per share attributable to NCR Voyix common stockholders:</w:t>
            </w:r>
          </w:p>
        </w:tc>
        <w:tc>
          <w:tcPr>
            <w:tcW w:w="20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588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Income (loss) per common share from continuing operations</w:t>
            </w:r>
          </w:p>
        </w:tc>
        <w:tc>
          <w:tcPr>
            <w:tcW w:w="2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58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Basic</w:t>
            </w:r>
          </w:p>
        </w:tc>
        <w:tc>
          <w:tcPr>
            <w:tcW w:w="20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(0.24)</w:t>
            </w:r>
          </w:p>
        </w:tc>
        <w:tc>
          <w:tcPr>
            <w:tcW w:w="14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(1.92)</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(1.42)</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(3.34)</w:t>
            </w:r>
          </w:p>
        </w:tc>
        <w:tc>
          <w:tcPr>
            <w:tcW w:w="0" w:type="dxa"/>
            <w:vAlign w:val="bottom"/>
          </w:tcPr>
          <w:p>
            <w:pPr>
              <w:spacing w:after="0"/>
              <w:rPr>
                <w:sz w:val="1"/>
                <w:szCs w:val="1"/>
                <w:color w:val="auto"/>
              </w:rPr>
            </w:pPr>
          </w:p>
        </w:tc>
      </w:tr>
      <w:tr>
        <w:trPr>
          <w:trHeight w:val="20"/>
        </w:trPr>
        <w:tc>
          <w:tcPr>
            <w:tcW w:w="5880" w:type="dxa"/>
            <w:vAlign w:val="bottom"/>
            <w:tcBorders>
              <w:top w:val="single" w:sz="8" w:color="CCEEFF"/>
              <w:bottom w:val="single" w:sz="8" w:color="CCEEFF"/>
            </w:tcBorders>
            <w:vMerge w:val="restart"/>
          </w:tcPr>
          <w:p>
            <w:pPr>
              <w:ind w:left="340"/>
              <w:spacing w:after="0"/>
              <w:rPr>
                <w:sz w:val="20"/>
                <w:szCs w:val="20"/>
                <w:color w:val="auto"/>
              </w:rPr>
            </w:pPr>
            <w:r>
              <w:rPr>
                <w:rFonts w:ascii="Times New Roman" w:cs="Times New Roman" w:eastAsia="Times New Roman" w:hAnsi="Times New Roman"/>
                <w:sz w:val="17"/>
                <w:szCs w:val="17"/>
                <w:color w:val="auto"/>
              </w:rPr>
              <w:t>Diluted</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5880" w:type="dxa"/>
            <w:vAlign w:val="bottom"/>
            <w:vMerge w:val="continue"/>
          </w:tcPr>
          <w:p>
            <w:pPr>
              <w:spacing w:after="0"/>
              <w:rPr>
                <w:sz w:val="16"/>
                <w:szCs w:val="16"/>
                <w:color w:val="auto"/>
              </w:rPr>
            </w:pPr>
          </w:p>
        </w:tc>
        <w:tc>
          <w:tcPr>
            <w:tcW w:w="200" w:type="dxa"/>
            <w:vAlign w:val="bottom"/>
            <w:tcBorders>
              <w:bottom w:val="single" w:sz="8" w:color="auto"/>
            </w:tcBorders>
          </w:tcPr>
          <w:p>
            <w:pPr>
              <w:jc w:val="right"/>
              <w:ind w:right="14"/>
              <w:spacing w:after="0" w:line="193" w:lineRule="exact"/>
              <w:rPr>
                <w:sz w:val="20"/>
                <w:szCs w:val="20"/>
                <w:color w:val="auto"/>
              </w:rPr>
            </w:pPr>
            <w:r>
              <w:rPr>
                <w:rFonts w:ascii="Times New Roman" w:cs="Times New Roman" w:eastAsia="Times New Roman" w:hAnsi="Times New Roman"/>
                <w:sz w:val="17"/>
                <w:szCs w:val="17"/>
                <w:b w:val="1"/>
                <w:bCs w:val="1"/>
                <w:color w:val="auto"/>
                <w:w w:val="93"/>
              </w:rPr>
              <w:t>$</w:t>
            </w:r>
          </w:p>
        </w:tc>
        <w:tc>
          <w:tcPr>
            <w:tcW w:w="1180" w:type="dxa"/>
            <w:vAlign w:val="bottom"/>
            <w:tcBorders>
              <w:bottom w:val="single" w:sz="8" w:color="auto"/>
            </w:tcBorders>
          </w:tcPr>
          <w:p>
            <w:pPr>
              <w:jc w:val="right"/>
              <w:spacing w:after="0" w:line="193" w:lineRule="exact"/>
              <w:rPr>
                <w:sz w:val="20"/>
                <w:szCs w:val="20"/>
                <w:color w:val="auto"/>
              </w:rPr>
            </w:pPr>
            <w:r>
              <w:rPr>
                <w:rFonts w:ascii="Times New Roman" w:cs="Times New Roman" w:eastAsia="Times New Roman" w:hAnsi="Times New Roman"/>
                <w:sz w:val="17"/>
                <w:szCs w:val="17"/>
                <w:b w:val="1"/>
                <w:bCs w:val="1"/>
                <w:color w:val="auto"/>
              </w:rPr>
              <w:t>(0.24)</w:t>
            </w:r>
          </w:p>
        </w:tc>
        <w:tc>
          <w:tcPr>
            <w:tcW w:w="140" w:type="dxa"/>
            <w:vAlign w:val="bottom"/>
          </w:tcPr>
          <w:p>
            <w:pPr>
              <w:spacing w:after="0"/>
              <w:rPr>
                <w:sz w:val="16"/>
                <w:szCs w:val="16"/>
                <w:color w:val="auto"/>
              </w:rPr>
            </w:pPr>
          </w:p>
        </w:tc>
        <w:tc>
          <w:tcPr>
            <w:tcW w:w="260" w:type="dxa"/>
            <w:vAlign w:val="bottom"/>
            <w:tcBorders>
              <w:bottom w:val="single" w:sz="8" w:color="auto"/>
            </w:tcBorders>
          </w:tcPr>
          <w:p>
            <w:pPr>
              <w:jc w:val="right"/>
              <w:ind w:right="74"/>
              <w:spacing w:after="0" w:line="193" w:lineRule="exact"/>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Borders>
              <w:bottom w:val="single" w:sz="8" w:color="auto"/>
            </w:tcBorders>
          </w:tcPr>
          <w:p>
            <w:pPr>
              <w:jc w:val="right"/>
              <w:spacing w:after="0" w:line="193" w:lineRule="exact"/>
              <w:rPr>
                <w:sz w:val="20"/>
                <w:szCs w:val="20"/>
                <w:color w:val="auto"/>
              </w:rPr>
            </w:pPr>
            <w:r>
              <w:rPr>
                <w:rFonts w:ascii="Times New Roman" w:cs="Times New Roman" w:eastAsia="Times New Roman" w:hAnsi="Times New Roman"/>
                <w:sz w:val="17"/>
                <w:szCs w:val="17"/>
                <w:color w:val="auto"/>
              </w:rPr>
              <w:t>(1.92)</w:t>
            </w:r>
          </w:p>
        </w:tc>
        <w:tc>
          <w:tcPr>
            <w:tcW w:w="120" w:type="dxa"/>
            <w:vAlign w:val="bottom"/>
          </w:tcPr>
          <w:p>
            <w:pPr>
              <w:spacing w:after="0"/>
              <w:rPr>
                <w:sz w:val="16"/>
                <w:szCs w:val="16"/>
                <w:color w:val="auto"/>
              </w:rPr>
            </w:pPr>
          </w:p>
        </w:tc>
        <w:tc>
          <w:tcPr>
            <w:tcW w:w="200" w:type="dxa"/>
            <w:vAlign w:val="bottom"/>
            <w:tcBorders>
              <w:bottom w:val="single" w:sz="8" w:color="auto"/>
            </w:tcBorders>
          </w:tcPr>
          <w:p>
            <w:pPr>
              <w:jc w:val="right"/>
              <w:ind w:right="14"/>
              <w:spacing w:after="0" w:line="193" w:lineRule="exact"/>
              <w:rPr>
                <w:sz w:val="20"/>
                <w:szCs w:val="20"/>
                <w:color w:val="auto"/>
              </w:rPr>
            </w:pPr>
            <w:r>
              <w:rPr>
                <w:rFonts w:ascii="Times New Roman" w:cs="Times New Roman" w:eastAsia="Times New Roman" w:hAnsi="Times New Roman"/>
                <w:sz w:val="17"/>
                <w:szCs w:val="17"/>
                <w:b w:val="1"/>
                <w:bCs w:val="1"/>
                <w:color w:val="auto"/>
                <w:w w:val="93"/>
              </w:rPr>
              <w:t>$</w:t>
            </w:r>
          </w:p>
        </w:tc>
        <w:tc>
          <w:tcPr>
            <w:tcW w:w="1120" w:type="dxa"/>
            <w:vAlign w:val="bottom"/>
            <w:tcBorders>
              <w:bottom w:val="single" w:sz="8" w:color="auto"/>
            </w:tcBorders>
          </w:tcPr>
          <w:p>
            <w:pPr>
              <w:jc w:val="right"/>
              <w:spacing w:after="0" w:line="193" w:lineRule="exact"/>
              <w:rPr>
                <w:sz w:val="20"/>
                <w:szCs w:val="20"/>
                <w:color w:val="auto"/>
              </w:rPr>
            </w:pPr>
            <w:r>
              <w:rPr>
                <w:rFonts w:ascii="Times New Roman" w:cs="Times New Roman" w:eastAsia="Times New Roman" w:hAnsi="Times New Roman"/>
                <w:sz w:val="17"/>
                <w:szCs w:val="17"/>
                <w:b w:val="1"/>
                <w:bCs w:val="1"/>
                <w:color w:val="auto"/>
              </w:rPr>
              <w:t>(1.42)</w:t>
            </w:r>
          </w:p>
        </w:tc>
        <w:tc>
          <w:tcPr>
            <w:tcW w:w="120" w:type="dxa"/>
            <w:vAlign w:val="bottom"/>
          </w:tcPr>
          <w:p>
            <w:pPr>
              <w:spacing w:after="0"/>
              <w:rPr>
                <w:sz w:val="16"/>
                <w:szCs w:val="16"/>
                <w:color w:val="auto"/>
              </w:rPr>
            </w:pPr>
          </w:p>
        </w:tc>
        <w:tc>
          <w:tcPr>
            <w:tcW w:w="280" w:type="dxa"/>
            <w:vAlign w:val="bottom"/>
            <w:tcBorders>
              <w:bottom w:val="single" w:sz="8" w:color="auto"/>
            </w:tcBorders>
          </w:tcPr>
          <w:p>
            <w:pPr>
              <w:jc w:val="right"/>
              <w:ind w:right="94"/>
              <w:spacing w:after="0" w:line="193" w:lineRule="exact"/>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tcBorders>
              <w:bottom w:val="single" w:sz="8" w:color="auto"/>
            </w:tcBorders>
          </w:tcPr>
          <w:p>
            <w:pPr>
              <w:jc w:val="right"/>
              <w:spacing w:after="0" w:line="193" w:lineRule="exact"/>
              <w:rPr>
                <w:sz w:val="20"/>
                <w:szCs w:val="20"/>
                <w:color w:val="auto"/>
              </w:rPr>
            </w:pPr>
            <w:r>
              <w:rPr>
                <w:rFonts w:ascii="Times New Roman" w:cs="Times New Roman" w:eastAsia="Times New Roman" w:hAnsi="Times New Roman"/>
                <w:sz w:val="17"/>
                <w:szCs w:val="17"/>
                <w:color w:val="auto"/>
              </w:rPr>
              <w:t>(3.34)</w:t>
            </w:r>
          </w:p>
        </w:tc>
        <w:tc>
          <w:tcPr>
            <w:tcW w:w="0" w:type="dxa"/>
            <w:vAlign w:val="bottom"/>
          </w:tcPr>
          <w:p>
            <w:pPr>
              <w:spacing w:after="0"/>
              <w:rPr>
                <w:sz w:val="1"/>
                <w:szCs w:val="1"/>
                <w:color w:val="auto"/>
              </w:rPr>
            </w:pPr>
          </w:p>
        </w:tc>
      </w:tr>
      <w:tr>
        <w:trPr>
          <w:trHeight w:val="20"/>
        </w:trPr>
        <w:tc>
          <w:tcPr>
            <w:tcW w:w="58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5880" w:type="dxa"/>
            <w:vAlign w:val="bottom"/>
            <w:shd w:val="clear" w:color="auto" w:fill="CCEEFF"/>
          </w:tcPr>
          <w:p>
            <w:pPr>
              <w:ind w:left="20"/>
              <w:spacing w:after="0" w:line="186" w:lineRule="exact"/>
              <w:rPr>
                <w:sz w:val="20"/>
                <w:szCs w:val="20"/>
                <w:color w:val="auto"/>
              </w:rPr>
            </w:pPr>
            <w:r>
              <w:rPr>
                <w:rFonts w:ascii="Times New Roman" w:cs="Times New Roman" w:eastAsia="Times New Roman" w:hAnsi="Times New Roman"/>
                <w:sz w:val="17"/>
                <w:szCs w:val="17"/>
                <w:b w:val="1"/>
                <w:bCs w:val="1"/>
                <w:color w:val="auto"/>
              </w:rPr>
              <w:t>Net income (loss) per common share</w:t>
            </w:r>
          </w:p>
        </w:tc>
        <w:tc>
          <w:tcPr>
            <w:tcW w:w="20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588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Basic</w:t>
            </w:r>
          </w:p>
        </w:tc>
        <w:tc>
          <w:tcPr>
            <w:tcW w:w="20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7.41</w:t>
            </w:r>
          </w:p>
        </w:tc>
        <w:tc>
          <w:tcPr>
            <w:tcW w:w="140" w:type="dxa"/>
            <w:vAlign w:val="bottom"/>
          </w:tcPr>
          <w:p>
            <w:pPr>
              <w:spacing w:after="0"/>
              <w:rPr>
                <w:sz w:val="19"/>
                <w:szCs w:val="19"/>
                <w:color w:val="auto"/>
              </w:rPr>
            </w:pPr>
          </w:p>
        </w:tc>
        <w:tc>
          <w:tcPr>
            <w:tcW w:w="26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(0.94)</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6.62</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(0.83)</w:t>
            </w:r>
          </w:p>
        </w:tc>
        <w:tc>
          <w:tcPr>
            <w:tcW w:w="0" w:type="dxa"/>
            <w:vAlign w:val="bottom"/>
          </w:tcPr>
          <w:p>
            <w:pPr>
              <w:spacing w:after="0"/>
              <w:rPr>
                <w:sz w:val="1"/>
                <w:szCs w:val="1"/>
                <w:color w:val="auto"/>
              </w:rPr>
            </w:pPr>
          </w:p>
        </w:tc>
      </w:tr>
      <w:tr>
        <w:trPr>
          <w:trHeight w:val="20"/>
        </w:trPr>
        <w:tc>
          <w:tcPr>
            <w:tcW w:w="58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8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Diluted</w:t>
            </w:r>
          </w:p>
        </w:tc>
        <w:tc>
          <w:tcPr>
            <w:tcW w:w="20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7.41</w:t>
            </w:r>
          </w:p>
        </w:tc>
        <w:tc>
          <w:tcPr>
            <w:tcW w:w="14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(0.94)</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6.62</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(0.83)</w:t>
            </w:r>
          </w:p>
        </w:tc>
        <w:tc>
          <w:tcPr>
            <w:tcW w:w="0" w:type="dxa"/>
            <w:vAlign w:val="bottom"/>
          </w:tcPr>
          <w:p>
            <w:pPr>
              <w:spacing w:after="0"/>
              <w:rPr>
                <w:sz w:val="1"/>
                <w:szCs w:val="1"/>
                <w:color w:val="auto"/>
              </w:rPr>
            </w:pPr>
          </w:p>
        </w:tc>
      </w:tr>
      <w:tr>
        <w:trPr>
          <w:trHeight w:val="20"/>
        </w:trPr>
        <w:tc>
          <w:tcPr>
            <w:tcW w:w="58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7"/>
                <w:szCs w:val="17"/>
                <w:b w:val="1"/>
                <w:bCs w:val="1"/>
                <w:color w:val="auto"/>
              </w:rPr>
              <w:t>Weighted average common shares outstanding</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588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0"/>
        </w:trPr>
        <w:tc>
          <w:tcPr>
            <w:tcW w:w="58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Basic</w:t>
            </w: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145.4</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140.9</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144.6</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140.3</w:t>
            </w:r>
          </w:p>
        </w:tc>
        <w:tc>
          <w:tcPr>
            <w:tcW w:w="0" w:type="dxa"/>
            <w:vAlign w:val="bottom"/>
          </w:tcPr>
          <w:p>
            <w:pPr>
              <w:spacing w:after="0"/>
              <w:rPr>
                <w:sz w:val="1"/>
                <w:szCs w:val="1"/>
                <w:color w:val="auto"/>
              </w:rPr>
            </w:pPr>
          </w:p>
        </w:tc>
      </w:tr>
      <w:tr>
        <w:trPr>
          <w:trHeight w:val="228"/>
        </w:trPr>
        <w:tc>
          <w:tcPr>
            <w:tcW w:w="588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Diluted</w:t>
            </w: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145.4</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140.9</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144.6</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140.3</w:t>
            </w:r>
          </w:p>
        </w:tc>
        <w:tc>
          <w:tcPr>
            <w:tcW w:w="0" w:type="dxa"/>
            <w:vAlign w:val="bottom"/>
          </w:tcPr>
          <w:p>
            <w:pPr>
              <w:spacing w:after="0"/>
              <w:rPr>
                <w:sz w:val="1"/>
                <w:szCs w:val="1"/>
                <w:color w:val="auto"/>
              </w:rPr>
            </w:pPr>
          </w:p>
        </w:tc>
      </w:tr>
    </w:tbl>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See Notes to Condensed Consolidated Financial Statements.</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3435" cy="41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NCR Voyix Corporation</w:t>
      </w:r>
    </w:p>
    <w:p>
      <w:pPr>
        <w:spacing w:after="0" w:line="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Condensed Consolidated Statements of Comprehensive Income (Unaudited)</w:t>
      </w:r>
    </w:p>
    <w:p>
      <w:pPr>
        <w:spacing w:after="0" w:line="200" w:lineRule="exact"/>
        <w:rPr>
          <w:sz w:val="20"/>
          <w:szCs w:val="20"/>
          <w:color w:val="auto"/>
        </w:rPr>
      </w:pPr>
    </w:p>
    <w:p>
      <w:pPr>
        <w:spacing w:after="0" w:line="254" w:lineRule="exact"/>
        <w:rPr>
          <w:sz w:val="20"/>
          <w:szCs w:val="20"/>
          <w:color w:val="auto"/>
        </w:rPr>
      </w:pPr>
    </w:p>
    <w:tbl>
      <w:tblPr>
        <w:tblLayout w:type="fixed"/>
        <w:tblInd w:w="40" w:type="dxa"/>
        <w:tblCellMar>
          <w:top w:w="0" w:type="dxa"/>
          <w:left w:w="0" w:type="dxa"/>
          <w:bottom w:w="0" w:type="dxa"/>
          <w:right w:w="0" w:type="dxa"/>
        </w:tblCellMar>
      </w:tblPr>
      <w:tr>
        <w:trPr>
          <w:trHeight w:val="183"/>
        </w:trPr>
        <w:tc>
          <w:tcPr>
            <w:tcW w:w="6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60" w:type="dxa"/>
            <w:vAlign w:val="bottom"/>
          </w:tcPr>
          <w:p>
            <w:pPr>
              <w:spacing w:after="0"/>
              <w:rPr>
                <w:sz w:val="15"/>
                <w:szCs w:val="15"/>
                <w:color w:val="auto"/>
              </w:rPr>
            </w:pPr>
          </w:p>
        </w:tc>
        <w:tc>
          <w:tcPr>
            <w:tcW w:w="2300" w:type="dxa"/>
            <w:vAlign w:val="bottom"/>
            <w:gridSpan w:val="4"/>
          </w:tcPr>
          <w:p>
            <w:pPr>
              <w:jc w:val="right"/>
              <w:ind w:right="155"/>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23"/>
        </w:trPr>
        <w:tc>
          <w:tcPr>
            <w:tcW w:w="61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2"/>
        </w:trPr>
        <w:tc>
          <w:tcPr>
            <w:tcW w:w="6180" w:type="dxa"/>
            <w:vAlign w:val="bottom"/>
            <w:tcBorders>
              <w:bottom w:val="single" w:sz="8" w:color="CCEEFF"/>
            </w:tcBorders>
            <w:vMerge w:val="continue"/>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376"/>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376"/>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19"/>
        </w:trPr>
        <w:tc>
          <w:tcPr>
            <w:tcW w:w="6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income (loss)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1,082</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(128)</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968</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(104)</w:t>
            </w:r>
          </w:p>
        </w:tc>
        <w:tc>
          <w:tcPr>
            <w:tcW w:w="0" w:type="dxa"/>
            <w:vAlign w:val="bottom"/>
          </w:tcPr>
          <w:p>
            <w:pPr>
              <w:spacing w:after="0"/>
              <w:rPr>
                <w:sz w:val="1"/>
                <w:szCs w:val="1"/>
                <w:color w:val="auto"/>
              </w:rPr>
            </w:pPr>
          </w:p>
        </w:tc>
      </w:tr>
      <w:tr>
        <w:trPr>
          <w:trHeight w:val="220"/>
        </w:trPr>
        <w:tc>
          <w:tcPr>
            <w:tcW w:w="61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Other comprehensive income (loss):</w:t>
            </w: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6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Currency translation adjustments</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61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Currency translation gains (loss)</w:t>
            </w: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8</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(32)</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w:t>
            </w:r>
          </w:p>
        </w:tc>
        <w:tc>
          <w:tcPr>
            <w:tcW w:w="0" w:type="dxa"/>
            <w:vAlign w:val="bottom"/>
          </w:tcPr>
          <w:p>
            <w:pPr>
              <w:spacing w:after="0"/>
              <w:rPr>
                <w:sz w:val="1"/>
                <w:szCs w:val="1"/>
                <w:color w:val="auto"/>
              </w:rPr>
            </w:pPr>
          </w:p>
        </w:tc>
      </w:tr>
      <w:tr>
        <w:trPr>
          <w:trHeight w:val="220"/>
        </w:trPr>
        <w:tc>
          <w:tcPr>
            <w:tcW w:w="6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Derivatives</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61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Unrealized gains (loss) on derivatives</w:t>
            </w:r>
          </w:p>
        </w:tc>
        <w:tc>
          <w:tcPr>
            <w:tcW w:w="140" w:type="dxa"/>
            <w:vAlign w:val="bottom"/>
          </w:tcPr>
          <w:p>
            <w:pPr>
              <w:spacing w:after="0"/>
              <w:rPr>
                <w:sz w:val="19"/>
                <w:szCs w:val="19"/>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b w:val="1"/>
                <w:bCs w:val="1"/>
                <w:color w:val="auto"/>
              </w:rPr>
              <w:t>—</w:t>
            </w:r>
          </w:p>
        </w:tc>
        <w:tc>
          <w:tcPr>
            <w:tcW w:w="28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9"/>
                <w:szCs w:val="19"/>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b w:val="1"/>
                <w:bCs w:val="1"/>
                <w:color w:val="auto"/>
              </w:rPr>
              <w:t>—</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w:t>
            </w:r>
          </w:p>
        </w:tc>
        <w:tc>
          <w:tcPr>
            <w:tcW w:w="0" w:type="dxa"/>
            <w:vAlign w:val="bottom"/>
          </w:tcPr>
          <w:p>
            <w:pPr>
              <w:spacing w:after="0"/>
              <w:rPr>
                <w:sz w:val="1"/>
                <w:szCs w:val="1"/>
                <w:color w:val="auto"/>
              </w:rPr>
            </w:pPr>
          </w:p>
        </w:tc>
      </w:tr>
      <w:tr>
        <w:trPr>
          <w:trHeight w:val="220"/>
        </w:trPr>
        <w:tc>
          <w:tcPr>
            <w:tcW w:w="6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Loss (gains) on derivatives recognized during the period</w:t>
            </w:r>
          </w:p>
        </w:tc>
        <w:tc>
          <w:tcPr>
            <w:tcW w:w="1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b w:val="1"/>
                <w:bCs w:val="1"/>
                <w:color w:val="auto"/>
              </w:rPr>
              <w:t>—</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(122)</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b w:val="1"/>
                <w:bCs w:val="1"/>
                <w:color w:val="auto"/>
              </w:rPr>
              <w:t>—</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(165)</w:t>
            </w:r>
          </w:p>
        </w:tc>
        <w:tc>
          <w:tcPr>
            <w:tcW w:w="0" w:type="dxa"/>
            <w:vAlign w:val="bottom"/>
          </w:tcPr>
          <w:p>
            <w:pPr>
              <w:spacing w:after="0"/>
              <w:rPr>
                <w:sz w:val="1"/>
                <w:szCs w:val="1"/>
                <w:color w:val="auto"/>
              </w:rPr>
            </w:pPr>
          </w:p>
        </w:tc>
      </w:tr>
      <w:tr>
        <w:trPr>
          <w:trHeight w:val="220"/>
        </w:trPr>
        <w:tc>
          <w:tcPr>
            <w:tcW w:w="618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Less income tax</w:t>
            </w:r>
          </w:p>
        </w:tc>
        <w:tc>
          <w:tcPr>
            <w:tcW w:w="140" w:type="dxa"/>
            <w:vAlign w:val="bottom"/>
          </w:tcPr>
          <w:p>
            <w:pPr>
              <w:spacing w:after="0"/>
              <w:rPr>
                <w:sz w:val="19"/>
                <w:szCs w:val="19"/>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b w:val="1"/>
                <w:bCs w:val="1"/>
                <w:color w:val="auto"/>
              </w:rPr>
              <w:t>—</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b w:val="1"/>
                <w:bCs w:val="1"/>
                <w:color w:val="auto"/>
              </w:rPr>
              <w:t>—</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w:t>
            </w:r>
          </w:p>
        </w:tc>
        <w:tc>
          <w:tcPr>
            <w:tcW w:w="0" w:type="dxa"/>
            <w:vAlign w:val="bottom"/>
          </w:tcPr>
          <w:p>
            <w:pPr>
              <w:spacing w:after="0"/>
              <w:rPr>
                <w:sz w:val="1"/>
                <w:szCs w:val="1"/>
                <w:color w:val="auto"/>
              </w:rPr>
            </w:pPr>
          </w:p>
        </w:tc>
      </w:tr>
      <w:tr>
        <w:trPr>
          <w:trHeight w:val="220"/>
        </w:trPr>
        <w:tc>
          <w:tcPr>
            <w:tcW w:w="6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Employee benefit plans</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61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Amortization of prior service cost (benefit)</w:t>
            </w:r>
          </w:p>
        </w:tc>
        <w:tc>
          <w:tcPr>
            <w:tcW w:w="140" w:type="dxa"/>
            <w:vAlign w:val="bottom"/>
          </w:tcPr>
          <w:p>
            <w:pPr>
              <w:spacing w:after="0"/>
              <w:rPr>
                <w:sz w:val="19"/>
                <w:szCs w:val="19"/>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b w:val="1"/>
                <w:bCs w:val="1"/>
                <w:color w:val="auto"/>
              </w:rPr>
              <w:t>—</w:t>
            </w:r>
          </w:p>
        </w:tc>
        <w:tc>
          <w:tcPr>
            <w:tcW w:w="28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9"/>
                <w:szCs w:val="19"/>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b w:val="1"/>
                <w:bCs w:val="1"/>
                <w:color w:val="auto"/>
              </w:rPr>
              <w:t>—</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0" w:type="dxa"/>
            <w:vAlign w:val="bottom"/>
          </w:tcPr>
          <w:p>
            <w:pPr>
              <w:spacing w:after="0"/>
              <w:rPr>
                <w:sz w:val="1"/>
                <w:szCs w:val="1"/>
                <w:color w:val="auto"/>
              </w:rPr>
            </w:pPr>
          </w:p>
        </w:tc>
      </w:tr>
      <w:tr>
        <w:trPr>
          <w:trHeight w:val="220"/>
        </w:trPr>
        <w:tc>
          <w:tcPr>
            <w:tcW w:w="6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Net (loss) gain arising during the period</w:t>
            </w:r>
          </w:p>
        </w:tc>
        <w:tc>
          <w:tcPr>
            <w:tcW w:w="1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b w:val="1"/>
                <w:bCs w:val="1"/>
                <w:color w:val="auto"/>
              </w:rPr>
              <w:t>—</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b w:val="1"/>
                <w:bCs w:val="1"/>
                <w:color w:val="auto"/>
              </w:rPr>
              <w:t>—</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0" w:type="dxa"/>
            <w:vAlign w:val="bottom"/>
          </w:tcPr>
          <w:p>
            <w:pPr>
              <w:spacing w:after="0"/>
              <w:rPr>
                <w:sz w:val="1"/>
                <w:szCs w:val="1"/>
                <w:color w:val="auto"/>
              </w:rPr>
            </w:pPr>
          </w:p>
        </w:tc>
      </w:tr>
      <w:tr>
        <w:trPr>
          <w:trHeight w:val="220"/>
        </w:trPr>
        <w:tc>
          <w:tcPr>
            <w:tcW w:w="61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Amortization of actuarial loss (gains)</w:t>
            </w:r>
          </w:p>
        </w:tc>
        <w:tc>
          <w:tcPr>
            <w:tcW w:w="140" w:type="dxa"/>
            <w:vAlign w:val="bottom"/>
          </w:tcPr>
          <w:p>
            <w:pPr>
              <w:spacing w:after="0"/>
              <w:rPr>
                <w:sz w:val="19"/>
                <w:szCs w:val="19"/>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b w:val="1"/>
                <w:bCs w:val="1"/>
                <w:color w:val="auto"/>
              </w:rPr>
              <w:t>—</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b w:val="1"/>
                <w:bCs w:val="1"/>
                <w:color w:val="auto"/>
              </w:rPr>
              <w:t>—</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0" w:type="dxa"/>
            <w:vAlign w:val="bottom"/>
          </w:tcPr>
          <w:p>
            <w:pPr>
              <w:spacing w:after="0"/>
              <w:rPr>
                <w:sz w:val="1"/>
                <w:szCs w:val="1"/>
                <w:color w:val="auto"/>
              </w:rPr>
            </w:pPr>
          </w:p>
        </w:tc>
      </w:tr>
      <w:tr>
        <w:trPr>
          <w:trHeight w:val="220"/>
        </w:trPr>
        <w:tc>
          <w:tcPr>
            <w:tcW w:w="6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Less income tax</w:t>
            </w:r>
          </w:p>
        </w:tc>
        <w:tc>
          <w:tcPr>
            <w:tcW w:w="1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b w:val="1"/>
                <w:bCs w:val="1"/>
                <w:color w:val="auto"/>
              </w:rPr>
              <w:t>—</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b w:val="1"/>
                <w:bCs w:val="1"/>
                <w:color w:val="auto"/>
              </w:rPr>
              <w:t>—</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0" w:type="dxa"/>
            <w:vAlign w:val="bottom"/>
          </w:tcPr>
          <w:p>
            <w:pPr>
              <w:spacing w:after="0"/>
              <w:rPr>
                <w:sz w:val="1"/>
                <w:szCs w:val="1"/>
                <w:color w:val="auto"/>
              </w:rPr>
            </w:pPr>
          </w:p>
        </w:tc>
      </w:tr>
      <w:tr>
        <w:trPr>
          <w:trHeight w:val="213"/>
        </w:trPr>
        <w:tc>
          <w:tcPr>
            <w:tcW w:w="6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b w:val="1"/>
                <w:bCs w:val="1"/>
                <w:color w:val="auto"/>
              </w:rPr>
              <w:t>Other comprehensive income (loss)</w:t>
            </w:r>
          </w:p>
        </w:tc>
        <w:tc>
          <w:tcPr>
            <w:tcW w:w="14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8</w:t>
            </w:r>
          </w:p>
        </w:tc>
        <w:tc>
          <w:tcPr>
            <w:tcW w:w="8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(91)</w:t>
            </w:r>
          </w:p>
        </w:tc>
        <w:tc>
          <w:tcPr>
            <w:tcW w:w="8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(32)</w:t>
            </w:r>
          </w:p>
        </w:tc>
        <w:tc>
          <w:tcPr>
            <w:tcW w:w="8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(102)</w:t>
            </w:r>
          </w:p>
        </w:tc>
        <w:tc>
          <w:tcPr>
            <w:tcW w:w="0" w:type="dxa"/>
            <w:vAlign w:val="bottom"/>
          </w:tcPr>
          <w:p>
            <w:pPr>
              <w:spacing w:after="0"/>
              <w:rPr>
                <w:sz w:val="1"/>
                <w:szCs w:val="1"/>
                <w:color w:val="auto"/>
              </w:rPr>
            </w:pPr>
          </w:p>
        </w:tc>
      </w:tr>
      <w:tr>
        <w:trPr>
          <w:trHeight w:val="213"/>
        </w:trPr>
        <w:tc>
          <w:tcPr>
            <w:tcW w:w="6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Total comprehensive income (loss)</w:t>
            </w: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1,090</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(219)</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936</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(206)</w:t>
            </w:r>
          </w:p>
        </w:tc>
        <w:tc>
          <w:tcPr>
            <w:tcW w:w="0" w:type="dxa"/>
            <w:vAlign w:val="bottom"/>
          </w:tcPr>
          <w:p>
            <w:pPr>
              <w:spacing w:after="0"/>
              <w:rPr>
                <w:sz w:val="1"/>
                <w:szCs w:val="1"/>
                <w:color w:val="auto"/>
              </w:rPr>
            </w:pPr>
          </w:p>
        </w:tc>
      </w:tr>
      <w:tr>
        <w:trPr>
          <w:trHeight w:val="220"/>
        </w:trPr>
        <w:tc>
          <w:tcPr>
            <w:tcW w:w="61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Less comprehensive income (loss) attributable to noncontrolling interests:</w:t>
            </w: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6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Net income (loss)</w:t>
            </w:r>
          </w:p>
        </w:tc>
        <w:tc>
          <w:tcPr>
            <w:tcW w:w="1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b w:val="1"/>
                <w:bCs w:val="1"/>
                <w:color w:val="auto"/>
              </w:rPr>
              <w:t>—</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0" w:type="dxa"/>
            <w:vAlign w:val="bottom"/>
          </w:tcPr>
          <w:p>
            <w:pPr>
              <w:spacing w:after="0"/>
              <w:rPr>
                <w:sz w:val="1"/>
                <w:szCs w:val="1"/>
                <w:color w:val="auto"/>
              </w:rPr>
            </w:pPr>
          </w:p>
        </w:tc>
      </w:tr>
      <w:tr>
        <w:trPr>
          <w:trHeight w:val="220"/>
        </w:trPr>
        <w:tc>
          <w:tcPr>
            <w:tcW w:w="61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Currency translation gains (losses)</w:t>
            </w:r>
          </w:p>
        </w:tc>
        <w:tc>
          <w:tcPr>
            <w:tcW w:w="140" w:type="dxa"/>
            <w:vAlign w:val="bottom"/>
          </w:tcPr>
          <w:p>
            <w:pPr>
              <w:spacing w:after="0"/>
              <w:rPr>
                <w:sz w:val="19"/>
                <w:szCs w:val="19"/>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b w:val="1"/>
                <w:bCs w:val="1"/>
                <w:color w:val="auto"/>
              </w:rPr>
              <w:t>—</w:t>
            </w:r>
          </w:p>
        </w:tc>
        <w:tc>
          <w:tcPr>
            <w:tcW w:w="28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(1)</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3"/>
        </w:trPr>
        <w:tc>
          <w:tcPr>
            <w:tcW w:w="61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Amounts attributable to noncontrolling interests</w:t>
            </w: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(2)</w:t>
            </w:r>
          </w:p>
        </w:tc>
        <w:tc>
          <w:tcPr>
            <w:tcW w:w="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0" w:type="dxa"/>
            <w:vAlign w:val="bottom"/>
          </w:tcPr>
          <w:p>
            <w:pPr>
              <w:spacing w:after="0"/>
              <w:rPr>
                <w:sz w:val="1"/>
                <w:szCs w:val="1"/>
                <w:color w:val="auto"/>
              </w:rPr>
            </w:pPr>
          </w:p>
        </w:tc>
      </w:tr>
      <w:tr>
        <w:trPr>
          <w:trHeight w:val="213"/>
        </w:trPr>
        <w:tc>
          <w:tcPr>
            <w:tcW w:w="618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Comprehensive income (loss) attributable to NCR Voyix</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1,090</w:t>
            </w:r>
          </w:p>
        </w:tc>
        <w:tc>
          <w:tcPr>
            <w:tcW w:w="80" w:type="dxa"/>
            <w:vAlign w:val="bottom"/>
          </w:tcPr>
          <w:p>
            <w:pPr>
              <w:spacing w:after="0"/>
              <w:rPr>
                <w:sz w:val="18"/>
                <w:szCs w:val="18"/>
                <w:color w:val="auto"/>
              </w:rPr>
            </w:pPr>
          </w:p>
        </w:tc>
        <w:tc>
          <w:tcPr>
            <w:tcW w:w="28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(218)</w:t>
            </w:r>
          </w:p>
        </w:tc>
        <w:tc>
          <w:tcPr>
            <w:tcW w:w="8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938</w:t>
            </w:r>
          </w:p>
        </w:tc>
        <w:tc>
          <w:tcPr>
            <w:tcW w:w="80" w:type="dxa"/>
            <w:vAlign w:val="bottom"/>
          </w:tcPr>
          <w:p>
            <w:pPr>
              <w:spacing w:after="0"/>
              <w:rPr>
                <w:sz w:val="18"/>
                <w:szCs w:val="18"/>
                <w:color w:val="auto"/>
              </w:rPr>
            </w:pPr>
          </w:p>
        </w:tc>
        <w:tc>
          <w:tcPr>
            <w:tcW w:w="28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(205)</w:t>
            </w:r>
          </w:p>
        </w:tc>
        <w:tc>
          <w:tcPr>
            <w:tcW w:w="0" w:type="dxa"/>
            <w:vAlign w:val="bottom"/>
          </w:tcPr>
          <w:p>
            <w:pPr>
              <w:spacing w:after="0"/>
              <w:rPr>
                <w:sz w:val="1"/>
                <w:szCs w:val="1"/>
                <w:color w:val="auto"/>
              </w:rPr>
            </w:pPr>
          </w:p>
        </w:tc>
      </w:tr>
      <w:tr>
        <w:trPr>
          <w:trHeight w:val="20"/>
        </w:trPr>
        <w:tc>
          <w:tcPr>
            <w:tcW w:w="6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See Notes to Condensed Consolidated Financial Statements.</w:t>
      </w:r>
    </w:p>
    <w:p>
      <w:pPr>
        <w:spacing w:after="0" w:line="200" w:lineRule="exact"/>
        <w:rPr>
          <w:sz w:val="20"/>
          <w:szCs w:val="20"/>
          <w:color w:val="auto"/>
        </w:rPr>
      </w:pPr>
    </w:p>
    <w:p>
      <w:pPr>
        <w:spacing w:after="0" w:line="3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3435" cy="41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17"/>
          <w:szCs w:val="17"/>
          <w:b w:val="1"/>
          <w:bCs w:val="1"/>
          <w:color w:val="auto"/>
        </w:rPr>
        <w:t>NCR Voyix Corporation</w:t>
      </w:r>
    </w:p>
    <w:p>
      <w:pPr>
        <w:spacing w:after="0" w:line="33" w:lineRule="exact"/>
        <w:rPr>
          <w:sz w:val="20"/>
          <w:szCs w:val="20"/>
          <w:color w:val="auto"/>
        </w:rPr>
      </w:pPr>
    </w:p>
    <w:p>
      <w:pPr>
        <w:ind w:left="3680"/>
        <w:spacing w:after="0"/>
        <w:rPr>
          <w:sz w:val="20"/>
          <w:szCs w:val="20"/>
          <w:color w:val="auto"/>
        </w:rPr>
      </w:pPr>
      <w:r>
        <w:rPr>
          <w:rFonts w:ascii="Times New Roman" w:cs="Times New Roman" w:eastAsia="Times New Roman" w:hAnsi="Times New Roman"/>
          <w:sz w:val="17"/>
          <w:szCs w:val="17"/>
          <w:b w:val="1"/>
          <w:bCs w:val="1"/>
          <w:color w:val="auto"/>
        </w:rPr>
        <w:t>Condensed Consolidated Balance Sheets (Unaudited)</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78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 except per share amounts</w:t>
            </w:r>
          </w:p>
        </w:tc>
        <w:tc>
          <w:tcPr>
            <w:tcW w:w="180" w:type="dxa"/>
            <w:vAlign w:val="bottom"/>
          </w:tcPr>
          <w:p>
            <w:pPr>
              <w:spacing w:after="0"/>
              <w:rPr>
                <w:sz w:val="15"/>
                <w:szCs w:val="15"/>
                <w:color w:val="auto"/>
              </w:rPr>
            </w:pPr>
          </w:p>
        </w:tc>
        <w:tc>
          <w:tcPr>
            <w:tcW w:w="162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180" w:type="dxa"/>
            <w:vAlign w:val="bottom"/>
          </w:tcPr>
          <w:p>
            <w:pPr>
              <w:spacing w:after="0"/>
              <w:rPr>
                <w:sz w:val="15"/>
                <w:szCs w:val="15"/>
                <w:color w:val="auto"/>
              </w:rPr>
            </w:pPr>
          </w:p>
        </w:tc>
        <w:tc>
          <w:tcPr>
            <w:tcW w:w="1420" w:type="dxa"/>
            <w:vAlign w:val="bottom"/>
          </w:tcPr>
          <w:p>
            <w:pPr>
              <w:jc w:val="right"/>
              <w:ind w:right="162"/>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0" w:type="dxa"/>
            <w:vAlign w:val="bottom"/>
          </w:tcPr>
          <w:p>
            <w:pPr>
              <w:spacing w:after="0"/>
              <w:rPr>
                <w:sz w:val="1"/>
                <w:szCs w:val="1"/>
                <w:color w:val="auto"/>
              </w:rPr>
            </w:pPr>
          </w:p>
        </w:tc>
      </w:tr>
      <w:tr>
        <w:trPr>
          <w:trHeight w:val="23"/>
        </w:trPr>
        <w:tc>
          <w:tcPr>
            <w:tcW w:w="78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7"/>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18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7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assets</w:t>
            </w:r>
          </w:p>
        </w:tc>
        <w:tc>
          <w:tcPr>
            <w:tcW w:w="1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78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4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b w:val="1"/>
                <w:bCs w:val="1"/>
                <w:color w:val="auto"/>
              </w:rPr>
              <w:t>795</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259</w:t>
            </w:r>
          </w:p>
        </w:tc>
        <w:tc>
          <w:tcPr>
            <w:tcW w:w="0" w:type="dxa"/>
            <w:vAlign w:val="bottom"/>
          </w:tcPr>
          <w:p>
            <w:pPr>
              <w:spacing w:after="0"/>
              <w:rPr>
                <w:sz w:val="1"/>
                <w:szCs w:val="1"/>
                <w:color w:val="auto"/>
              </w:rPr>
            </w:pPr>
          </w:p>
        </w:tc>
      </w:tr>
      <w:tr>
        <w:trPr>
          <w:trHeight w:val="206"/>
        </w:trPr>
        <w:tc>
          <w:tcPr>
            <w:tcW w:w="7840" w:type="dxa"/>
            <w:vAlign w:val="bottom"/>
          </w:tcPr>
          <w:p>
            <w:pPr>
              <w:ind w:left="340"/>
              <w:spacing w:after="0"/>
              <w:rPr>
                <w:sz w:val="20"/>
                <w:szCs w:val="20"/>
                <w:color w:val="auto"/>
              </w:rPr>
            </w:pPr>
            <w:r>
              <w:rPr>
                <w:rFonts w:ascii="Times New Roman" w:cs="Times New Roman" w:eastAsia="Times New Roman" w:hAnsi="Times New Roman"/>
                <w:sz w:val="16"/>
                <w:szCs w:val="16"/>
                <w:color w:val="auto"/>
                <w:w w:val="98"/>
              </w:rPr>
              <w:t>Accounts receivable, net of allowances of $28 and $29 as of September 30, 2024 and December 31, 2023, respectively</w:t>
            </w:r>
          </w:p>
        </w:tc>
        <w:tc>
          <w:tcPr>
            <w:tcW w:w="180" w:type="dxa"/>
            <w:vAlign w:val="bottom"/>
          </w:tcPr>
          <w:p>
            <w:pPr>
              <w:spacing w:after="0"/>
              <w:rPr>
                <w:sz w:val="17"/>
                <w:szCs w:val="17"/>
                <w:color w:val="auto"/>
              </w:rPr>
            </w:pPr>
          </w:p>
        </w:tc>
        <w:tc>
          <w:tcPr>
            <w:tcW w:w="1480" w:type="dxa"/>
            <w:vAlign w:val="bottom"/>
          </w:tcPr>
          <w:p>
            <w:pPr>
              <w:jc w:val="right"/>
              <w:ind w:right="2"/>
              <w:spacing w:after="0"/>
              <w:rPr>
                <w:sz w:val="20"/>
                <w:szCs w:val="20"/>
                <w:color w:val="auto"/>
              </w:rPr>
            </w:pPr>
            <w:r>
              <w:rPr>
                <w:rFonts w:ascii="Times New Roman" w:cs="Times New Roman" w:eastAsia="Times New Roman" w:hAnsi="Times New Roman"/>
                <w:sz w:val="16"/>
                <w:szCs w:val="16"/>
                <w:b w:val="1"/>
                <w:bCs w:val="1"/>
                <w:color w:val="auto"/>
              </w:rPr>
              <w:t>623</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414</w:t>
            </w:r>
          </w:p>
        </w:tc>
        <w:tc>
          <w:tcPr>
            <w:tcW w:w="0" w:type="dxa"/>
            <w:vAlign w:val="bottom"/>
          </w:tcPr>
          <w:p>
            <w:pPr>
              <w:spacing w:after="0"/>
              <w:rPr>
                <w:sz w:val="1"/>
                <w:szCs w:val="1"/>
                <w:color w:val="auto"/>
              </w:rPr>
            </w:pPr>
          </w:p>
        </w:tc>
      </w:tr>
      <w:tr>
        <w:trPr>
          <w:trHeight w:val="209"/>
        </w:trPr>
        <w:tc>
          <w:tcPr>
            <w:tcW w:w="78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Inventories</w:t>
            </w:r>
          </w:p>
        </w:tc>
        <w:tc>
          <w:tcPr>
            <w:tcW w:w="18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b w:val="1"/>
                <w:bCs w:val="1"/>
                <w:color w:val="auto"/>
              </w:rPr>
              <w:t>208</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w:t>
            </w:r>
          </w:p>
        </w:tc>
        <w:tc>
          <w:tcPr>
            <w:tcW w:w="0" w:type="dxa"/>
            <w:vAlign w:val="bottom"/>
          </w:tcPr>
          <w:p>
            <w:pPr>
              <w:spacing w:after="0"/>
              <w:rPr>
                <w:sz w:val="1"/>
                <w:szCs w:val="1"/>
                <w:color w:val="auto"/>
              </w:rPr>
            </w:pPr>
          </w:p>
        </w:tc>
      </w:tr>
      <w:tr>
        <w:trPr>
          <w:trHeight w:val="206"/>
        </w:trPr>
        <w:tc>
          <w:tcPr>
            <w:tcW w:w="78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Restricted cash, current</w:t>
            </w:r>
          </w:p>
        </w:tc>
        <w:tc>
          <w:tcPr>
            <w:tcW w:w="180" w:type="dxa"/>
            <w:vAlign w:val="bottom"/>
          </w:tcPr>
          <w:p>
            <w:pPr>
              <w:spacing w:after="0"/>
              <w:rPr>
                <w:sz w:val="17"/>
                <w:szCs w:val="17"/>
                <w:color w:val="auto"/>
              </w:rPr>
            </w:pPr>
          </w:p>
        </w:tc>
        <w:tc>
          <w:tcPr>
            <w:tcW w:w="1480" w:type="dxa"/>
            <w:vAlign w:val="bottom"/>
          </w:tcPr>
          <w:p>
            <w:pPr>
              <w:jc w:val="right"/>
              <w:ind w:right="2"/>
              <w:spacing w:after="0"/>
              <w:rPr>
                <w:sz w:val="20"/>
                <w:szCs w:val="20"/>
                <w:color w:val="auto"/>
              </w:rPr>
            </w:pPr>
            <w:r>
              <w:rPr>
                <w:rFonts w:ascii="Times New Roman" w:cs="Times New Roman" w:eastAsia="Times New Roman" w:hAnsi="Times New Roman"/>
                <w:sz w:val="16"/>
                <w:szCs w:val="16"/>
                <w:b w:val="1"/>
                <w:bCs w:val="1"/>
                <w:color w:val="auto"/>
              </w:rPr>
              <w:t>26</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0" w:type="dxa"/>
            <w:vAlign w:val="bottom"/>
          </w:tcPr>
          <w:p>
            <w:pPr>
              <w:spacing w:after="0"/>
              <w:rPr>
                <w:sz w:val="1"/>
                <w:szCs w:val="1"/>
                <w:color w:val="auto"/>
              </w:rPr>
            </w:pPr>
          </w:p>
        </w:tc>
      </w:tr>
      <w:tr>
        <w:trPr>
          <w:trHeight w:val="209"/>
        </w:trPr>
        <w:tc>
          <w:tcPr>
            <w:tcW w:w="78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Prepaid and other current assets</w:t>
            </w:r>
          </w:p>
        </w:tc>
        <w:tc>
          <w:tcPr>
            <w:tcW w:w="18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b w:val="1"/>
                <w:bCs w:val="1"/>
                <w:color w:val="auto"/>
              </w:rPr>
              <w:t>173</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178</w:t>
            </w:r>
          </w:p>
        </w:tc>
        <w:tc>
          <w:tcPr>
            <w:tcW w:w="0" w:type="dxa"/>
            <w:vAlign w:val="bottom"/>
          </w:tcPr>
          <w:p>
            <w:pPr>
              <w:spacing w:after="0"/>
              <w:rPr>
                <w:sz w:val="1"/>
                <w:szCs w:val="1"/>
                <w:color w:val="auto"/>
              </w:rPr>
            </w:pPr>
          </w:p>
        </w:tc>
      </w:tr>
      <w:tr>
        <w:trPr>
          <w:trHeight w:val="206"/>
        </w:trPr>
        <w:tc>
          <w:tcPr>
            <w:tcW w:w="78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Current assets of discontinued operations</w:t>
            </w:r>
          </w:p>
        </w:tc>
        <w:tc>
          <w:tcPr>
            <w:tcW w:w="180" w:type="dxa"/>
            <w:vAlign w:val="bottom"/>
          </w:tcPr>
          <w:p>
            <w:pPr>
              <w:spacing w:after="0"/>
              <w:rPr>
                <w:sz w:val="17"/>
                <w:szCs w:val="17"/>
                <w:color w:val="auto"/>
              </w:rPr>
            </w:pPr>
          </w:p>
        </w:tc>
        <w:tc>
          <w:tcPr>
            <w:tcW w:w="16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w:t>
            </w:r>
          </w:p>
        </w:tc>
        <w:tc>
          <w:tcPr>
            <w:tcW w:w="18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w:t>
            </w:r>
          </w:p>
        </w:tc>
        <w:tc>
          <w:tcPr>
            <w:tcW w:w="0" w:type="dxa"/>
            <w:vAlign w:val="bottom"/>
          </w:tcPr>
          <w:p>
            <w:pPr>
              <w:spacing w:after="0"/>
              <w:rPr>
                <w:sz w:val="1"/>
                <w:szCs w:val="1"/>
                <w:color w:val="auto"/>
              </w:rPr>
            </w:pPr>
          </w:p>
        </w:tc>
      </w:tr>
      <w:tr>
        <w:trPr>
          <w:trHeight w:val="202"/>
        </w:trPr>
        <w:tc>
          <w:tcPr>
            <w:tcW w:w="78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current assets</w:t>
            </w:r>
          </w:p>
        </w:tc>
        <w:tc>
          <w:tcPr>
            <w:tcW w:w="180" w:type="dxa"/>
            <w:vAlign w:val="bottom"/>
            <w:tcBorders>
              <w:top w:val="single" w:sz="8" w:color="auto"/>
              <w:bottom w:val="single" w:sz="8" w:color="auto"/>
            </w:tcBorders>
            <w:shd w:val="clear" w:color="auto" w:fill="CCEEFF"/>
          </w:tcPr>
          <w:p>
            <w:pPr>
              <w:spacing w:after="0"/>
              <w:rPr>
                <w:sz w:val="17"/>
                <w:szCs w:val="17"/>
                <w:color w:val="auto"/>
              </w:rPr>
            </w:pPr>
          </w:p>
        </w:tc>
        <w:tc>
          <w:tcPr>
            <w:tcW w:w="148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b w:val="1"/>
                <w:bCs w:val="1"/>
                <w:color w:val="auto"/>
              </w:rPr>
              <w:t>1,825</w:t>
            </w:r>
          </w:p>
        </w:tc>
        <w:tc>
          <w:tcPr>
            <w:tcW w:w="1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spacing w:after="0"/>
              <w:rPr>
                <w:sz w:val="17"/>
                <w:szCs w:val="17"/>
                <w:color w:val="auto"/>
              </w:rPr>
            </w:pP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1,206</w:t>
            </w:r>
          </w:p>
        </w:tc>
        <w:tc>
          <w:tcPr>
            <w:tcW w:w="0" w:type="dxa"/>
            <w:vAlign w:val="bottom"/>
          </w:tcPr>
          <w:p>
            <w:pPr>
              <w:spacing w:after="0"/>
              <w:rPr>
                <w:sz w:val="1"/>
                <w:szCs w:val="1"/>
                <w:color w:val="auto"/>
              </w:rPr>
            </w:pPr>
          </w:p>
        </w:tc>
      </w:tr>
      <w:tr>
        <w:trPr>
          <w:trHeight w:val="199"/>
        </w:trPr>
        <w:tc>
          <w:tcPr>
            <w:tcW w:w="7840" w:type="dxa"/>
            <w:vAlign w:val="bottom"/>
          </w:tcPr>
          <w:p>
            <w:pPr>
              <w:ind w:left="20"/>
              <w:spacing w:after="0" w:line="183" w:lineRule="exact"/>
              <w:rPr>
                <w:sz w:val="20"/>
                <w:szCs w:val="20"/>
                <w:color w:val="auto"/>
              </w:rPr>
            </w:pPr>
            <w:r>
              <w:rPr>
                <w:rFonts w:ascii="Times New Roman" w:cs="Times New Roman" w:eastAsia="Times New Roman" w:hAnsi="Times New Roman"/>
                <w:sz w:val="16"/>
                <w:szCs w:val="16"/>
                <w:color w:val="auto"/>
              </w:rPr>
              <w:t>Property, plant and equipment, net</w:t>
            </w:r>
          </w:p>
        </w:tc>
        <w:tc>
          <w:tcPr>
            <w:tcW w:w="180" w:type="dxa"/>
            <w:vAlign w:val="bottom"/>
          </w:tcPr>
          <w:p>
            <w:pPr>
              <w:spacing w:after="0"/>
              <w:rPr>
                <w:sz w:val="17"/>
                <w:szCs w:val="17"/>
                <w:color w:val="auto"/>
              </w:rPr>
            </w:pPr>
          </w:p>
        </w:tc>
        <w:tc>
          <w:tcPr>
            <w:tcW w:w="1480" w:type="dxa"/>
            <w:vAlign w:val="bottom"/>
          </w:tcPr>
          <w:p>
            <w:pPr>
              <w:jc w:val="right"/>
              <w:ind w:right="2"/>
              <w:spacing w:after="0"/>
              <w:rPr>
                <w:sz w:val="20"/>
                <w:szCs w:val="20"/>
                <w:color w:val="auto"/>
              </w:rPr>
            </w:pPr>
            <w:r>
              <w:rPr>
                <w:rFonts w:ascii="Times New Roman" w:cs="Times New Roman" w:eastAsia="Times New Roman" w:hAnsi="Times New Roman"/>
                <w:sz w:val="16"/>
                <w:szCs w:val="16"/>
                <w:b w:val="1"/>
                <w:bCs w:val="1"/>
                <w:color w:val="auto"/>
              </w:rPr>
              <w:t>193</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207</w:t>
            </w:r>
          </w:p>
        </w:tc>
        <w:tc>
          <w:tcPr>
            <w:tcW w:w="0" w:type="dxa"/>
            <w:vAlign w:val="bottom"/>
          </w:tcPr>
          <w:p>
            <w:pPr>
              <w:spacing w:after="0"/>
              <w:rPr>
                <w:sz w:val="1"/>
                <w:szCs w:val="1"/>
                <w:color w:val="auto"/>
              </w:rPr>
            </w:pPr>
          </w:p>
        </w:tc>
      </w:tr>
      <w:tr>
        <w:trPr>
          <w:trHeight w:val="209"/>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Goodwill</w:t>
            </w:r>
          </w:p>
        </w:tc>
        <w:tc>
          <w:tcPr>
            <w:tcW w:w="18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b w:val="1"/>
                <w:bCs w:val="1"/>
                <w:color w:val="auto"/>
              </w:rPr>
              <w:t>1,521</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1,519</w:t>
            </w:r>
          </w:p>
        </w:tc>
        <w:tc>
          <w:tcPr>
            <w:tcW w:w="0" w:type="dxa"/>
            <w:vAlign w:val="bottom"/>
          </w:tcPr>
          <w:p>
            <w:pPr>
              <w:spacing w:after="0"/>
              <w:rPr>
                <w:sz w:val="1"/>
                <w:szCs w:val="1"/>
                <w:color w:val="auto"/>
              </w:rPr>
            </w:pPr>
          </w:p>
        </w:tc>
      </w:tr>
      <w:tr>
        <w:trPr>
          <w:trHeight w:val="206"/>
        </w:trPr>
        <w:tc>
          <w:tcPr>
            <w:tcW w:w="7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Intangibles, net</w:t>
            </w:r>
          </w:p>
        </w:tc>
        <w:tc>
          <w:tcPr>
            <w:tcW w:w="180" w:type="dxa"/>
            <w:vAlign w:val="bottom"/>
          </w:tcPr>
          <w:p>
            <w:pPr>
              <w:spacing w:after="0"/>
              <w:rPr>
                <w:sz w:val="17"/>
                <w:szCs w:val="17"/>
                <w:color w:val="auto"/>
              </w:rPr>
            </w:pPr>
          </w:p>
        </w:tc>
        <w:tc>
          <w:tcPr>
            <w:tcW w:w="1480" w:type="dxa"/>
            <w:vAlign w:val="bottom"/>
          </w:tcPr>
          <w:p>
            <w:pPr>
              <w:jc w:val="right"/>
              <w:ind w:right="2"/>
              <w:spacing w:after="0"/>
              <w:rPr>
                <w:sz w:val="20"/>
                <w:szCs w:val="20"/>
                <w:color w:val="auto"/>
              </w:rPr>
            </w:pPr>
            <w:r>
              <w:rPr>
                <w:rFonts w:ascii="Times New Roman" w:cs="Times New Roman" w:eastAsia="Times New Roman" w:hAnsi="Times New Roman"/>
                <w:sz w:val="16"/>
                <w:szCs w:val="16"/>
                <w:b w:val="1"/>
                <w:bCs w:val="1"/>
                <w:color w:val="auto"/>
              </w:rPr>
              <w:t>102</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w:t>
            </w:r>
          </w:p>
        </w:tc>
        <w:tc>
          <w:tcPr>
            <w:tcW w:w="0" w:type="dxa"/>
            <w:vAlign w:val="bottom"/>
          </w:tcPr>
          <w:p>
            <w:pPr>
              <w:spacing w:after="0"/>
              <w:rPr>
                <w:sz w:val="1"/>
                <w:szCs w:val="1"/>
                <w:color w:val="auto"/>
              </w:rPr>
            </w:pPr>
          </w:p>
        </w:tc>
      </w:tr>
      <w:tr>
        <w:trPr>
          <w:trHeight w:val="209"/>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lease assets</w:t>
            </w:r>
          </w:p>
        </w:tc>
        <w:tc>
          <w:tcPr>
            <w:tcW w:w="18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b w:val="1"/>
                <w:bCs w:val="1"/>
                <w:color w:val="auto"/>
              </w:rPr>
              <w:t>236</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231</w:t>
            </w:r>
          </w:p>
        </w:tc>
        <w:tc>
          <w:tcPr>
            <w:tcW w:w="0" w:type="dxa"/>
            <w:vAlign w:val="bottom"/>
          </w:tcPr>
          <w:p>
            <w:pPr>
              <w:spacing w:after="0"/>
              <w:rPr>
                <w:sz w:val="1"/>
                <w:szCs w:val="1"/>
                <w:color w:val="auto"/>
              </w:rPr>
            </w:pPr>
          </w:p>
        </w:tc>
      </w:tr>
      <w:tr>
        <w:trPr>
          <w:trHeight w:val="206"/>
        </w:trPr>
        <w:tc>
          <w:tcPr>
            <w:tcW w:w="7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Prepaid pension cost</w:t>
            </w:r>
          </w:p>
        </w:tc>
        <w:tc>
          <w:tcPr>
            <w:tcW w:w="180" w:type="dxa"/>
            <w:vAlign w:val="bottom"/>
          </w:tcPr>
          <w:p>
            <w:pPr>
              <w:spacing w:after="0"/>
              <w:rPr>
                <w:sz w:val="17"/>
                <w:szCs w:val="17"/>
                <w:color w:val="auto"/>
              </w:rPr>
            </w:pPr>
          </w:p>
        </w:tc>
        <w:tc>
          <w:tcPr>
            <w:tcW w:w="1480" w:type="dxa"/>
            <w:vAlign w:val="bottom"/>
          </w:tcPr>
          <w:p>
            <w:pPr>
              <w:jc w:val="right"/>
              <w:ind w:right="2"/>
              <w:spacing w:after="0"/>
              <w:rPr>
                <w:sz w:val="20"/>
                <w:szCs w:val="20"/>
                <w:color w:val="auto"/>
              </w:rPr>
            </w:pPr>
            <w:r>
              <w:rPr>
                <w:rFonts w:ascii="Times New Roman" w:cs="Times New Roman" w:eastAsia="Times New Roman" w:hAnsi="Times New Roman"/>
                <w:sz w:val="16"/>
                <w:szCs w:val="16"/>
                <w:b w:val="1"/>
                <w:bCs w:val="1"/>
                <w:color w:val="auto"/>
              </w:rPr>
              <w:t>44</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w:t>
            </w:r>
          </w:p>
        </w:tc>
        <w:tc>
          <w:tcPr>
            <w:tcW w:w="0" w:type="dxa"/>
            <w:vAlign w:val="bottom"/>
          </w:tcPr>
          <w:p>
            <w:pPr>
              <w:spacing w:after="0"/>
              <w:rPr>
                <w:sz w:val="1"/>
                <w:szCs w:val="1"/>
                <w:color w:val="auto"/>
              </w:rPr>
            </w:pPr>
          </w:p>
        </w:tc>
      </w:tr>
      <w:tr>
        <w:trPr>
          <w:trHeight w:val="209"/>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Deferred income taxes</w:t>
            </w:r>
          </w:p>
        </w:tc>
        <w:tc>
          <w:tcPr>
            <w:tcW w:w="18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b w:val="1"/>
                <w:bCs w:val="1"/>
                <w:color w:val="auto"/>
              </w:rPr>
              <w:t>225</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237</w:t>
            </w:r>
          </w:p>
        </w:tc>
        <w:tc>
          <w:tcPr>
            <w:tcW w:w="0" w:type="dxa"/>
            <w:vAlign w:val="bottom"/>
          </w:tcPr>
          <w:p>
            <w:pPr>
              <w:spacing w:after="0"/>
              <w:rPr>
                <w:sz w:val="1"/>
                <w:szCs w:val="1"/>
                <w:color w:val="auto"/>
              </w:rPr>
            </w:pPr>
          </w:p>
        </w:tc>
      </w:tr>
      <w:tr>
        <w:trPr>
          <w:trHeight w:val="206"/>
        </w:trPr>
        <w:tc>
          <w:tcPr>
            <w:tcW w:w="7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assets</w:t>
            </w:r>
          </w:p>
        </w:tc>
        <w:tc>
          <w:tcPr>
            <w:tcW w:w="180" w:type="dxa"/>
            <w:vAlign w:val="bottom"/>
          </w:tcPr>
          <w:p>
            <w:pPr>
              <w:spacing w:after="0"/>
              <w:rPr>
                <w:sz w:val="17"/>
                <w:szCs w:val="17"/>
                <w:color w:val="auto"/>
              </w:rPr>
            </w:pPr>
          </w:p>
        </w:tc>
        <w:tc>
          <w:tcPr>
            <w:tcW w:w="1480" w:type="dxa"/>
            <w:vAlign w:val="bottom"/>
          </w:tcPr>
          <w:p>
            <w:pPr>
              <w:jc w:val="right"/>
              <w:ind w:right="2"/>
              <w:spacing w:after="0"/>
              <w:rPr>
                <w:sz w:val="20"/>
                <w:szCs w:val="20"/>
                <w:color w:val="auto"/>
              </w:rPr>
            </w:pPr>
            <w:r>
              <w:rPr>
                <w:rFonts w:ascii="Times New Roman" w:cs="Times New Roman" w:eastAsia="Times New Roman" w:hAnsi="Times New Roman"/>
                <w:sz w:val="16"/>
                <w:szCs w:val="16"/>
                <w:b w:val="1"/>
                <w:bCs w:val="1"/>
                <w:color w:val="auto"/>
              </w:rPr>
              <w:t>528</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532</w:t>
            </w:r>
          </w:p>
        </w:tc>
        <w:tc>
          <w:tcPr>
            <w:tcW w:w="0" w:type="dxa"/>
            <w:vAlign w:val="bottom"/>
          </w:tcPr>
          <w:p>
            <w:pPr>
              <w:spacing w:after="0"/>
              <w:rPr>
                <w:sz w:val="1"/>
                <w:szCs w:val="1"/>
                <w:color w:val="auto"/>
              </w:rPr>
            </w:pPr>
          </w:p>
        </w:tc>
      </w:tr>
      <w:tr>
        <w:trPr>
          <w:trHeight w:val="209"/>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Noncurrent assets of discontinued operations</w:t>
            </w:r>
          </w:p>
        </w:tc>
        <w:tc>
          <w:tcPr>
            <w:tcW w:w="18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w:t>
            </w:r>
          </w:p>
        </w:tc>
        <w:tc>
          <w:tcPr>
            <w:tcW w:w="18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892</w:t>
            </w:r>
          </w:p>
        </w:tc>
        <w:tc>
          <w:tcPr>
            <w:tcW w:w="0" w:type="dxa"/>
            <w:vAlign w:val="bottom"/>
          </w:tcPr>
          <w:p>
            <w:pPr>
              <w:spacing w:after="0"/>
              <w:rPr>
                <w:sz w:val="1"/>
                <w:szCs w:val="1"/>
                <w:color w:val="auto"/>
              </w:rPr>
            </w:pPr>
          </w:p>
        </w:tc>
      </w:tr>
      <w:tr>
        <w:trPr>
          <w:trHeight w:val="199"/>
        </w:trPr>
        <w:tc>
          <w:tcPr>
            <w:tcW w:w="78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Total assets</w:t>
            </w:r>
          </w:p>
        </w:tc>
        <w:tc>
          <w:tcPr>
            <w:tcW w:w="180" w:type="dxa"/>
            <w:vAlign w:val="bottom"/>
            <w:tcBorders>
              <w:top w:val="single" w:sz="8" w:color="auto"/>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480" w:type="dxa"/>
            <w:vAlign w:val="bottom"/>
            <w:tcBorders>
              <w:top w:val="single" w:sz="8" w:color="auto"/>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b w:val="1"/>
                <w:bCs w:val="1"/>
                <w:color w:val="auto"/>
              </w:rPr>
              <w:t>4,674</w:t>
            </w:r>
          </w:p>
        </w:tc>
        <w:tc>
          <w:tcPr>
            <w:tcW w:w="14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4,990</w:t>
            </w:r>
          </w:p>
        </w:tc>
        <w:tc>
          <w:tcPr>
            <w:tcW w:w="0" w:type="dxa"/>
            <w:vAlign w:val="bottom"/>
          </w:tcPr>
          <w:p>
            <w:pPr>
              <w:spacing w:after="0"/>
              <w:rPr>
                <w:sz w:val="1"/>
                <w:szCs w:val="1"/>
                <w:color w:val="auto"/>
              </w:rPr>
            </w:pPr>
          </w:p>
        </w:tc>
      </w:tr>
      <w:tr>
        <w:trPr>
          <w:trHeight w:val="20"/>
        </w:trPr>
        <w:tc>
          <w:tcPr>
            <w:tcW w:w="78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7840" w:type="dxa"/>
            <w:vAlign w:val="bottom"/>
            <w:shd w:val="clear" w:color="auto" w:fill="CCEEFF"/>
          </w:tcPr>
          <w:p>
            <w:pPr>
              <w:ind w:left="20"/>
              <w:spacing w:after="0" w:line="175" w:lineRule="exact"/>
              <w:rPr>
                <w:sz w:val="20"/>
                <w:szCs w:val="20"/>
                <w:color w:val="auto"/>
              </w:rPr>
            </w:pPr>
            <w:r>
              <w:rPr>
                <w:rFonts w:ascii="Times New Roman" w:cs="Times New Roman" w:eastAsia="Times New Roman" w:hAnsi="Times New Roman"/>
                <w:sz w:val="16"/>
                <w:szCs w:val="16"/>
                <w:b w:val="1"/>
                <w:bCs w:val="1"/>
                <w:color w:val="auto"/>
              </w:rPr>
              <w:t>Liabilities and stockholders’ equity (deficit)</w:t>
            </w:r>
          </w:p>
        </w:tc>
        <w:tc>
          <w:tcPr>
            <w:tcW w:w="18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7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liabilities</w:t>
            </w:r>
          </w:p>
        </w:tc>
        <w:tc>
          <w:tcPr>
            <w:tcW w:w="1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78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Short-term borrowings</w:t>
            </w:r>
          </w:p>
        </w:tc>
        <w:tc>
          <w:tcPr>
            <w:tcW w:w="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6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w:t>
            </w:r>
          </w:p>
        </w:tc>
        <w:tc>
          <w:tcPr>
            <w:tcW w:w="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0" w:type="dxa"/>
            <w:vAlign w:val="bottom"/>
          </w:tcPr>
          <w:p>
            <w:pPr>
              <w:spacing w:after="0"/>
              <w:rPr>
                <w:sz w:val="1"/>
                <w:szCs w:val="1"/>
                <w:color w:val="auto"/>
              </w:rPr>
            </w:pPr>
          </w:p>
        </w:tc>
      </w:tr>
      <w:tr>
        <w:trPr>
          <w:trHeight w:val="206"/>
        </w:trPr>
        <w:tc>
          <w:tcPr>
            <w:tcW w:w="78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Accounts payable</w:t>
            </w:r>
          </w:p>
        </w:tc>
        <w:tc>
          <w:tcPr>
            <w:tcW w:w="180" w:type="dxa"/>
            <w:vAlign w:val="bottom"/>
          </w:tcPr>
          <w:p>
            <w:pPr>
              <w:spacing w:after="0"/>
              <w:rPr>
                <w:sz w:val="17"/>
                <w:szCs w:val="17"/>
                <w:color w:val="auto"/>
              </w:rPr>
            </w:pPr>
          </w:p>
        </w:tc>
        <w:tc>
          <w:tcPr>
            <w:tcW w:w="1480" w:type="dxa"/>
            <w:vAlign w:val="bottom"/>
          </w:tcPr>
          <w:p>
            <w:pPr>
              <w:jc w:val="right"/>
              <w:ind w:right="2"/>
              <w:spacing w:after="0"/>
              <w:rPr>
                <w:sz w:val="20"/>
                <w:szCs w:val="20"/>
                <w:color w:val="auto"/>
              </w:rPr>
            </w:pPr>
            <w:r>
              <w:rPr>
                <w:rFonts w:ascii="Times New Roman" w:cs="Times New Roman" w:eastAsia="Times New Roman" w:hAnsi="Times New Roman"/>
                <w:sz w:val="16"/>
                <w:szCs w:val="16"/>
                <w:b w:val="1"/>
                <w:bCs w:val="1"/>
                <w:color w:val="auto"/>
              </w:rPr>
              <w:t>400</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440</w:t>
            </w:r>
          </w:p>
        </w:tc>
        <w:tc>
          <w:tcPr>
            <w:tcW w:w="0" w:type="dxa"/>
            <w:vAlign w:val="bottom"/>
          </w:tcPr>
          <w:p>
            <w:pPr>
              <w:spacing w:after="0"/>
              <w:rPr>
                <w:sz w:val="1"/>
                <w:szCs w:val="1"/>
                <w:color w:val="auto"/>
              </w:rPr>
            </w:pPr>
          </w:p>
        </w:tc>
      </w:tr>
      <w:tr>
        <w:trPr>
          <w:trHeight w:val="209"/>
        </w:trPr>
        <w:tc>
          <w:tcPr>
            <w:tcW w:w="78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Payroll and benefits liabilities</w:t>
            </w:r>
          </w:p>
        </w:tc>
        <w:tc>
          <w:tcPr>
            <w:tcW w:w="18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b w:val="1"/>
                <w:bCs w:val="1"/>
                <w:color w:val="auto"/>
              </w:rPr>
              <w:t>119</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w:t>
            </w:r>
          </w:p>
        </w:tc>
        <w:tc>
          <w:tcPr>
            <w:tcW w:w="0" w:type="dxa"/>
            <w:vAlign w:val="bottom"/>
          </w:tcPr>
          <w:p>
            <w:pPr>
              <w:spacing w:after="0"/>
              <w:rPr>
                <w:sz w:val="1"/>
                <w:szCs w:val="1"/>
                <w:color w:val="auto"/>
              </w:rPr>
            </w:pPr>
          </w:p>
        </w:tc>
      </w:tr>
      <w:tr>
        <w:trPr>
          <w:trHeight w:val="206"/>
        </w:trPr>
        <w:tc>
          <w:tcPr>
            <w:tcW w:w="78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Contract liabilities</w:t>
            </w:r>
          </w:p>
        </w:tc>
        <w:tc>
          <w:tcPr>
            <w:tcW w:w="180" w:type="dxa"/>
            <w:vAlign w:val="bottom"/>
          </w:tcPr>
          <w:p>
            <w:pPr>
              <w:spacing w:after="0"/>
              <w:rPr>
                <w:sz w:val="17"/>
                <w:szCs w:val="17"/>
                <w:color w:val="auto"/>
              </w:rPr>
            </w:pPr>
          </w:p>
        </w:tc>
        <w:tc>
          <w:tcPr>
            <w:tcW w:w="1480" w:type="dxa"/>
            <w:vAlign w:val="bottom"/>
          </w:tcPr>
          <w:p>
            <w:pPr>
              <w:jc w:val="right"/>
              <w:ind w:right="2"/>
              <w:spacing w:after="0"/>
              <w:rPr>
                <w:sz w:val="20"/>
                <w:szCs w:val="20"/>
                <w:color w:val="auto"/>
              </w:rPr>
            </w:pPr>
            <w:r>
              <w:rPr>
                <w:rFonts w:ascii="Times New Roman" w:cs="Times New Roman" w:eastAsia="Times New Roman" w:hAnsi="Times New Roman"/>
                <w:sz w:val="16"/>
                <w:szCs w:val="16"/>
                <w:b w:val="1"/>
                <w:bCs w:val="1"/>
                <w:color w:val="auto"/>
              </w:rPr>
              <w:t>186</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157</w:t>
            </w:r>
          </w:p>
        </w:tc>
        <w:tc>
          <w:tcPr>
            <w:tcW w:w="0" w:type="dxa"/>
            <w:vAlign w:val="bottom"/>
          </w:tcPr>
          <w:p>
            <w:pPr>
              <w:spacing w:after="0"/>
              <w:rPr>
                <w:sz w:val="1"/>
                <w:szCs w:val="1"/>
                <w:color w:val="auto"/>
              </w:rPr>
            </w:pPr>
          </w:p>
        </w:tc>
      </w:tr>
      <w:tr>
        <w:trPr>
          <w:trHeight w:val="209"/>
        </w:trPr>
        <w:tc>
          <w:tcPr>
            <w:tcW w:w="78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Settlement liabilities</w:t>
            </w:r>
          </w:p>
        </w:tc>
        <w:tc>
          <w:tcPr>
            <w:tcW w:w="18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b w:val="1"/>
                <w:bCs w:val="1"/>
                <w:color w:val="auto"/>
              </w:rPr>
              <w:t>40</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0" w:type="dxa"/>
            <w:vAlign w:val="bottom"/>
          </w:tcPr>
          <w:p>
            <w:pPr>
              <w:spacing w:after="0"/>
              <w:rPr>
                <w:sz w:val="1"/>
                <w:szCs w:val="1"/>
                <w:color w:val="auto"/>
              </w:rPr>
            </w:pPr>
          </w:p>
        </w:tc>
      </w:tr>
      <w:tr>
        <w:trPr>
          <w:trHeight w:val="206"/>
        </w:trPr>
        <w:tc>
          <w:tcPr>
            <w:tcW w:w="78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Other current liabilities</w:t>
            </w:r>
          </w:p>
        </w:tc>
        <w:tc>
          <w:tcPr>
            <w:tcW w:w="180" w:type="dxa"/>
            <w:vAlign w:val="bottom"/>
          </w:tcPr>
          <w:p>
            <w:pPr>
              <w:spacing w:after="0"/>
              <w:rPr>
                <w:sz w:val="17"/>
                <w:szCs w:val="17"/>
                <w:color w:val="auto"/>
              </w:rPr>
            </w:pPr>
          </w:p>
        </w:tc>
        <w:tc>
          <w:tcPr>
            <w:tcW w:w="1480" w:type="dxa"/>
            <w:vAlign w:val="bottom"/>
          </w:tcPr>
          <w:p>
            <w:pPr>
              <w:jc w:val="right"/>
              <w:ind w:right="2"/>
              <w:spacing w:after="0"/>
              <w:rPr>
                <w:sz w:val="20"/>
                <w:szCs w:val="20"/>
                <w:color w:val="auto"/>
              </w:rPr>
            </w:pPr>
            <w:r>
              <w:rPr>
                <w:rFonts w:ascii="Times New Roman" w:cs="Times New Roman" w:eastAsia="Times New Roman" w:hAnsi="Times New Roman"/>
                <w:sz w:val="16"/>
                <w:szCs w:val="16"/>
                <w:b w:val="1"/>
                <w:bCs w:val="1"/>
                <w:color w:val="auto"/>
              </w:rPr>
              <w:t>782</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421</w:t>
            </w:r>
          </w:p>
        </w:tc>
        <w:tc>
          <w:tcPr>
            <w:tcW w:w="0" w:type="dxa"/>
            <w:vAlign w:val="bottom"/>
          </w:tcPr>
          <w:p>
            <w:pPr>
              <w:spacing w:after="0"/>
              <w:rPr>
                <w:sz w:val="1"/>
                <w:szCs w:val="1"/>
                <w:color w:val="auto"/>
              </w:rPr>
            </w:pPr>
          </w:p>
        </w:tc>
      </w:tr>
      <w:tr>
        <w:trPr>
          <w:trHeight w:val="209"/>
        </w:trPr>
        <w:tc>
          <w:tcPr>
            <w:tcW w:w="78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Current liabilities of discontinued operations</w:t>
            </w:r>
          </w:p>
        </w:tc>
        <w:tc>
          <w:tcPr>
            <w:tcW w:w="18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w:t>
            </w:r>
          </w:p>
        </w:tc>
        <w:tc>
          <w:tcPr>
            <w:tcW w:w="0" w:type="dxa"/>
            <w:vAlign w:val="bottom"/>
          </w:tcPr>
          <w:p>
            <w:pPr>
              <w:spacing w:after="0"/>
              <w:rPr>
                <w:sz w:val="1"/>
                <w:szCs w:val="1"/>
                <w:color w:val="auto"/>
              </w:rPr>
            </w:pPr>
          </w:p>
        </w:tc>
      </w:tr>
      <w:tr>
        <w:trPr>
          <w:trHeight w:val="199"/>
        </w:trPr>
        <w:tc>
          <w:tcPr>
            <w:tcW w:w="7840" w:type="dxa"/>
            <w:vAlign w:val="bottom"/>
            <w:tcBorders>
              <w:bottom w:val="single" w:sz="8" w:color="CCEEFF"/>
            </w:tcBorders>
          </w:tcPr>
          <w:p>
            <w:pPr>
              <w:ind w:left="20"/>
              <w:spacing w:after="0" w:line="183" w:lineRule="exact"/>
              <w:rPr>
                <w:sz w:val="20"/>
                <w:szCs w:val="20"/>
                <w:color w:val="auto"/>
              </w:rPr>
            </w:pPr>
            <w:r>
              <w:rPr>
                <w:rFonts w:ascii="Times New Roman" w:cs="Times New Roman" w:eastAsia="Times New Roman" w:hAnsi="Times New Roman"/>
                <w:sz w:val="16"/>
                <w:szCs w:val="16"/>
                <w:color w:val="auto"/>
              </w:rPr>
              <w:t>Total current liabilities</w:t>
            </w:r>
          </w:p>
        </w:tc>
        <w:tc>
          <w:tcPr>
            <w:tcW w:w="180" w:type="dxa"/>
            <w:vAlign w:val="bottom"/>
            <w:tcBorders>
              <w:top w:val="single" w:sz="8" w:color="auto"/>
              <w:bottom w:val="single" w:sz="8" w:color="auto"/>
            </w:tcBorders>
          </w:tcPr>
          <w:p>
            <w:pPr>
              <w:spacing w:after="0"/>
              <w:rPr>
                <w:sz w:val="17"/>
                <w:szCs w:val="17"/>
                <w:color w:val="auto"/>
              </w:rPr>
            </w:pPr>
          </w:p>
        </w:tc>
        <w:tc>
          <w:tcPr>
            <w:tcW w:w="1480" w:type="dxa"/>
            <w:vAlign w:val="bottom"/>
            <w:tcBorders>
              <w:top w:val="single" w:sz="8" w:color="auto"/>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b w:val="1"/>
                <w:bCs w:val="1"/>
                <w:color w:val="auto"/>
              </w:rPr>
              <w:t>1,527</w:t>
            </w:r>
          </w:p>
        </w:tc>
        <w:tc>
          <w:tcPr>
            <w:tcW w:w="140" w:type="dxa"/>
            <w:vAlign w:val="bottom"/>
            <w:tcBorders>
              <w:bottom w:val="single" w:sz="8" w:color="CCEEFF"/>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1,333</w:t>
            </w:r>
          </w:p>
        </w:tc>
        <w:tc>
          <w:tcPr>
            <w:tcW w:w="0" w:type="dxa"/>
            <w:vAlign w:val="bottom"/>
          </w:tcPr>
          <w:p>
            <w:pPr>
              <w:spacing w:after="0"/>
              <w:rPr>
                <w:sz w:val="1"/>
                <w:szCs w:val="1"/>
                <w:color w:val="auto"/>
              </w:rPr>
            </w:pPr>
          </w:p>
        </w:tc>
      </w:tr>
      <w:tr>
        <w:trPr>
          <w:trHeight w:val="202"/>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Long-term debt</w:t>
            </w:r>
          </w:p>
        </w:tc>
        <w:tc>
          <w:tcPr>
            <w:tcW w:w="180" w:type="dxa"/>
            <w:vAlign w:val="bottom"/>
            <w:shd w:val="clear" w:color="auto" w:fill="CCEEFF"/>
          </w:tcPr>
          <w:p>
            <w:pPr>
              <w:spacing w:after="0"/>
              <w:rPr>
                <w:sz w:val="17"/>
                <w:szCs w:val="17"/>
                <w:color w:val="auto"/>
              </w:rPr>
            </w:pPr>
          </w:p>
        </w:tc>
        <w:tc>
          <w:tcPr>
            <w:tcW w:w="14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b w:val="1"/>
                <w:bCs w:val="1"/>
                <w:color w:val="auto"/>
              </w:rPr>
              <w:t>1,098</w:t>
            </w: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2,563</w:t>
            </w:r>
          </w:p>
        </w:tc>
        <w:tc>
          <w:tcPr>
            <w:tcW w:w="0" w:type="dxa"/>
            <w:vAlign w:val="bottom"/>
          </w:tcPr>
          <w:p>
            <w:pPr>
              <w:spacing w:after="0"/>
              <w:rPr>
                <w:sz w:val="1"/>
                <w:szCs w:val="1"/>
                <w:color w:val="auto"/>
              </w:rPr>
            </w:pPr>
          </w:p>
        </w:tc>
      </w:tr>
      <w:tr>
        <w:trPr>
          <w:trHeight w:val="206"/>
        </w:trPr>
        <w:tc>
          <w:tcPr>
            <w:tcW w:w="7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Pension and indemnity plan liabilities</w:t>
            </w:r>
          </w:p>
        </w:tc>
        <w:tc>
          <w:tcPr>
            <w:tcW w:w="180" w:type="dxa"/>
            <w:vAlign w:val="bottom"/>
          </w:tcPr>
          <w:p>
            <w:pPr>
              <w:spacing w:after="0"/>
              <w:rPr>
                <w:sz w:val="17"/>
                <w:szCs w:val="17"/>
                <w:color w:val="auto"/>
              </w:rPr>
            </w:pPr>
          </w:p>
        </w:tc>
        <w:tc>
          <w:tcPr>
            <w:tcW w:w="1480" w:type="dxa"/>
            <w:vAlign w:val="bottom"/>
          </w:tcPr>
          <w:p>
            <w:pPr>
              <w:jc w:val="right"/>
              <w:ind w:right="2"/>
              <w:spacing w:after="0"/>
              <w:rPr>
                <w:sz w:val="20"/>
                <w:szCs w:val="20"/>
                <w:color w:val="auto"/>
              </w:rPr>
            </w:pPr>
            <w:r>
              <w:rPr>
                <w:rFonts w:ascii="Times New Roman" w:cs="Times New Roman" w:eastAsia="Times New Roman" w:hAnsi="Times New Roman"/>
                <w:sz w:val="16"/>
                <w:szCs w:val="16"/>
                <w:b w:val="1"/>
                <w:bCs w:val="1"/>
                <w:color w:val="auto"/>
              </w:rPr>
              <w:t>165</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160</w:t>
            </w:r>
          </w:p>
        </w:tc>
        <w:tc>
          <w:tcPr>
            <w:tcW w:w="0" w:type="dxa"/>
            <w:vAlign w:val="bottom"/>
          </w:tcPr>
          <w:p>
            <w:pPr>
              <w:spacing w:after="0"/>
              <w:rPr>
                <w:sz w:val="1"/>
                <w:szCs w:val="1"/>
                <w:color w:val="auto"/>
              </w:rPr>
            </w:pPr>
          </w:p>
        </w:tc>
      </w:tr>
      <w:tr>
        <w:trPr>
          <w:trHeight w:val="209"/>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Postretirement and postemployment benefits liabilities</w:t>
            </w:r>
          </w:p>
        </w:tc>
        <w:tc>
          <w:tcPr>
            <w:tcW w:w="18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b w:val="1"/>
                <w:bCs w:val="1"/>
                <w:color w:val="auto"/>
              </w:rPr>
              <w:t>38</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w:t>
            </w:r>
          </w:p>
        </w:tc>
        <w:tc>
          <w:tcPr>
            <w:tcW w:w="0" w:type="dxa"/>
            <w:vAlign w:val="bottom"/>
          </w:tcPr>
          <w:p>
            <w:pPr>
              <w:spacing w:after="0"/>
              <w:rPr>
                <w:sz w:val="1"/>
                <w:szCs w:val="1"/>
                <w:color w:val="auto"/>
              </w:rPr>
            </w:pPr>
          </w:p>
        </w:tc>
      </w:tr>
      <w:tr>
        <w:trPr>
          <w:trHeight w:val="206"/>
        </w:trPr>
        <w:tc>
          <w:tcPr>
            <w:tcW w:w="7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Income tax accruals</w:t>
            </w:r>
          </w:p>
        </w:tc>
        <w:tc>
          <w:tcPr>
            <w:tcW w:w="180" w:type="dxa"/>
            <w:vAlign w:val="bottom"/>
          </w:tcPr>
          <w:p>
            <w:pPr>
              <w:spacing w:after="0"/>
              <w:rPr>
                <w:sz w:val="17"/>
                <w:szCs w:val="17"/>
                <w:color w:val="auto"/>
              </w:rPr>
            </w:pPr>
          </w:p>
        </w:tc>
        <w:tc>
          <w:tcPr>
            <w:tcW w:w="1480" w:type="dxa"/>
            <w:vAlign w:val="bottom"/>
          </w:tcPr>
          <w:p>
            <w:pPr>
              <w:jc w:val="right"/>
              <w:ind w:right="2"/>
              <w:spacing w:after="0"/>
              <w:rPr>
                <w:sz w:val="20"/>
                <w:szCs w:val="20"/>
                <w:color w:val="auto"/>
              </w:rPr>
            </w:pPr>
            <w:r>
              <w:rPr>
                <w:rFonts w:ascii="Times New Roman" w:cs="Times New Roman" w:eastAsia="Times New Roman" w:hAnsi="Times New Roman"/>
                <w:sz w:val="16"/>
                <w:szCs w:val="16"/>
                <w:b w:val="1"/>
                <w:bCs w:val="1"/>
                <w:color w:val="auto"/>
              </w:rPr>
              <w:t>59</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w:t>
            </w:r>
          </w:p>
        </w:tc>
        <w:tc>
          <w:tcPr>
            <w:tcW w:w="0" w:type="dxa"/>
            <w:vAlign w:val="bottom"/>
          </w:tcPr>
          <w:p>
            <w:pPr>
              <w:spacing w:after="0"/>
              <w:rPr>
                <w:sz w:val="1"/>
                <w:szCs w:val="1"/>
                <w:color w:val="auto"/>
              </w:rPr>
            </w:pPr>
          </w:p>
        </w:tc>
      </w:tr>
      <w:tr>
        <w:trPr>
          <w:trHeight w:val="209"/>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lease liabilities</w:t>
            </w:r>
          </w:p>
        </w:tc>
        <w:tc>
          <w:tcPr>
            <w:tcW w:w="18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b w:val="1"/>
                <w:bCs w:val="1"/>
                <w:color w:val="auto"/>
              </w:rPr>
              <w:t>253</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251</w:t>
            </w:r>
          </w:p>
        </w:tc>
        <w:tc>
          <w:tcPr>
            <w:tcW w:w="0" w:type="dxa"/>
            <w:vAlign w:val="bottom"/>
          </w:tcPr>
          <w:p>
            <w:pPr>
              <w:spacing w:after="0"/>
              <w:rPr>
                <w:sz w:val="1"/>
                <w:szCs w:val="1"/>
                <w:color w:val="auto"/>
              </w:rPr>
            </w:pPr>
          </w:p>
        </w:tc>
      </w:tr>
      <w:tr>
        <w:trPr>
          <w:trHeight w:val="206"/>
        </w:trPr>
        <w:tc>
          <w:tcPr>
            <w:tcW w:w="7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liabilities</w:t>
            </w:r>
          </w:p>
        </w:tc>
        <w:tc>
          <w:tcPr>
            <w:tcW w:w="180" w:type="dxa"/>
            <w:vAlign w:val="bottom"/>
          </w:tcPr>
          <w:p>
            <w:pPr>
              <w:spacing w:after="0"/>
              <w:rPr>
                <w:sz w:val="17"/>
                <w:szCs w:val="17"/>
                <w:color w:val="auto"/>
              </w:rPr>
            </w:pPr>
          </w:p>
        </w:tc>
        <w:tc>
          <w:tcPr>
            <w:tcW w:w="1480" w:type="dxa"/>
            <w:vAlign w:val="bottom"/>
          </w:tcPr>
          <w:p>
            <w:pPr>
              <w:jc w:val="right"/>
              <w:ind w:right="2"/>
              <w:spacing w:after="0"/>
              <w:rPr>
                <w:sz w:val="20"/>
                <w:szCs w:val="20"/>
                <w:color w:val="auto"/>
              </w:rPr>
            </w:pPr>
            <w:r>
              <w:rPr>
                <w:rFonts w:ascii="Times New Roman" w:cs="Times New Roman" w:eastAsia="Times New Roman" w:hAnsi="Times New Roman"/>
                <w:sz w:val="16"/>
                <w:szCs w:val="16"/>
                <w:b w:val="1"/>
                <w:bCs w:val="1"/>
                <w:color w:val="auto"/>
              </w:rPr>
              <w:t>247</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253</w:t>
            </w:r>
          </w:p>
        </w:tc>
        <w:tc>
          <w:tcPr>
            <w:tcW w:w="0" w:type="dxa"/>
            <w:vAlign w:val="bottom"/>
          </w:tcPr>
          <w:p>
            <w:pPr>
              <w:spacing w:after="0"/>
              <w:rPr>
                <w:sz w:val="1"/>
                <w:szCs w:val="1"/>
                <w:color w:val="auto"/>
              </w:rPr>
            </w:pPr>
          </w:p>
        </w:tc>
      </w:tr>
      <w:tr>
        <w:trPr>
          <w:trHeight w:val="209"/>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Noncurrent liabilities of discontinued operations</w:t>
            </w:r>
          </w:p>
        </w:tc>
        <w:tc>
          <w:tcPr>
            <w:tcW w:w="18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0" w:type="dxa"/>
            <w:vAlign w:val="bottom"/>
          </w:tcPr>
          <w:p>
            <w:pPr>
              <w:spacing w:after="0"/>
              <w:rPr>
                <w:sz w:val="1"/>
                <w:szCs w:val="1"/>
                <w:color w:val="auto"/>
              </w:rPr>
            </w:pPr>
          </w:p>
        </w:tc>
      </w:tr>
      <w:tr>
        <w:trPr>
          <w:trHeight w:val="199"/>
        </w:trPr>
        <w:tc>
          <w:tcPr>
            <w:tcW w:w="7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Total liabilities</w:t>
            </w:r>
          </w:p>
        </w:tc>
        <w:tc>
          <w:tcPr>
            <w:tcW w:w="180" w:type="dxa"/>
            <w:vAlign w:val="bottom"/>
            <w:tcBorders>
              <w:top w:val="single" w:sz="8" w:color="auto"/>
              <w:bottom w:val="single" w:sz="8" w:color="auto"/>
            </w:tcBorders>
          </w:tcPr>
          <w:p>
            <w:pPr>
              <w:spacing w:after="0"/>
              <w:rPr>
                <w:sz w:val="17"/>
                <w:szCs w:val="17"/>
                <w:color w:val="auto"/>
              </w:rPr>
            </w:pPr>
          </w:p>
        </w:tc>
        <w:tc>
          <w:tcPr>
            <w:tcW w:w="1480" w:type="dxa"/>
            <w:vAlign w:val="bottom"/>
            <w:tcBorders>
              <w:top w:val="single" w:sz="8" w:color="auto"/>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b w:val="1"/>
                <w:bCs w:val="1"/>
                <w:color w:val="auto"/>
              </w:rPr>
              <w:t>3,387</w:t>
            </w:r>
          </w:p>
        </w:tc>
        <w:tc>
          <w:tcPr>
            <w:tcW w:w="140" w:type="dxa"/>
            <w:vAlign w:val="bottom"/>
            <w:tcBorders>
              <w:bottom w:val="single" w:sz="8" w:color="CCEEFF"/>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4,689</w:t>
            </w:r>
          </w:p>
        </w:tc>
        <w:tc>
          <w:tcPr>
            <w:tcW w:w="0" w:type="dxa"/>
            <w:vAlign w:val="bottom"/>
          </w:tcPr>
          <w:p>
            <w:pPr>
              <w:spacing w:after="0"/>
              <w:rPr>
                <w:sz w:val="1"/>
                <w:szCs w:val="1"/>
                <w:color w:val="auto"/>
              </w:rPr>
            </w:pPr>
          </w:p>
        </w:tc>
      </w:tr>
      <w:tr>
        <w:trPr>
          <w:trHeight w:val="189"/>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Commitments and Contingencies (Note 10)</w:t>
            </w:r>
          </w:p>
        </w:tc>
        <w:tc>
          <w:tcPr>
            <w:tcW w:w="18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7840" w:type="dxa"/>
            <w:vAlign w:val="bottom"/>
          </w:tcPr>
          <w:p>
            <w:pPr>
              <w:ind w:left="20"/>
              <w:spacing w:after="0" w:line="155" w:lineRule="exact"/>
              <w:rPr>
                <w:sz w:val="20"/>
                <w:szCs w:val="20"/>
                <w:color w:val="auto"/>
              </w:rPr>
            </w:pPr>
            <w:r>
              <w:rPr>
                <w:rFonts w:ascii="Times New Roman" w:cs="Times New Roman" w:eastAsia="Times New Roman" w:hAnsi="Times New Roman"/>
                <w:sz w:val="16"/>
                <w:szCs w:val="16"/>
                <w:color w:val="auto"/>
                <w:w w:val="97"/>
              </w:rPr>
              <w:t>Series A convertible preferred stock: par value $0.01 per share, 3.0 shares authorized, 0.3 shares issued and outstanding as of</w:t>
            </w:r>
          </w:p>
        </w:tc>
        <w:tc>
          <w:tcPr>
            <w:tcW w:w="18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7840" w:type="dxa"/>
            <w:vAlign w:val="bottom"/>
          </w:tcPr>
          <w:p>
            <w:pPr>
              <w:ind w:left="20"/>
              <w:spacing w:after="0" w:line="155" w:lineRule="exact"/>
              <w:rPr>
                <w:sz w:val="20"/>
                <w:szCs w:val="20"/>
                <w:color w:val="auto"/>
              </w:rPr>
            </w:pPr>
            <w:r>
              <w:rPr>
                <w:rFonts w:ascii="Times New Roman" w:cs="Times New Roman" w:eastAsia="Times New Roman" w:hAnsi="Times New Roman"/>
                <w:sz w:val="16"/>
                <w:szCs w:val="16"/>
                <w:color w:val="auto"/>
              </w:rPr>
              <w:t>September 30, 2024 and December 31, 2023; redemption amount and liquidation preference of $276 as of September 30,</w:t>
            </w:r>
          </w:p>
        </w:tc>
        <w:tc>
          <w:tcPr>
            <w:tcW w:w="180" w:type="dxa"/>
            <w:vAlign w:val="bottom"/>
          </w:tcPr>
          <w:p>
            <w:pPr>
              <w:spacing w:after="0"/>
              <w:rPr>
                <w:sz w:val="13"/>
                <w:szCs w:val="13"/>
                <w:color w:val="auto"/>
              </w:rPr>
            </w:pPr>
          </w:p>
        </w:tc>
        <w:tc>
          <w:tcPr>
            <w:tcW w:w="1480" w:type="dxa"/>
            <w:vAlign w:val="bottom"/>
            <w:vMerge w:val="restart"/>
          </w:tcPr>
          <w:p>
            <w:pPr>
              <w:jc w:val="right"/>
              <w:ind w:right="2"/>
              <w:spacing w:after="0"/>
              <w:rPr>
                <w:sz w:val="20"/>
                <w:szCs w:val="20"/>
                <w:color w:val="auto"/>
              </w:rPr>
            </w:pPr>
            <w:r>
              <w:rPr>
                <w:rFonts w:ascii="Times New Roman" w:cs="Times New Roman" w:eastAsia="Times New Roman" w:hAnsi="Times New Roman"/>
                <w:sz w:val="16"/>
                <w:szCs w:val="16"/>
                <w:b w:val="1"/>
                <w:bCs w:val="1"/>
                <w:color w:val="auto"/>
              </w:rPr>
              <w:t>276</w:t>
            </w: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276</w:t>
            </w:r>
          </w:p>
        </w:tc>
        <w:tc>
          <w:tcPr>
            <w:tcW w:w="0" w:type="dxa"/>
            <w:vAlign w:val="bottom"/>
          </w:tcPr>
          <w:p>
            <w:pPr>
              <w:spacing w:after="0"/>
              <w:rPr>
                <w:sz w:val="1"/>
                <w:szCs w:val="1"/>
                <w:color w:val="auto"/>
              </w:rPr>
            </w:pPr>
          </w:p>
        </w:tc>
      </w:tr>
      <w:tr>
        <w:trPr>
          <w:trHeight w:val="205"/>
        </w:trPr>
        <w:tc>
          <w:tcPr>
            <w:tcW w:w="7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2024 and December 31, 2023</w:t>
            </w:r>
          </w:p>
        </w:tc>
        <w:tc>
          <w:tcPr>
            <w:tcW w:w="180" w:type="dxa"/>
            <w:vAlign w:val="bottom"/>
          </w:tcPr>
          <w:p>
            <w:pPr>
              <w:spacing w:after="0"/>
              <w:rPr>
                <w:sz w:val="17"/>
                <w:szCs w:val="17"/>
                <w:color w:val="auto"/>
              </w:rPr>
            </w:pPr>
          </w:p>
        </w:tc>
        <w:tc>
          <w:tcPr>
            <w:tcW w:w="148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Stockholders’ equity (deficit)</w:t>
            </w:r>
          </w:p>
        </w:tc>
        <w:tc>
          <w:tcPr>
            <w:tcW w:w="18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7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NCR Voyix stockholders’ equity (deficit)</w:t>
            </w:r>
          </w:p>
        </w:tc>
        <w:tc>
          <w:tcPr>
            <w:tcW w:w="1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8"/>
        </w:trPr>
        <w:tc>
          <w:tcPr>
            <w:tcW w:w="7840" w:type="dxa"/>
            <w:vAlign w:val="bottom"/>
            <w:shd w:val="clear" w:color="auto" w:fill="CCEEFF"/>
          </w:tcPr>
          <w:p>
            <w:pPr>
              <w:ind w:left="340"/>
              <w:spacing w:after="0" w:line="158" w:lineRule="exact"/>
              <w:rPr>
                <w:sz w:val="20"/>
                <w:szCs w:val="20"/>
                <w:color w:val="auto"/>
              </w:rPr>
            </w:pPr>
            <w:r>
              <w:rPr>
                <w:rFonts w:ascii="Times New Roman" w:cs="Times New Roman" w:eastAsia="Times New Roman" w:hAnsi="Times New Roman"/>
                <w:sz w:val="16"/>
                <w:szCs w:val="16"/>
                <w:color w:val="auto"/>
                <w:w w:val="99"/>
              </w:rPr>
              <w:t>Preferred stock: par value $0.01 per share, 100.0 shares authorized, no shares issued and outstanding as of September</w:t>
            </w:r>
          </w:p>
        </w:tc>
        <w:tc>
          <w:tcPr>
            <w:tcW w:w="180" w:type="dxa"/>
            <w:vAlign w:val="bottom"/>
            <w:shd w:val="clear" w:color="auto" w:fill="CCEEFF"/>
          </w:tcPr>
          <w:p>
            <w:pPr>
              <w:spacing w:after="0"/>
              <w:rPr>
                <w:sz w:val="13"/>
                <w:szCs w:val="13"/>
                <w:color w:val="auto"/>
              </w:rPr>
            </w:pPr>
          </w:p>
        </w:tc>
        <w:tc>
          <w:tcPr>
            <w:tcW w:w="16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w:t>
            </w:r>
          </w:p>
        </w:tc>
        <w:tc>
          <w:tcPr>
            <w:tcW w:w="180" w:type="dxa"/>
            <w:vAlign w:val="bottom"/>
            <w:shd w:val="clear" w:color="auto" w:fill="CCEEFF"/>
          </w:tcPr>
          <w:p>
            <w:pPr>
              <w:spacing w:after="0"/>
              <w:rPr>
                <w:sz w:val="13"/>
                <w:szCs w:val="13"/>
                <w:color w:val="auto"/>
              </w:rPr>
            </w:pPr>
          </w:p>
        </w:tc>
        <w:tc>
          <w:tcPr>
            <w:tcW w:w="14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24"/>
        </w:trPr>
        <w:tc>
          <w:tcPr>
            <w:tcW w:w="7840" w:type="dxa"/>
            <w:vAlign w:val="bottom"/>
            <w:vMerge w:val="restart"/>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30, 2024 and December 31, 2023</w:t>
            </w:r>
          </w:p>
        </w:tc>
        <w:tc>
          <w:tcPr>
            <w:tcW w:w="180" w:type="dxa"/>
            <w:vAlign w:val="bottom"/>
            <w:shd w:val="clear" w:color="auto" w:fill="CCEEFF"/>
          </w:tcPr>
          <w:p>
            <w:pPr>
              <w:spacing w:after="0"/>
              <w:rPr>
                <w:sz w:val="10"/>
                <w:szCs w:val="10"/>
                <w:color w:val="auto"/>
              </w:rPr>
            </w:pPr>
          </w:p>
        </w:tc>
        <w:tc>
          <w:tcPr>
            <w:tcW w:w="1620" w:type="dxa"/>
            <w:vAlign w:val="bottom"/>
            <w:gridSpan w:val="2"/>
            <w:vMerge w:val="continue"/>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4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84"/>
        </w:trPr>
        <w:tc>
          <w:tcPr>
            <w:tcW w:w="7840" w:type="dxa"/>
            <w:vAlign w:val="bottom"/>
            <w:vMerge w:val="continue"/>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148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1420" w:type="dxa"/>
            <w:vAlign w:val="bottom"/>
            <w:vMerge w:val="continue"/>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56"/>
        </w:trPr>
        <w:tc>
          <w:tcPr>
            <w:tcW w:w="7840" w:type="dxa"/>
            <w:vAlign w:val="bottom"/>
          </w:tcPr>
          <w:p>
            <w:pPr>
              <w:ind w:left="340"/>
              <w:spacing w:after="0" w:line="155" w:lineRule="exact"/>
              <w:rPr>
                <w:sz w:val="20"/>
                <w:szCs w:val="20"/>
                <w:color w:val="auto"/>
              </w:rPr>
            </w:pPr>
            <w:r>
              <w:rPr>
                <w:rFonts w:ascii="Times New Roman" w:cs="Times New Roman" w:eastAsia="Times New Roman" w:hAnsi="Times New Roman"/>
                <w:sz w:val="16"/>
                <w:szCs w:val="16"/>
                <w:color w:val="auto"/>
                <w:w w:val="97"/>
              </w:rPr>
              <w:t>Common stock: par value $0.01 per share, 500.0 shares authorized, 145.5 and 142.6 shares issued and outstanding as of</w:t>
            </w:r>
          </w:p>
        </w:tc>
        <w:tc>
          <w:tcPr>
            <w:tcW w:w="180" w:type="dxa"/>
            <w:vAlign w:val="bottom"/>
          </w:tcPr>
          <w:p>
            <w:pPr>
              <w:spacing w:after="0"/>
              <w:rPr>
                <w:sz w:val="13"/>
                <w:szCs w:val="13"/>
                <w:color w:val="auto"/>
              </w:rPr>
            </w:pPr>
          </w:p>
        </w:tc>
        <w:tc>
          <w:tcPr>
            <w:tcW w:w="1480" w:type="dxa"/>
            <w:vAlign w:val="bottom"/>
            <w:vMerge w:val="restart"/>
          </w:tcPr>
          <w:p>
            <w:pPr>
              <w:jc w:val="right"/>
              <w:ind w:right="2"/>
              <w:spacing w:after="0"/>
              <w:rPr>
                <w:sz w:val="20"/>
                <w:szCs w:val="20"/>
                <w:color w:val="auto"/>
              </w:rPr>
            </w:pPr>
            <w:r>
              <w:rPr>
                <w:rFonts w:ascii="Times New Roman" w:cs="Times New Roman" w:eastAsia="Times New Roman" w:hAnsi="Times New Roman"/>
                <w:sz w:val="16"/>
                <w:szCs w:val="16"/>
                <w:b w:val="1"/>
                <w:bCs w:val="1"/>
                <w:color w:val="auto"/>
              </w:rPr>
              <w:t>1</w:t>
            </w: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205"/>
        </w:trPr>
        <w:tc>
          <w:tcPr>
            <w:tcW w:w="78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September 30, 2024 and December 31, 2023, respectively</w:t>
            </w:r>
          </w:p>
        </w:tc>
        <w:tc>
          <w:tcPr>
            <w:tcW w:w="180" w:type="dxa"/>
            <w:vAlign w:val="bottom"/>
          </w:tcPr>
          <w:p>
            <w:pPr>
              <w:spacing w:after="0"/>
              <w:rPr>
                <w:sz w:val="17"/>
                <w:szCs w:val="17"/>
                <w:color w:val="auto"/>
              </w:rPr>
            </w:pPr>
          </w:p>
        </w:tc>
        <w:tc>
          <w:tcPr>
            <w:tcW w:w="148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78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Paid-in capital</w:t>
            </w:r>
          </w:p>
        </w:tc>
        <w:tc>
          <w:tcPr>
            <w:tcW w:w="18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b w:val="1"/>
                <w:bCs w:val="1"/>
                <w:color w:val="auto"/>
              </w:rPr>
              <w:t>911</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874</w:t>
            </w:r>
          </w:p>
        </w:tc>
        <w:tc>
          <w:tcPr>
            <w:tcW w:w="0" w:type="dxa"/>
            <w:vAlign w:val="bottom"/>
          </w:tcPr>
          <w:p>
            <w:pPr>
              <w:spacing w:after="0"/>
              <w:rPr>
                <w:sz w:val="1"/>
                <w:szCs w:val="1"/>
                <w:color w:val="auto"/>
              </w:rPr>
            </w:pPr>
          </w:p>
        </w:tc>
      </w:tr>
      <w:tr>
        <w:trPr>
          <w:trHeight w:val="206"/>
        </w:trPr>
        <w:tc>
          <w:tcPr>
            <w:tcW w:w="78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Retained earnings (deficit)</w:t>
            </w:r>
          </w:p>
        </w:tc>
        <w:tc>
          <w:tcPr>
            <w:tcW w:w="180" w:type="dxa"/>
            <w:vAlign w:val="bottom"/>
          </w:tcPr>
          <w:p>
            <w:pPr>
              <w:spacing w:after="0"/>
              <w:rPr>
                <w:sz w:val="17"/>
                <w:szCs w:val="17"/>
                <w:color w:val="auto"/>
              </w:rPr>
            </w:pPr>
          </w:p>
        </w:tc>
        <w:tc>
          <w:tcPr>
            <w:tcW w:w="1480" w:type="dxa"/>
            <w:vAlign w:val="bottom"/>
          </w:tcPr>
          <w:p>
            <w:pPr>
              <w:jc w:val="right"/>
              <w:ind w:right="2"/>
              <w:spacing w:after="0"/>
              <w:rPr>
                <w:sz w:val="20"/>
                <w:szCs w:val="20"/>
                <w:color w:val="auto"/>
              </w:rPr>
            </w:pPr>
            <w:r>
              <w:rPr>
                <w:rFonts w:ascii="Times New Roman" w:cs="Times New Roman" w:eastAsia="Times New Roman" w:hAnsi="Times New Roman"/>
                <w:sz w:val="16"/>
                <w:szCs w:val="16"/>
                <w:b w:val="1"/>
                <w:bCs w:val="1"/>
                <w:color w:val="auto"/>
              </w:rPr>
              <w:t>561</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(421)</w:t>
            </w:r>
          </w:p>
        </w:tc>
        <w:tc>
          <w:tcPr>
            <w:tcW w:w="0" w:type="dxa"/>
            <w:vAlign w:val="bottom"/>
          </w:tcPr>
          <w:p>
            <w:pPr>
              <w:spacing w:after="0"/>
              <w:rPr>
                <w:sz w:val="1"/>
                <w:szCs w:val="1"/>
                <w:color w:val="auto"/>
              </w:rPr>
            </w:pPr>
          </w:p>
        </w:tc>
      </w:tr>
      <w:tr>
        <w:trPr>
          <w:trHeight w:val="209"/>
        </w:trPr>
        <w:tc>
          <w:tcPr>
            <w:tcW w:w="78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Accumulated other comprehensive loss</w:t>
            </w:r>
          </w:p>
        </w:tc>
        <w:tc>
          <w:tcPr>
            <w:tcW w:w="18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(460)</w:t>
            </w:r>
          </w:p>
        </w:tc>
        <w:tc>
          <w:tcPr>
            <w:tcW w:w="1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(429)</w:t>
            </w:r>
          </w:p>
        </w:tc>
        <w:tc>
          <w:tcPr>
            <w:tcW w:w="0" w:type="dxa"/>
            <w:vAlign w:val="bottom"/>
          </w:tcPr>
          <w:p>
            <w:pPr>
              <w:spacing w:after="0"/>
              <w:rPr>
                <w:sz w:val="1"/>
                <w:szCs w:val="1"/>
                <w:color w:val="auto"/>
              </w:rPr>
            </w:pPr>
          </w:p>
        </w:tc>
      </w:tr>
      <w:tr>
        <w:trPr>
          <w:trHeight w:val="199"/>
        </w:trPr>
        <w:tc>
          <w:tcPr>
            <w:tcW w:w="78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Total NCR Voyix stockholders’ equity (deficit)</w:t>
            </w:r>
          </w:p>
        </w:tc>
        <w:tc>
          <w:tcPr>
            <w:tcW w:w="180" w:type="dxa"/>
            <w:vAlign w:val="bottom"/>
          </w:tcPr>
          <w:p>
            <w:pPr>
              <w:spacing w:after="0"/>
              <w:rPr>
                <w:sz w:val="17"/>
                <w:szCs w:val="17"/>
                <w:color w:val="auto"/>
              </w:rPr>
            </w:pPr>
          </w:p>
        </w:tc>
        <w:tc>
          <w:tcPr>
            <w:tcW w:w="1480" w:type="dxa"/>
            <w:vAlign w:val="bottom"/>
          </w:tcPr>
          <w:p>
            <w:pPr>
              <w:jc w:val="right"/>
              <w:ind w:right="2"/>
              <w:spacing w:after="0"/>
              <w:rPr>
                <w:sz w:val="20"/>
                <w:szCs w:val="20"/>
                <w:color w:val="auto"/>
              </w:rPr>
            </w:pPr>
            <w:r>
              <w:rPr>
                <w:rFonts w:ascii="Times New Roman" w:cs="Times New Roman" w:eastAsia="Times New Roman" w:hAnsi="Times New Roman"/>
                <w:sz w:val="16"/>
                <w:szCs w:val="16"/>
                <w:b w:val="1"/>
                <w:bCs w:val="1"/>
                <w:color w:val="auto"/>
              </w:rPr>
              <w:t>1,013</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0" w:type="dxa"/>
            <w:vAlign w:val="bottom"/>
          </w:tcPr>
          <w:p>
            <w:pPr>
              <w:spacing w:after="0"/>
              <w:rPr>
                <w:sz w:val="1"/>
                <w:szCs w:val="1"/>
                <w:color w:val="auto"/>
              </w:rPr>
            </w:pPr>
          </w:p>
        </w:tc>
      </w:tr>
      <w:tr>
        <w:trPr>
          <w:trHeight w:val="209"/>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Noncontrolling interests in subsidiaries</w:t>
            </w:r>
          </w:p>
        </w:tc>
        <w:tc>
          <w:tcPr>
            <w:tcW w:w="18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w:t>
            </w:r>
          </w:p>
        </w:tc>
        <w:tc>
          <w:tcPr>
            <w:tcW w:w="1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9"/>
        </w:trPr>
        <w:tc>
          <w:tcPr>
            <w:tcW w:w="7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Total stockholders’ equity (deficit)</w:t>
            </w:r>
          </w:p>
        </w:tc>
        <w:tc>
          <w:tcPr>
            <w:tcW w:w="18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b w:val="1"/>
                <w:bCs w:val="1"/>
                <w:color w:val="auto"/>
              </w:rPr>
              <w:t>1,011</w:t>
            </w:r>
          </w:p>
        </w:tc>
        <w:tc>
          <w:tcPr>
            <w:tcW w:w="14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0" w:type="dxa"/>
            <w:vAlign w:val="bottom"/>
          </w:tcPr>
          <w:p>
            <w:pPr>
              <w:spacing w:after="0"/>
              <w:rPr>
                <w:sz w:val="1"/>
                <w:szCs w:val="1"/>
                <w:color w:val="auto"/>
              </w:rPr>
            </w:pPr>
          </w:p>
        </w:tc>
      </w:tr>
      <w:tr>
        <w:trPr>
          <w:trHeight w:val="225"/>
        </w:trPr>
        <w:tc>
          <w:tcPr>
            <w:tcW w:w="7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 liabilities and stockholders’ equity (deficit)</w:t>
            </w:r>
          </w:p>
        </w:tc>
        <w:tc>
          <w:tcPr>
            <w:tcW w:w="18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48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b w:val="1"/>
                <w:bCs w:val="1"/>
                <w:color w:val="auto"/>
              </w:rPr>
              <w:t>4,674</w:t>
            </w:r>
          </w:p>
        </w:tc>
        <w:tc>
          <w:tcPr>
            <w:tcW w:w="14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4,990</w:t>
            </w:r>
          </w:p>
        </w:tc>
        <w:tc>
          <w:tcPr>
            <w:tcW w:w="0" w:type="dxa"/>
            <w:vAlign w:val="bottom"/>
          </w:tcPr>
          <w:p>
            <w:pPr>
              <w:spacing w:after="0"/>
              <w:rPr>
                <w:sz w:val="1"/>
                <w:szCs w:val="1"/>
                <w:color w:val="auto"/>
              </w:rPr>
            </w:pPr>
          </w:p>
        </w:tc>
      </w:tr>
      <w:tr>
        <w:trPr>
          <w:trHeight w:val="20"/>
        </w:trPr>
        <w:tc>
          <w:tcPr>
            <w:tcW w:w="78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See Notes to Condensed Consolidated Financial Statements.</w:t>
      </w: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80010</wp:posOffset>
            </wp:positionV>
            <wp:extent cx="7163435" cy="419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6" w:name="page7"/>
    <w:bookmarkEnd w:id="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NCR Voyix Corporation</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Condensed Consolidated Statements of Cash Flows (Unaudited)</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78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040" w:type="dxa"/>
            <w:vAlign w:val="bottom"/>
            <w:gridSpan w:val="4"/>
          </w:tcPr>
          <w:p>
            <w:pPr>
              <w:jc w:val="right"/>
              <w:ind w:right="638"/>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23"/>
        </w:trPr>
        <w:tc>
          <w:tcPr>
            <w:tcW w:w="78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4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2"/>
        </w:trPr>
        <w:tc>
          <w:tcPr>
            <w:tcW w:w="7800" w:type="dxa"/>
            <w:vAlign w:val="bottom"/>
            <w:tcBorders>
              <w:bottom w:val="single" w:sz="8" w:color="CCEEFF"/>
            </w:tcBorders>
            <w:vMerge w:val="continue"/>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59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598"/>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06"/>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Operating activities</w:t>
            </w:r>
          </w:p>
        </w:tc>
        <w:tc>
          <w:tcPr>
            <w:tcW w:w="4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7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 (loss)</w:t>
            </w:r>
          </w:p>
        </w:tc>
        <w:tc>
          <w:tcPr>
            <w:tcW w:w="400" w:type="dxa"/>
            <w:vAlign w:val="bottom"/>
          </w:tcPr>
          <w:p>
            <w:pPr>
              <w:jc w:val="right"/>
              <w:ind w:right="218"/>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968</w:t>
            </w:r>
          </w:p>
        </w:tc>
        <w:tc>
          <w:tcPr>
            <w:tcW w:w="180" w:type="dxa"/>
            <w:vAlign w:val="bottom"/>
          </w:tcPr>
          <w:p>
            <w:pPr>
              <w:spacing w:after="0"/>
              <w:rPr>
                <w:sz w:val="19"/>
                <w:szCs w:val="19"/>
                <w:color w:val="auto"/>
              </w:rPr>
            </w:pPr>
          </w:p>
        </w:tc>
        <w:tc>
          <w:tcPr>
            <w:tcW w:w="380" w:type="dxa"/>
            <w:vAlign w:val="bottom"/>
          </w:tcPr>
          <w:p>
            <w:pPr>
              <w:jc w:val="right"/>
              <w:ind w:right="198"/>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w:t>
            </w:r>
          </w:p>
        </w:tc>
        <w:tc>
          <w:tcPr>
            <w:tcW w:w="0" w:type="dxa"/>
            <w:vAlign w:val="bottom"/>
          </w:tcPr>
          <w:p>
            <w:pPr>
              <w:spacing w:after="0"/>
              <w:rPr>
                <w:sz w:val="1"/>
                <w:szCs w:val="1"/>
                <w:color w:val="auto"/>
              </w:rPr>
            </w:pPr>
          </w:p>
        </w:tc>
      </w:tr>
      <w:tr>
        <w:trPr>
          <w:trHeight w:val="221"/>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Adjustments to reconcile net income (loss) to net cash provided by (used in) operating activities:</w:t>
            </w: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78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Loss (gain) on debt extinguishment</w:t>
            </w:r>
          </w:p>
        </w:tc>
        <w:tc>
          <w:tcPr>
            <w:tcW w:w="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(8)</w:t>
            </w:r>
          </w:p>
        </w:tc>
        <w:tc>
          <w:tcPr>
            <w:tcW w:w="1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21"/>
        </w:trPr>
        <w:tc>
          <w:tcPr>
            <w:tcW w:w="78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237</w:t>
            </w:r>
          </w:p>
        </w:tc>
        <w:tc>
          <w:tcPr>
            <w:tcW w:w="1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461</w:t>
            </w:r>
          </w:p>
        </w:tc>
        <w:tc>
          <w:tcPr>
            <w:tcW w:w="0" w:type="dxa"/>
            <w:vAlign w:val="bottom"/>
          </w:tcPr>
          <w:p>
            <w:pPr>
              <w:spacing w:after="0"/>
              <w:rPr>
                <w:sz w:val="1"/>
                <w:szCs w:val="1"/>
                <w:color w:val="auto"/>
              </w:rPr>
            </w:pPr>
          </w:p>
        </w:tc>
      </w:tr>
      <w:tr>
        <w:trPr>
          <w:trHeight w:val="219"/>
        </w:trPr>
        <w:tc>
          <w:tcPr>
            <w:tcW w:w="78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39</w:t>
            </w:r>
          </w:p>
        </w:tc>
        <w:tc>
          <w:tcPr>
            <w:tcW w:w="1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w:t>
            </w:r>
          </w:p>
        </w:tc>
        <w:tc>
          <w:tcPr>
            <w:tcW w:w="0" w:type="dxa"/>
            <w:vAlign w:val="bottom"/>
          </w:tcPr>
          <w:p>
            <w:pPr>
              <w:spacing w:after="0"/>
              <w:rPr>
                <w:sz w:val="1"/>
                <w:szCs w:val="1"/>
                <w:color w:val="auto"/>
              </w:rPr>
            </w:pPr>
          </w:p>
        </w:tc>
      </w:tr>
      <w:tr>
        <w:trPr>
          <w:trHeight w:val="221"/>
        </w:trPr>
        <w:tc>
          <w:tcPr>
            <w:tcW w:w="78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Deferred income taxes</w:t>
            </w: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11</w:t>
            </w:r>
          </w:p>
        </w:tc>
        <w:tc>
          <w:tcPr>
            <w:tcW w:w="1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201</w:t>
            </w:r>
          </w:p>
        </w:tc>
        <w:tc>
          <w:tcPr>
            <w:tcW w:w="0" w:type="dxa"/>
            <w:vAlign w:val="bottom"/>
          </w:tcPr>
          <w:p>
            <w:pPr>
              <w:spacing w:after="0"/>
              <w:rPr>
                <w:sz w:val="1"/>
                <w:szCs w:val="1"/>
                <w:color w:val="auto"/>
              </w:rPr>
            </w:pPr>
          </w:p>
        </w:tc>
      </w:tr>
      <w:tr>
        <w:trPr>
          <w:trHeight w:val="219"/>
        </w:trPr>
        <w:tc>
          <w:tcPr>
            <w:tcW w:w="78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Gain on terminated interest rate derivative agreements</w:t>
            </w:r>
          </w:p>
        </w:tc>
        <w:tc>
          <w:tcPr>
            <w:tcW w:w="400" w:type="dxa"/>
            <w:vAlign w:val="bottom"/>
          </w:tcPr>
          <w:p>
            <w:pPr>
              <w:spacing w:after="0"/>
              <w:rPr>
                <w:sz w:val="19"/>
                <w:szCs w:val="19"/>
                <w:color w:val="auto"/>
              </w:rPr>
            </w:pPr>
          </w:p>
        </w:tc>
        <w:tc>
          <w:tcPr>
            <w:tcW w:w="14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rPr>
              <w:t>—</w:t>
            </w: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w:t>
            </w:r>
          </w:p>
        </w:tc>
        <w:tc>
          <w:tcPr>
            <w:tcW w:w="0" w:type="dxa"/>
            <w:vAlign w:val="bottom"/>
          </w:tcPr>
          <w:p>
            <w:pPr>
              <w:spacing w:after="0"/>
              <w:rPr>
                <w:sz w:val="1"/>
                <w:szCs w:val="1"/>
                <w:color w:val="auto"/>
              </w:rPr>
            </w:pPr>
          </w:p>
        </w:tc>
      </w:tr>
      <w:tr>
        <w:trPr>
          <w:trHeight w:val="221"/>
        </w:trPr>
        <w:tc>
          <w:tcPr>
            <w:tcW w:w="78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Impairment of other assets</w:t>
            </w: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w:t>
            </w:r>
          </w:p>
        </w:tc>
        <w:tc>
          <w:tcPr>
            <w:tcW w:w="1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0" w:type="dxa"/>
            <w:vAlign w:val="bottom"/>
          </w:tcPr>
          <w:p>
            <w:pPr>
              <w:spacing w:after="0"/>
              <w:rPr>
                <w:sz w:val="1"/>
                <w:szCs w:val="1"/>
                <w:color w:val="auto"/>
              </w:rPr>
            </w:pPr>
          </w:p>
        </w:tc>
      </w:tr>
      <w:tr>
        <w:trPr>
          <w:trHeight w:val="219"/>
        </w:trPr>
        <w:tc>
          <w:tcPr>
            <w:tcW w:w="78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Loss (gain) on disposal of property, plant and equipment and other assets</w:t>
            </w:r>
          </w:p>
        </w:tc>
        <w:tc>
          <w:tcPr>
            <w:tcW w:w="400" w:type="dxa"/>
            <w:vAlign w:val="bottom"/>
          </w:tcPr>
          <w:p>
            <w:pPr>
              <w:spacing w:after="0"/>
              <w:rPr>
                <w:sz w:val="19"/>
                <w:szCs w:val="19"/>
                <w:color w:val="auto"/>
              </w:rPr>
            </w:pPr>
          </w:p>
        </w:tc>
        <w:tc>
          <w:tcPr>
            <w:tcW w:w="14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rPr>
              <w:t>—</w:t>
            </w: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0" w:type="dxa"/>
            <w:vAlign w:val="bottom"/>
          </w:tcPr>
          <w:p>
            <w:pPr>
              <w:spacing w:after="0"/>
              <w:rPr>
                <w:sz w:val="1"/>
                <w:szCs w:val="1"/>
                <w:color w:val="auto"/>
              </w:rPr>
            </w:pPr>
          </w:p>
        </w:tc>
      </w:tr>
      <w:tr>
        <w:trPr>
          <w:trHeight w:val="221"/>
        </w:trPr>
        <w:tc>
          <w:tcPr>
            <w:tcW w:w="78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Loss (gain) on divestiture</w:t>
            </w: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(1,560)</w:t>
            </w:r>
          </w:p>
        </w:tc>
        <w:tc>
          <w:tcPr>
            <w:tcW w:w="1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0" w:type="dxa"/>
            <w:vAlign w:val="bottom"/>
          </w:tcPr>
          <w:p>
            <w:pPr>
              <w:spacing w:after="0"/>
              <w:rPr>
                <w:sz w:val="1"/>
                <w:szCs w:val="1"/>
                <w:color w:val="auto"/>
              </w:rPr>
            </w:pPr>
          </w:p>
        </w:tc>
      </w:tr>
      <w:tr>
        <w:trPr>
          <w:trHeight w:val="217"/>
        </w:trPr>
        <w:tc>
          <w:tcPr>
            <w:tcW w:w="78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Changes in assets and liabilities, net of effects of business acquired:</w:t>
            </w:r>
          </w:p>
        </w:tc>
        <w:tc>
          <w:tcPr>
            <w:tcW w:w="4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80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Receivables</w:t>
            </w: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49</w:t>
            </w:r>
          </w:p>
        </w:tc>
        <w:tc>
          <w:tcPr>
            <w:tcW w:w="1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w:t>
            </w:r>
          </w:p>
        </w:tc>
        <w:tc>
          <w:tcPr>
            <w:tcW w:w="0" w:type="dxa"/>
            <w:vAlign w:val="bottom"/>
          </w:tcPr>
          <w:p>
            <w:pPr>
              <w:spacing w:after="0"/>
              <w:rPr>
                <w:sz w:val="1"/>
                <w:szCs w:val="1"/>
                <w:color w:val="auto"/>
              </w:rPr>
            </w:pPr>
          </w:p>
        </w:tc>
      </w:tr>
      <w:tr>
        <w:trPr>
          <w:trHeight w:val="219"/>
        </w:trPr>
        <w:tc>
          <w:tcPr>
            <w:tcW w:w="7800" w:type="dxa"/>
            <w:vAlign w:val="bottom"/>
          </w:tcPr>
          <w:p>
            <w:pPr>
              <w:ind w:left="520"/>
              <w:spacing w:after="0"/>
              <w:rPr>
                <w:sz w:val="20"/>
                <w:szCs w:val="20"/>
                <w:color w:val="auto"/>
              </w:rPr>
            </w:pPr>
            <w:r>
              <w:rPr>
                <w:rFonts w:ascii="Times New Roman" w:cs="Times New Roman" w:eastAsia="Times New Roman" w:hAnsi="Times New Roman"/>
                <w:sz w:val="16"/>
                <w:szCs w:val="16"/>
                <w:color w:val="auto"/>
              </w:rPr>
              <w:t>Inventories</w:t>
            </w:r>
          </w:p>
        </w:tc>
        <w:tc>
          <w:tcPr>
            <w:tcW w:w="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37</w:t>
            </w:r>
          </w:p>
        </w:tc>
        <w:tc>
          <w:tcPr>
            <w:tcW w:w="1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0" w:type="dxa"/>
            <w:vAlign w:val="bottom"/>
          </w:tcPr>
          <w:p>
            <w:pPr>
              <w:spacing w:after="0"/>
              <w:rPr>
                <w:sz w:val="1"/>
                <w:szCs w:val="1"/>
                <w:color w:val="auto"/>
              </w:rPr>
            </w:pPr>
          </w:p>
        </w:tc>
      </w:tr>
      <w:tr>
        <w:trPr>
          <w:trHeight w:val="221"/>
        </w:trPr>
        <w:tc>
          <w:tcPr>
            <w:tcW w:w="780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Current payables and accrued expenses</w:t>
            </w: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(41)</w:t>
            </w:r>
          </w:p>
        </w:tc>
        <w:tc>
          <w:tcPr>
            <w:tcW w:w="1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0" w:type="dxa"/>
            <w:vAlign w:val="bottom"/>
          </w:tcPr>
          <w:p>
            <w:pPr>
              <w:spacing w:after="0"/>
              <w:rPr>
                <w:sz w:val="1"/>
                <w:szCs w:val="1"/>
                <w:color w:val="auto"/>
              </w:rPr>
            </w:pPr>
          </w:p>
        </w:tc>
      </w:tr>
      <w:tr>
        <w:trPr>
          <w:trHeight w:val="219"/>
        </w:trPr>
        <w:tc>
          <w:tcPr>
            <w:tcW w:w="7800" w:type="dxa"/>
            <w:vAlign w:val="bottom"/>
          </w:tcPr>
          <w:p>
            <w:pPr>
              <w:ind w:left="520"/>
              <w:spacing w:after="0"/>
              <w:rPr>
                <w:sz w:val="20"/>
                <w:szCs w:val="20"/>
                <w:color w:val="auto"/>
              </w:rPr>
            </w:pPr>
            <w:r>
              <w:rPr>
                <w:rFonts w:ascii="Times New Roman" w:cs="Times New Roman" w:eastAsia="Times New Roman" w:hAnsi="Times New Roman"/>
                <w:sz w:val="16"/>
                <w:szCs w:val="16"/>
                <w:color w:val="auto"/>
              </w:rPr>
              <w:t>Contract liabilities</w:t>
            </w:r>
          </w:p>
        </w:tc>
        <w:tc>
          <w:tcPr>
            <w:tcW w:w="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38</w:t>
            </w:r>
          </w:p>
        </w:tc>
        <w:tc>
          <w:tcPr>
            <w:tcW w:w="1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0" w:type="dxa"/>
            <w:vAlign w:val="bottom"/>
          </w:tcPr>
          <w:p>
            <w:pPr>
              <w:spacing w:after="0"/>
              <w:rPr>
                <w:sz w:val="1"/>
                <w:szCs w:val="1"/>
                <w:color w:val="auto"/>
              </w:rPr>
            </w:pPr>
          </w:p>
        </w:tc>
      </w:tr>
      <w:tr>
        <w:trPr>
          <w:trHeight w:val="221"/>
        </w:trPr>
        <w:tc>
          <w:tcPr>
            <w:tcW w:w="780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Employee benefit plans</w:t>
            </w: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(8)</w:t>
            </w:r>
          </w:p>
        </w:tc>
        <w:tc>
          <w:tcPr>
            <w:tcW w:w="1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0" w:type="dxa"/>
            <w:vAlign w:val="bottom"/>
          </w:tcPr>
          <w:p>
            <w:pPr>
              <w:spacing w:after="0"/>
              <w:rPr>
                <w:sz w:val="1"/>
                <w:szCs w:val="1"/>
                <w:color w:val="auto"/>
              </w:rPr>
            </w:pPr>
          </w:p>
        </w:tc>
      </w:tr>
      <w:tr>
        <w:trPr>
          <w:trHeight w:val="219"/>
        </w:trPr>
        <w:tc>
          <w:tcPr>
            <w:tcW w:w="7800" w:type="dxa"/>
            <w:vAlign w:val="bottom"/>
            <w:tcBorders>
              <w:bottom w:val="single" w:sz="8" w:color="CCEEFF"/>
            </w:tcBorders>
          </w:tcPr>
          <w:p>
            <w:pPr>
              <w:ind w:left="520"/>
              <w:spacing w:after="0"/>
              <w:rPr>
                <w:sz w:val="20"/>
                <w:szCs w:val="20"/>
                <w:color w:val="auto"/>
              </w:rPr>
            </w:pPr>
            <w:r>
              <w:rPr>
                <w:rFonts w:ascii="Times New Roman" w:cs="Times New Roman" w:eastAsia="Times New Roman" w:hAnsi="Times New Roman"/>
                <w:sz w:val="16"/>
                <w:szCs w:val="16"/>
                <w:color w:val="auto"/>
              </w:rPr>
              <w:t>Other assets and liabilities</w:t>
            </w:r>
          </w:p>
        </w:tc>
        <w:tc>
          <w:tcPr>
            <w:tcW w:w="4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271</w:t>
            </w:r>
          </w:p>
        </w:tc>
        <w:tc>
          <w:tcPr>
            <w:tcW w:w="1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58</w:t>
            </w:r>
          </w:p>
        </w:tc>
        <w:tc>
          <w:tcPr>
            <w:tcW w:w="0" w:type="dxa"/>
            <w:vAlign w:val="bottom"/>
          </w:tcPr>
          <w:p>
            <w:pPr>
              <w:spacing w:after="0"/>
              <w:rPr>
                <w:sz w:val="1"/>
                <w:szCs w:val="1"/>
                <w:color w:val="auto"/>
              </w:rPr>
            </w:pPr>
          </w:p>
        </w:tc>
      </w:tr>
      <w:tr>
        <w:trPr>
          <w:trHeight w:val="214"/>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cash provided by (used in) operating activities</w:t>
            </w:r>
          </w:p>
        </w:tc>
        <w:tc>
          <w:tcPr>
            <w:tcW w:w="400" w:type="dxa"/>
            <w:vAlign w:val="bottom"/>
            <w:tcBorders>
              <w:bottom w:val="single" w:sz="8" w:color="auto"/>
            </w:tcBorders>
            <w:shd w:val="clear" w:color="auto" w:fill="CCEEFF"/>
          </w:tcPr>
          <w:p>
            <w:pPr>
              <w:jc w:val="right"/>
              <w:ind w:right="218"/>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38</w:t>
            </w:r>
          </w:p>
        </w:tc>
        <w:tc>
          <w:tcPr>
            <w:tcW w:w="18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ind w:right="198"/>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727</w:t>
            </w:r>
          </w:p>
        </w:tc>
        <w:tc>
          <w:tcPr>
            <w:tcW w:w="0" w:type="dxa"/>
            <w:vAlign w:val="bottom"/>
          </w:tcPr>
          <w:p>
            <w:pPr>
              <w:spacing w:after="0"/>
              <w:rPr>
                <w:sz w:val="1"/>
                <w:szCs w:val="1"/>
                <w:color w:val="auto"/>
              </w:rPr>
            </w:pPr>
          </w:p>
        </w:tc>
      </w:tr>
      <w:tr>
        <w:trPr>
          <w:trHeight w:val="199"/>
        </w:trPr>
        <w:tc>
          <w:tcPr>
            <w:tcW w:w="78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Investing activities</w:t>
            </w:r>
          </w:p>
        </w:tc>
        <w:tc>
          <w:tcPr>
            <w:tcW w:w="4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78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Expenditures for property, plant and equipment</w:t>
            </w:r>
          </w:p>
        </w:tc>
        <w:tc>
          <w:tcPr>
            <w:tcW w:w="400" w:type="dxa"/>
            <w:vAlign w:val="bottom"/>
            <w:shd w:val="clear" w:color="auto" w:fill="CCEEFF"/>
          </w:tcPr>
          <w:p>
            <w:pPr>
              <w:jc w:val="right"/>
              <w:ind w:right="218"/>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(23)</w:t>
            </w:r>
          </w:p>
        </w:tc>
        <w:tc>
          <w:tcPr>
            <w:tcW w:w="18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8"/>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w:t>
            </w:r>
          </w:p>
        </w:tc>
        <w:tc>
          <w:tcPr>
            <w:tcW w:w="0" w:type="dxa"/>
            <w:vAlign w:val="bottom"/>
          </w:tcPr>
          <w:p>
            <w:pPr>
              <w:spacing w:after="0"/>
              <w:rPr>
                <w:sz w:val="1"/>
                <w:szCs w:val="1"/>
                <w:color w:val="auto"/>
              </w:rPr>
            </w:pPr>
          </w:p>
        </w:tc>
      </w:tr>
      <w:tr>
        <w:trPr>
          <w:trHeight w:val="219"/>
        </w:trPr>
        <w:tc>
          <w:tcPr>
            <w:tcW w:w="78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Proceeds from sale of property, plant and equipment and other assets</w:t>
            </w:r>
          </w:p>
        </w:tc>
        <w:tc>
          <w:tcPr>
            <w:tcW w:w="400" w:type="dxa"/>
            <w:vAlign w:val="bottom"/>
          </w:tcPr>
          <w:p>
            <w:pPr>
              <w:spacing w:after="0"/>
              <w:rPr>
                <w:sz w:val="19"/>
                <w:szCs w:val="19"/>
                <w:color w:val="auto"/>
              </w:rPr>
            </w:pPr>
          </w:p>
        </w:tc>
        <w:tc>
          <w:tcPr>
            <w:tcW w:w="14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rPr>
              <w:t>—</w:t>
            </w: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0" w:type="dxa"/>
            <w:vAlign w:val="bottom"/>
          </w:tcPr>
          <w:p>
            <w:pPr>
              <w:spacing w:after="0"/>
              <w:rPr>
                <w:sz w:val="1"/>
                <w:szCs w:val="1"/>
                <w:color w:val="auto"/>
              </w:rPr>
            </w:pPr>
          </w:p>
        </w:tc>
      </w:tr>
      <w:tr>
        <w:trPr>
          <w:trHeight w:val="221"/>
        </w:trPr>
        <w:tc>
          <w:tcPr>
            <w:tcW w:w="78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Additions to capitalized software</w:t>
            </w: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(155)</w:t>
            </w:r>
          </w:p>
        </w:tc>
        <w:tc>
          <w:tcPr>
            <w:tcW w:w="1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(194)</w:t>
            </w:r>
          </w:p>
        </w:tc>
        <w:tc>
          <w:tcPr>
            <w:tcW w:w="0" w:type="dxa"/>
            <w:vAlign w:val="bottom"/>
          </w:tcPr>
          <w:p>
            <w:pPr>
              <w:spacing w:after="0"/>
              <w:rPr>
                <w:sz w:val="1"/>
                <w:szCs w:val="1"/>
                <w:color w:val="auto"/>
              </w:rPr>
            </w:pPr>
          </w:p>
        </w:tc>
      </w:tr>
      <w:tr>
        <w:trPr>
          <w:trHeight w:val="219"/>
        </w:trPr>
        <w:tc>
          <w:tcPr>
            <w:tcW w:w="78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Business acquisitions, net of cash acquired</w:t>
            </w:r>
          </w:p>
        </w:tc>
        <w:tc>
          <w:tcPr>
            <w:tcW w:w="400" w:type="dxa"/>
            <w:vAlign w:val="bottom"/>
          </w:tcPr>
          <w:p>
            <w:pPr>
              <w:spacing w:after="0"/>
              <w:rPr>
                <w:sz w:val="19"/>
                <w:szCs w:val="19"/>
                <w:color w:val="auto"/>
              </w:rPr>
            </w:pPr>
          </w:p>
        </w:tc>
        <w:tc>
          <w:tcPr>
            <w:tcW w:w="14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rPr>
              <w:t>—</w:t>
            </w: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0" w:type="dxa"/>
            <w:vAlign w:val="bottom"/>
          </w:tcPr>
          <w:p>
            <w:pPr>
              <w:spacing w:after="0"/>
              <w:rPr>
                <w:sz w:val="1"/>
                <w:szCs w:val="1"/>
                <w:color w:val="auto"/>
              </w:rPr>
            </w:pPr>
          </w:p>
        </w:tc>
      </w:tr>
      <w:tr>
        <w:trPr>
          <w:trHeight w:val="221"/>
        </w:trPr>
        <w:tc>
          <w:tcPr>
            <w:tcW w:w="78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Proceeds from divestiture, net</w:t>
            </w: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2,458</w:t>
            </w:r>
          </w:p>
        </w:tc>
        <w:tc>
          <w:tcPr>
            <w:tcW w:w="1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0" w:type="dxa"/>
            <w:vAlign w:val="bottom"/>
          </w:tcPr>
          <w:p>
            <w:pPr>
              <w:spacing w:after="0"/>
              <w:rPr>
                <w:sz w:val="1"/>
                <w:szCs w:val="1"/>
                <w:color w:val="auto"/>
              </w:rPr>
            </w:pPr>
          </w:p>
        </w:tc>
      </w:tr>
      <w:tr>
        <w:trPr>
          <w:trHeight w:val="219"/>
        </w:trPr>
        <w:tc>
          <w:tcPr>
            <w:tcW w:w="78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Proceeds from disposition of corporate-owned life insurance policies</w:t>
            </w:r>
          </w:p>
        </w:tc>
        <w:tc>
          <w:tcPr>
            <w:tcW w:w="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30</w:t>
            </w:r>
          </w:p>
        </w:tc>
        <w:tc>
          <w:tcPr>
            <w:tcW w:w="1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21"/>
        </w:trPr>
        <w:tc>
          <w:tcPr>
            <w:tcW w:w="78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Termination of trade receivable facility</w:t>
            </w: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(300)</w:t>
            </w:r>
          </w:p>
        </w:tc>
        <w:tc>
          <w:tcPr>
            <w:tcW w:w="1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78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Collections on purchased trade receivables</w:t>
            </w:r>
          </w:p>
        </w:tc>
        <w:tc>
          <w:tcPr>
            <w:tcW w:w="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7</w:t>
            </w:r>
          </w:p>
        </w:tc>
        <w:tc>
          <w:tcPr>
            <w:tcW w:w="1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21"/>
        </w:trPr>
        <w:tc>
          <w:tcPr>
            <w:tcW w:w="78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Purchases of investments</w:t>
            </w:r>
          </w:p>
        </w:tc>
        <w:tc>
          <w:tcPr>
            <w:tcW w:w="40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rPr>
              <w:t>—</w:t>
            </w: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0" w:type="dxa"/>
            <w:vAlign w:val="bottom"/>
          </w:tcPr>
          <w:p>
            <w:pPr>
              <w:spacing w:after="0"/>
              <w:rPr>
                <w:sz w:val="1"/>
                <w:szCs w:val="1"/>
                <w:color w:val="auto"/>
              </w:rPr>
            </w:pPr>
          </w:p>
        </w:tc>
      </w:tr>
      <w:tr>
        <w:trPr>
          <w:trHeight w:val="212"/>
        </w:trPr>
        <w:tc>
          <w:tcPr>
            <w:tcW w:w="7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Net cash provided by (used in) investing activities</w:t>
            </w:r>
          </w:p>
        </w:tc>
        <w:tc>
          <w:tcPr>
            <w:tcW w:w="400" w:type="dxa"/>
            <w:vAlign w:val="bottom"/>
            <w:tcBorders>
              <w:top w:val="single" w:sz="8" w:color="auto"/>
              <w:bottom w:val="single" w:sz="8" w:color="auto"/>
            </w:tcBorders>
          </w:tcPr>
          <w:p>
            <w:pPr>
              <w:jc w:val="right"/>
              <w:ind w:right="218"/>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2,017</w:t>
            </w:r>
          </w:p>
        </w:tc>
        <w:tc>
          <w:tcPr>
            <w:tcW w:w="180" w:type="dxa"/>
            <w:vAlign w:val="bottom"/>
            <w:tcBorders>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jc w:val="right"/>
              <w:ind w:right="198"/>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(305)</w:t>
            </w:r>
          </w:p>
        </w:tc>
        <w:tc>
          <w:tcPr>
            <w:tcW w:w="0" w:type="dxa"/>
            <w:vAlign w:val="bottom"/>
          </w:tcPr>
          <w:p>
            <w:pPr>
              <w:spacing w:after="0"/>
              <w:rPr>
                <w:sz w:val="1"/>
                <w:szCs w:val="1"/>
                <w:color w:val="auto"/>
              </w:rPr>
            </w:pPr>
          </w:p>
        </w:tc>
      </w:tr>
      <w:tr>
        <w:trPr>
          <w:trHeight w:val="201"/>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Financing activities</w:t>
            </w:r>
          </w:p>
        </w:tc>
        <w:tc>
          <w:tcPr>
            <w:tcW w:w="4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78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Payments on term credit facilities</w:t>
            </w:r>
          </w:p>
        </w:tc>
        <w:tc>
          <w:tcPr>
            <w:tcW w:w="400" w:type="dxa"/>
            <w:vAlign w:val="bottom"/>
          </w:tcPr>
          <w:p>
            <w:pPr>
              <w:jc w:val="right"/>
              <w:ind w:right="218"/>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(200)</w:t>
            </w:r>
          </w:p>
        </w:tc>
        <w:tc>
          <w:tcPr>
            <w:tcW w:w="180" w:type="dxa"/>
            <w:vAlign w:val="bottom"/>
          </w:tcPr>
          <w:p>
            <w:pPr>
              <w:spacing w:after="0"/>
              <w:rPr>
                <w:sz w:val="19"/>
                <w:szCs w:val="19"/>
                <w:color w:val="auto"/>
              </w:rPr>
            </w:pPr>
          </w:p>
        </w:tc>
        <w:tc>
          <w:tcPr>
            <w:tcW w:w="380" w:type="dxa"/>
            <w:vAlign w:val="bottom"/>
          </w:tcPr>
          <w:p>
            <w:pPr>
              <w:jc w:val="right"/>
              <w:ind w:right="198"/>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w:t>
            </w:r>
          </w:p>
        </w:tc>
        <w:tc>
          <w:tcPr>
            <w:tcW w:w="0" w:type="dxa"/>
            <w:vAlign w:val="bottom"/>
          </w:tcPr>
          <w:p>
            <w:pPr>
              <w:spacing w:after="0"/>
              <w:rPr>
                <w:sz w:val="1"/>
                <w:szCs w:val="1"/>
                <w:color w:val="auto"/>
              </w:rPr>
            </w:pPr>
          </w:p>
        </w:tc>
      </w:tr>
      <w:tr>
        <w:trPr>
          <w:trHeight w:val="221"/>
        </w:trPr>
        <w:tc>
          <w:tcPr>
            <w:tcW w:w="78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Payments on revolving credit facilities</w:t>
            </w: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(693)</w:t>
            </w:r>
          </w:p>
        </w:tc>
        <w:tc>
          <w:tcPr>
            <w:tcW w:w="1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(2,044)</w:t>
            </w:r>
          </w:p>
        </w:tc>
        <w:tc>
          <w:tcPr>
            <w:tcW w:w="0" w:type="dxa"/>
            <w:vAlign w:val="bottom"/>
          </w:tcPr>
          <w:p>
            <w:pPr>
              <w:spacing w:after="0"/>
              <w:rPr>
                <w:sz w:val="1"/>
                <w:szCs w:val="1"/>
                <w:color w:val="auto"/>
              </w:rPr>
            </w:pPr>
          </w:p>
        </w:tc>
      </w:tr>
      <w:tr>
        <w:trPr>
          <w:trHeight w:val="219"/>
        </w:trPr>
        <w:tc>
          <w:tcPr>
            <w:tcW w:w="78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Payments of senior unsecured notes</w:t>
            </w:r>
          </w:p>
        </w:tc>
        <w:tc>
          <w:tcPr>
            <w:tcW w:w="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(1,177)</w:t>
            </w:r>
          </w:p>
        </w:tc>
        <w:tc>
          <w:tcPr>
            <w:tcW w:w="1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21"/>
        </w:trPr>
        <w:tc>
          <w:tcPr>
            <w:tcW w:w="78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Borrowings on term credit facilities</w:t>
            </w:r>
          </w:p>
        </w:tc>
        <w:tc>
          <w:tcPr>
            <w:tcW w:w="40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rPr>
              <w:t>—</w:t>
            </w: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726</w:t>
            </w:r>
          </w:p>
        </w:tc>
        <w:tc>
          <w:tcPr>
            <w:tcW w:w="0" w:type="dxa"/>
            <w:vAlign w:val="bottom"/>
          </w:tcPr>
          <w:p>
            <w:pPr>
              <w:spacing w:after="0"/>
              <w:rPr>
                <w:sz w:val="1"/>
                <w:szCs w:val="1"/>
                <w:color w:val="auto"/>
              </w:rPr>
            </w:pPr>
          </w:p>
        </w:tc>
      </w:tr>
      <w:tr>
        <w:trPr>
          <w:trHeight w:val="219"/>
        </w:trPr>
        <w:tc>
          <w:tcPr>
            <w:tcW w:w="78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Borrowings on revolving credit facilities</w:t>
            </w:r>
          </w:p>
        </w:tc>
        <w:tc>
          <w:tcPr>
            <w:tcW w:w="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595</w:t>
            </w:r>
          </w:p>
        </w:tc>
        <w:tc>
          <w:tcPr>
            <w:tcW w:w="1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1,959</w:t>
            </w:r>
          </w:p>
        </w:tc>
        <w:tc>
          <w:tcPr>
            <w:tcW w:w="0" w:type="dxa"/>
            <w:vAlign w:val="bottom"/>
          </w:tcPr>
          <w:p>
            <w:pPr>
              <w:spacing w:after="0"/>
              <w:rPr>
                <w:sz w:val="1"/>
                <w:szCs w:val="1"/>
                <w:color w:val="auto"/>
              </w:rPr>
            </w:pPr>
          </w:p>
        </w:tc>
      </w:tr>
      <w:tr>
        <w:trPr>
          <w:trHeight w:val="221"/>
        </w:trPr>
        <w:tc>
          <w:tcPr>
            <w:tcW w:w="78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Proceeds from issuance of senior unsecured notes</w:t>
            </w:r>
          </w:p>
        </w:tc>
        <w:tc>
          <w:tcPr>
            <w:tcW w:w="40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rPr>
              <w:t>—</w:t>
            </w: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1,333</w:t>
            </w:r>
          </w:p>
        </w:tc>
        <w:tc>
          <w:tcPr>
            <w:tcW w:w="0" w:type="dxa"/>
            <w:vAlign w:val="bottom"/>
          </w:tcPr>
          <w:p>
            <w:pPr>
              <w:spacing w:after="0"/>
              <w:rPr>
                <w:sz w:val="1"/>
                <w:szCs w:val="1"/>
                <w:color w:val="auto"/>
              </w:rPr>
            </w:pPr>
          </w:p>
        </w:tc>
      </w:tr>
      <w:tr>
        <w:trPr>
          <w:trHeight w:val="219"/>
        </w:trPr>
        <w:tc>
          <w:tcPr>
            <w:tcW w:w="78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Payments on other financing arrangements</w:t>
            </w:r>
          </w:p>
        </w:tc>
        <w:tc>
          <w:tcPr>
            <w:tcW w:w="400" w:type="dxa"/>
            <w:vAlign w:val="bottom"/>
          </w:tcPr>
          <w:p>
            <w:pPr>
              <w:spacing w:after="0"/>
              <w:rPr>
                <w:sz w:val="19"/>
                <w:szCs w:val="19"/>
                <w:color w:val="auto"/>
              </w:rPr>
            </w:pPr>
          </w:p>
        </w:tc>
        <w:tc>
          <w:tcPr>
            <w:tcW w:w="14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rPr>
              <w:t>—</w:t>
            </w: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0" w:type="dxa"/>
            <w:vAlign w:val="bottom"/>
          </w:tcPr>
          <w:p>
            <w:pPr>
              <w:spacing w:after="0"/>
              <w:rPr>
                <w:sz w:val="1"/>
                <w:szCs w:val="1"/>
                <w:color w:val="auto"/>
              </w:rPr>
            </w:pPr>
          </w:p>
        </w:tc>
      </w:tr>
      <w:tr>
        <w:trPr>
          <w:trHeight w:val="221"/>
        </w:trPr>
        <w:tc>
          <w:tcPr>
            <w:tcW w:w="78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Cash dividend paid for Series A preferred shares dividends</w:t>
            </w: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(12)</w:t>
            </w:r>
          </w:p>
        </w:tc>
        <w:tc>
          <w:tcPr>
            <w:tcW w:w="1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0" w:type="dxa"/>
            <w:vAlign w:val="bottom"/>
          </w:tcPr>
          <w:p>
            <w:pPr>
              <w:spacing w:after="0"/>
              <w:rPr>
                <w:sz w:val="1"/>
                <w:szCs w:val="1"/>
                <w:color w:val="auto"/>
              </w:rPr>
            </w:pPr>
          </w:p>
        </w:tc>
      </w:tr>
      <w:tr>
        <w:trPr>
          <w:trHeight w:val="219"/>
        </w:trPr>
        <w:tc>
          <w:tcPr>
            <w:tcW w:w="78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Proceeds from employee stock plans</w:t>
            </w:r>
          </w:p>
        </w:tc>
        <w:tc>
          <w:tcPr>
            <w:tcW w:w="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10</w:t>
            </w:r>
          </w:p>
        </w:tc>
        <w:tc>
          <w:tcPr>
            <w:tcW w:w="1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0" w:type="dxa"/>
            <w:vAlign w:val="bottom"/>
          </w:tcPr>
          <w:p>
            <w:pPr>
              <w:spacing w:after="0"/>
              <w:rPr>
                <w:sz w:val="1"/>
                <w:szCs w:val="1"/>
                <w:color w:val="auto"/>
              </w:rPr>
            </w:pPr>
          </w:p>
        </w:tc>
      </w:tr>
      <w:tr>
        <w:trPr>
          <w:trHeight w:val="221"/>
        </w:trPr>
        <w:tc>
          <w:tcPr>
            <w:tcW w:w="78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Tax withholding payments on behalf of employees</w:t>
            </w: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(12)</w:t>
            </w:r>
          </w:p>
        </w:tc>
        <w:tc>
          <w:tcPr>
            <w:tcW w:w="1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0" w:type="dxa"/>
            <w:vAlign w:val="bottom"/>
          </w:tcPr>
          <w:p>
            <w:pPr>
              <w:spacing w:after="0"/>
              <w:rPr>
                <w:sz w:val="1"/>
                <w:szCs w:val="1"/>
                <w:color w:val="auto"/>
              </w:rPr>
            </w:pPr>
          </w:p>
        </w:tc>
      </w:tr>
      <w:tr>
        <w:trPr>
          <w:trHeight w:val="219"/>
        </w:trPr>
        <w:tc>
          <w:tcPr>
            <w:tcW w:w="78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Principal payments for finance lease obligations</w:t>
            </w:r>
          </w:p>
        </w:tc>
        <w:tc>
          <w:tcPr>
            <w:tcW w:w="4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(7)</w:t>
            </w:r>
          </w:p>
        </w:tc>
        <w:tc>
          <w:tcPr>
            <w:tcW w:w="1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0" w:type="dxa"/>
            <w:vAlign w:val="bottom"/>
          </w:tcPr>
          <w:p>
            <w:pPr>
              <w:spacing w:after="0"/>
              <w:rPr>
                <w:sz w:val="1"/>
                <w:szCs w:val="1"/>
                <w:color w:val="auto"/>
              </w:rPr>
            </w:pPr>
          </w:p>
        </w:tc>
      </w:tr>
      <w:tr>
        <w:trPr>
          <w:trHeight w:val="214"/>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cash provided by (used in) financing activities</w:t>
            </w:r>
          </w:p>
        </w:tc>
        <w:tc>
          <w:tcPr>
            <w:tcW w:w="400" w:type="dxa"/>
            <w:vAlign w:val="bottom"/>
            <w:tcBorders>
              <w:bottom w:val="single" w:sz="8" w:color="auto"/>
            </w:tcBorders>
            <w:shd w:val="clear" w:color="auto" w:fill="CCEEFF"/>
          </w:tcPr>
          <w:p>
            <w:pPr>
              <w:jc w:val="right"/>
              <w:ind w:right="218"/>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(1,496)</w:t>
            </w:r>
          </w:p>
        </w:tc>
        <w:tc>
          <w:tcPr>
            <w:tcW w:w="18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ind w:right="198"/>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1,879</w:t>
            </w:r>
          </w:p>
        </w:tc>
        <w:tc>
          <w:tcPr>
            <w:tcW w:w="0" w:type="dxa"/>
            <w:vAlign w:val="bottom"/>
          </w:tcPr>
          <w:p>
            <w:pPr>
              <w:spacing w:after="0"/>
              <w:rPr>
                <w:sz w:val="1"/>
                <w:szCs w:val="1"/>
                <w:color w:val="auto"/>
              </w:rPr>
            </w:pPr>
          </w:p>
        </w:tc>
      </w:tr>
      <w:tr>
        <w:trPr>
          <w:trHeight w:val="212"/>
        </w:trPr>
        <w:tc>
          <w:tcPr>
            <w:tcW w:w="7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Effect of exchange rate changes on cash, cash equivalents and restricted cash</w:t>
            </w:r>
          </w:p>
        </w:tc>
        <w:tc>
          <w:tcPr>
            <w:tcW w:w="400" w:type="dxa"/>
            <w:vAlign w:val="bottom"/>
            <w:tcBorders>
              <w:bottom w:val="single" w:sz="8" w:color="auto"/>
            </w:tcBorders>
          </w:tcPr>
          <w:p>
            <w:pPr>
              <w:jc w:val="right"/>
              <w:ind w:right="218"/>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(19)</w:t>
            </w:r>
          </w:p>
        </w:tc>
        <w:tc>
          <w:tcPr>
            <w:tcW w:w="18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jc w:val="right"/>
              <w:ind w:right="198"/>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0" w:type="dxa"/>
            <w:vAlign w:val="bottom"/>
          </w:tcPr>
          <w:p>
            <w:pPr>
              <w:spacing w:after="0"/>
              <w:rPr>
                <w:sz w:val="1"/>
                <w:szCs w:val="1"/>
                <w:color w:val="auto"/>
              </w:rPr>
            </w:pPr>
          </w:p>
        </w:tc>
      </w:tr>
      <w:tr>
        <w:trPr>
          <w:trHeight w:val="214"/>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Increase (decrease) in cash, cash equivalents, and restricted cash</w:t>
            </w:r>
          </w:p>
        </w:tc>
        <w:tc>
          <w:tcPr>
            <w:tcW w:w="4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540</w:t>
            </w:r>
          </w:p>
        </w:tc>
        <w:tc>
          <w:tcPr>
            <w:tcW w:w="1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2,273</w:t>
            </w:r>
          </w:p>
        </w:tc>
        <w:tc>
          <w:tcPr>
            <w:tcW w:w="0" w:type="dxa"/>
            <w:vAlign w:val="bottom"/>
          </w:tcPr>
          <w:p>
            <w:pPr>
              <w:spacing w:after="0"/>
              <w:rPr>
                <w:sz w:val="1"/>
                <w:szCs w:val="1"/>
                <w:color w:val="auto"/>
              </w:rPr>
            </w:pPr>
          </w:p>
        </w:tc>
      </w:tr>
      <w:tr>
        <w:trPr>
          <w:trHeight w:val="219"/>
        </w:trPr>
        <w:tc>
          <w:tcPr>
            <w:tcW w:w="7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Cash, cash equivalents and restricted cash at beginning of period</w:t>
            </w:r>
          </w:p>
        </w:tc>
        <w:tc>
          <w:tcPr>
            <w:tcW w:w="4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285</w:t>
            </w:r>
          </w:p>
        </w:tc>
        <w:tc>
          <w:tcPr>
            <w:tcW w:w="1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740</w:t>
            </w:r>
          </w:p>
        </w:tc>
        <w:tc>
          <w:tcPr>
            <w:tcW w:w="0" w:type="dxa"/>
            <w:vAlign w:val="bottom"/>
          </w:tcPr>
          <w:p>
            <w:pPr>
              <w:spacing w:after="0"/>
              <w:rPr>
                <w:sz w:val="1"/>
                <w:szCs w:val="1"/>
                <w:color w:val="auto"/>
              </w:rPr>
            </w:pPr>
          </w:p>
        </w:tc>
      </w:tr>
      <w:tr>
        <w:trPr>
          <w:trHeight w:val="238"/>
        </w:trPr>
        <w:tc>
          <w:tcPr>
            <w:tcW w:w="7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cash equivalents and restricted cash at end of period</w:t>
            </w:r>
          </w:p>
        </w:tc>
        <w:tc>
          <w:tcPr>
            <w:tcW w:w="400" w:type="dxa"/>
            <w:vAlign w:val="bottom"/>
            <w:tcBorders>
              <w:bottom w:val="single" w:sz="8" w:color="auto"/>
            </w:tcBorders>
            <w:shd w:val="clear" w:color="auto" w:fill="CCEEFF"/>
          </w:tcPr>
          <w:p>
            <w:pPr>
              <w:jc w:val="right"/>
              <w:ind w:right="218"/>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825</w:t>
            </w:r>
          </w:p>
        </w:tc>
        <w:tc>
          <w:tcPr>
            <w:tcW w:w="18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8"/>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3,013</w:t>
            </w:r>
          </w:p>
        </w:tc>
        <w:tc>
          <w:tcPr>
            <w:tcW w:w="0" w:type="dxa"/>
            <w:vAlign w:val="bottom"/>
          </w:tcPr>
          <w:p>
            <w:pPr>
              <w:spacing w:after="0"/>
              <w:rPr>
                <w:sz w:val="1"/>
                <w:szCs w:val="1"/>
                <w:color w:val="auto"/>
              </w:rPr>
            </w:pPr>
          </w:p>
        </w:tc>
      </w:tr>
      <w:tr>
        <w:trPr>
          <w:trHeight w:val="20"/>
        </w:trPr>
        <w:tc>
          <w:tcPr>
            <w:tcW w:w="78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See Notes to Condensed Consolidated Financial Statements.</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3435" cy="41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80"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17"/>
          <w:szCs w:val="17"/>
          <w:b w:val="1"/>
          <w:bCs w:val="1"/>
          <w:color w:val="auto"/>
        </w:rPr>
        <w:t>NCR Voyix Corporation</w:t>
      </w:r>
    </w:p>
    <w:p>
      <w:pPr>
        <w:spacing w:after="0" w:line="33"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17"/>
          <w:szCs w:val="17"/>
          <w:b w:val="1"/>
          <w:bCs w:val="1"/>
          <w:color w:val="auto"/>
        </w:rPr>
        <w:t>Condensed Consolidated Statements of Changes in Stockholders’ Equity (Deficit) (Unaudited)</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39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900" w:type="dxa"/>
            <w:vAlign w:val="bottom"/>
            <w:gridSpan w:val="7"/>
          </w:tcPr>
          <w:p>
            <w:pPr>
              <w:ind w:left="40"/>
              <w:spacing w:after="0"/>
              <w:rPr>
                <w:sz w:val="20"/>
                <w:szCs w:val="20"/>
                <w:color w:val="auto"/>
              </w:rPr>
            </w:pPr>
            <w:r>
              <w:rPr>
                <w:rFonts w:ascii="Times New Roman" w:cs="Times New Roman" w:eastAsia="Times New Roman" w:hAnsi="Times New Roman"/>
                <w:sz w:val="14"/>
                <w:szCs w:val="14"/>
                <w:b w:val="1"/>
                <w:bCs w:val="1"/>
                <w:color w:val="auto"/>
              </w:rPr>
              <w:t>NCR Voyix Stockholders</w:t>
            </w:r>
          </w:p>
        </w:tc>
        <w:tc>
          <w:tcPr>
            <w:tcW w:w="1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3960" w:type="dxa"/>
            <w:vAlign w:val="bottom"/>
          </w:tcPr>
          <w:p>
            <w:pPr>
              <w:spacing w:after="0" w:line="20" w:lineRule="exact"/>
              <w:rPr>
                <w:sz w:val="1"/>
                <w:szCs w:val="1"/>
                <w:color w:val="auto"/>
              </w:rPr>
            </w:pPr>
          </w:p>
        </w:tc>
        <w:tc>
          <w:tcPr>
            <w:tcW w:w="1680" w:type="dxa"/>
            <w:vAlign w:val="bottom"/>
            <w:tcBorders>
              <w:bottom w:val="single" w:sz="8" w:color="auto"/>
            </w:tcBorders>
            <w:gridSpan w:val="4"/>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0"/>
        </w:trPr>
        <w:tc>
          <w:tcPr>
            <w:tcW w:w="3960" w:type="dxa"/>
            <w:vAlign w:val="bottom"/>
          </w:tcPr>
          <w:p>
            <w:pPr>
              <w:spacing w:after="0"/>
              <w:rPr>
                <w:sz w:val="15"/>
                <w:szCs w:val="15"/>
                <w:color w:val="auto"/>
              </w:rPr>
            </w:pPr>
          </w:p>
        </w:tc>
        <w:tc>
          <w:tcPr>
            <w:tcW w:w="1680" w:type="dxa"/>
            <w:vAlign w:val="bottom"/>
            <w:tcBorders>
              <w:bottom w:val="single" w:sz="8" w:color="auto"/>
            </w:tcBorders>
            <w:gridSpan w:val="4"/>
          </w:tcPr>
          <w:p>
            <w:pPr>
              <w:jc w:val="right"/>
              <w:ind w:right="311"/>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4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9"/>
              </w:rPr>
              <w:t>Non-Redeemable</w:t>
            </w:r>
          </w:p>
        </w:tc>
        <w:tc>
          <w:tcPr>
            <w:tcW w:w="1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8"/>
        </w:trPr>
        <w:tc>
          <w:tcPr>
            <w:tcW w:w="396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84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42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Accumulated Other</w:t>
            </w:r>
          </w:p>
        </w:tc>
        <w:tc>
          <w:tcPr>
            <w:tcW w:w="140" w:type="dxa"/>
            <w:vAlign w:val="bottom"/>
          </w:tcPr>
          <w:p>
            <w:pPr>
              <w:spacing w:after="0"/>
              <w:rPr>
                <w:sz w:val="6"/>
                <w:szCs w:val="6"/>
                <w:color w:val="auto"/>
              </w:rPr>
            </w:pPr>
          </w:p>
        </w:tc>
        <w:tc>
          <w:tcPr>
            <w:tcW w:w="134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6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3"/>
        </w:trPr>
        <w:tc>
          <w:tcPr>
            <w:tcW w:w="39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12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142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1340" w:type="dxa"/>
            <w:vAlign w:val="bottom"/>
            <w:gridSpan w:val="2"/>
          </w:tcPr>
          <w:p>
            <w:pPr>
              <w:jc w:val="center"/>
              <w:ind w:right="240"/>
              <w:spacing w:after="0" w:line="143" w:lineRule="exact"/>
              <w:rPr>
                <w:sz w:val="20"/>
                <w:szCs w:val="20"/>
                <w:color w:val="auto"/>
              </w:rPr>
            </w:pPr>
            <w:r>
              <w:rPr>
                <w:rFonts w:ascii="Times New Roman" w:cs="Times New Roman" w:eastAsia="Times New Roman" w:hAnsi="Times New Roman"/>
                <w:sz w:val="14"/>
                <w:szCs w:val="14"/>
                <w:b w:val="1"/>
                <w:bCs w:val="1"/>
                <w:color w:val="auto"/>
                <w:w w:val="99"/>
              </w:rPr>
              <w:t>Noncontrolling</w:t>
            </w: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39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88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Pr>
          <w:p>
            <w:pPr>
              <w:spacing w:after="0"/>
              <w:rPr>
                <w:sz w:val="12"/>
                <w:szCs w:val="12"/>
                <w:color w:val="auto"/>
              </w:rPr>
            </w:pPr>
          </w:p>
        </w:tc>
        <w:tc>
          <w:tcPr>
            <w:tcW w:w="680" w:type="dxa"/>
            <w:vAlign w:val="bottom"/>
            <w:vMerge w:val="restart"/>
          </w:tcPr>
          <w:p>
            <w:pPr>
              <w:jc w:val="right"/>
              <w:ind w:right="91"/>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tcPr>
          <w:p>
            <w:pPr>
              <w:jc w:val="center"/>
              <w:ind w:right="220"/>
              <w:spacing w:after="0" w:line="143" w:lineRule="exact"/>
              <w:rPr>
                <w:sz w:val="20"/>
                <w:szCs w:val="20"/>
                <w:color w:val="auto"/>
              </w:rPr>
            </w:pPr>
            <w:r>
              <w:rPr>
                <w:rFonts w:ascii="Times New Roman" w:cs="Times New Roman" w:eastAsia="Times New Roman" w:hAnsi="Times New Roman"/>
                <w:sz w:val="14"/>
                <w:szCs w:val="14"/>
                <w:b w:val="1"/>
                <w:bCs w:val="1"/>
                <w:color w:val="auto"/>
                <w:w w:val="99"/>
              </w:rPr>
              <w:t>Earnings</w:t>
            </w:r>
          </w:p>
        </w:tc>
        <w:tc>
          <w:tcPr>
            <w:tcW w:w="140" w:type="dxa"/>
            <w:vAlign w:val="bottom"/>
          </w:tcPr>
          <w:p>
            <w:pPr>
              <w:spacing w:after="0"/>
              <w:rPr>
                <w:sz w:val="12"/>
                <w:szCs w:val="12"/>
                <w:color w:val="auto"/>
              </w:rPr>
            </w:pPr>
          </w:p>
        </w:tc>
        <w:tc>
          <w:tcPr>
            <w:tcW w:w="1280" w:type="dxa"/>
            <w:vAlign w:val="bottom"/>
            <w:gridSpan w:val="2"/>
          </w:tcPr>
          <w:p>
            <w:pPr>
              <w:jc w:val="center"/>
              <w:ind w:right="240"/>
              <w:spacing w:after="0" w:line="143" w:lineRule="exact"/>
              <w:rPr>
                <w:sz w:val="20"/>
                <w:szCs w:val="20"/>
                <w:color w:val="auto"/>
              </w:rPr>
            </w:pPr>
            <w:r>
              <w:rPr>
                <w:rFonts w:ascii="Times New Roman" w:cs="Times New Roman" w:eastAsia="Times New Roman" w:hAnsi="Times New Roman"/>
                <w:sz w:val="14"/>
                <w:szCs w:val="14"/>
                <w:b w:val="1"/>
                <w:bCs w:val="1"/>
                <w:color w:val="auto"/>
                <w:w w:val="98"/>
              </w:rPr>
              <w:t>Comprehensive</w:t>
            </w:r>
          </w:p>
        </w:tc>
        <w:tc>
          <w:tcPr>
            <w:tcW w:w="140" w:type="dxa"/>
            <w:vAlign w:val="bottom"/>
          </w:tcPr>
          <w:p>
            <w:pPr>
              <w:spacing w:after="0"/>
              <w:rPr>
                <w:sz w:val="12"/>
                <w:szCs w:val="12"/>
                <w:color w:val="auto"/>
              </w:rPr>
            </w:pPr>
          </w:p>
        </w:tc>
        <w:tc>
          <w:tcPr>
            <w:tcW w:w="1340" w:type="dxa"/>
            <w:vAlign w:val="bottom"/>
            <w:gridSpan w:val="2"/>
          </w:tcPr>
          <w:p>
            <w:pPr>
              <w:jc w:val="center"/>
              <w:ind w:right="240"/>
              <w:spacing w:after="0" w:line="143" w:lineRule="exact"/>
              <w:rPr>
                <w:sz w:val="20"/>
                <w:szCs w:val="20"/>
                <w:color w:val="auto"/>
              </w:rPr>
            </w:pPr>
            <w:r>
              <w:rPr>
                <w:rFonts w:ascii="Times New Roman" w:cs="Times New Roman" w:eastAsia="Times New Roman" w:hAnsi="Times New Roman"/>
                <w:sz w:val="14"/>
                <w:szCs w:val="14"/>
                <w:b w:val="1"/>
                <w:bCs w:val="1"/>
                <w:color w:val="auto"/>
                <w:w w:val="98"/>
              </w:rPr>
              <w:t>Interests in</w:t>
            </w:r>
          </w:p>
        </w:tc>
        <w:tc>
          <w:tcPr>
            <w:tcW w:w="160" w:type="dxa"/>
            <w:vAlign w:val="bottom"/>
          </w:tcPr>
          <w:p>
            <w:pPr>
              <w:spacing w:after="0"/>
              <w:rPr>
                <w:sz w:val="12"/>
                <w:szCs w:val="12"/>
                <w:color w:val="auto"/>
              </w:rPr>
            </w:pPr>
          </w:p>
        </w:tc>
        <w:tc>
          <w:tcPr>
            <w:tcW w:w="640" w:type="dxa"/>
            <w:vAlign w:val="bottom"/>
            <w:vMerge w:val="restart"/>
          </w:tcPr>
          <w:p>
            <w:pPr>
              <w:jc w:val="right"/>
              <w:ind w:right="17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9"/>
        </w:trPr>
        <w:tc>
          <w:tcPr>
            <w:tcW w:w="3960" w:type="dxa"/>
            <w:vAlign w:val="bottom"/>
            <w:vMerge w:val="continue"/>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20" w:type="dxa"/>
            <w:vAlign w:val="bottom"/>
          </w:tcPr>
          <w:p>
            <w:pPr>
              <w:spacing w:after="0"/>
              <w:rPr>
                <w:sz w:val="16"/>
                <w:szCs w:val="16"/>
                <w:color w:val="auto"/>
              </w:rPr>
            </w:pPr>
          </w:p>
        </w:tc>
        <w:tc>
          <w:tcPr>
            <w:tcW w:w="8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40" w:type="dxa"/>
            <w:vAlign w:val="bottom"/>
          </w:tcPr>
          <w:p>
            <w:pPr>
              <w:spacing w:after="0"/>
              <w:rPr>
                <w:sz w:val="16"/>
                <w:szCs w:val="16"/>
                <w:color w:val="auto"/>
              </w:rPr>
            </w:pPr>
          </w:p>
        </w:tc>
        <w:tc>
          <w:tcPr>
            <w:tcW w:w="12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9"/>
              </w:rPr>
              <w:t>(Loss) Income</w:t>
            </w:r>
          </w:p>
        </w:tc>
        <w:tc>
          <w:tcPr>
            <w:tcW w:w="140" w:type="dxa"/>
            <w:vAlign w:val="bottom"/>
          </w:tcPr>
          <w:p>
            <w:pPr>
              <w:spacing w:after="0"/>
              <w:rPr>
                <w:sz w:val="16"/>
                <w:szCs w:val="16"/>
                <w:color w:val="auto"/>
              </w:rPr>
            </w:pPr>
          </w:p>
        </w:tc>
        <w:tc>
          <w:tcPr>
            <w:tcW w:w="13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16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39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143</w:t>
            </w: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w:t>
            </w: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874</w:t>
            </w: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(421)</w:t>
            </w:r>
          </w:p>
        </w:tc>
        <w:tc>
          <w:tcPr>
            <w:tcW w:w="1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(429)</w:t>
            </w:r>
          </w:p>
        </w:tc>
        <w:tc>
          <w:tcPr>
            <w:tcW w:w="1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240" w:type="dxa"/>
            <w:vAlign w:val="bottom"/>
            <w:tcBorders>
              <w:top w:val="single" w:sz="8" w:color="auto"/>
            </w:tcBorders>
            <w:shd w:val="clear" w:color="auto" w:fill="CCEEFF"/>
          </w:tcPr>
          <w:p>
            <w:pPr>
              <w:ind w:left="104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25</w:t>
            </w:r>
          </w:p>
        </w:tc>
        <w:tc>
          <w:tcPr>
            <w:tcW w:w="0" w:type="dxa"/>
            <w:vAlign w:val="bottom"/>
          </w:tcPr>
          <w:p>
            <w:pPr>
              <w:spacing w:after="0"/>
              <w:rPr>
                <w:sz w:val="1"/>
                <w:szCs w:val="1"/>
                <w:color w:val="auto"/>
              </w:rPr>
            </w:pPr>
          </w:p>
        </w:tc>
      </w:tr>
      <w:tr>
        <w:trPr>
          <w:trHeight w:val="188"/>
        </w:trPr>
        <w:tc>
          <w:tcPr>
            <w:tcW w:w="39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Comprehensive income:</w:t>
            </w: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39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Net income (loss)</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1240" w:type="dxa"/>
            <w:vAlign w:val="bottom"/>
            <w:shd w:val="clear" w:color="auto" w:fill="CCEEFF"/>
          </w:tcPr>
          <w:p>
            <w:pPr>
              <w:ind w:left="1040"/>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w:t>
            </w:r>
          </w:p>
        </w:tc>
        <w:tc>
          <w:tcPr>
            <w:tcW w:w="0" w:type="dxa"/>
            <w:vAlign w:val="bottom"/>
          </w:tcPr>
          <w:p>
            <w:pPr>
              <w:spacing w:after="0"/>
              <w:rPr>
                <w:sz w:val="1"/>
                <w:szCs w:val="1"/>
                <w:color w:val="auto"/>
              </w:rPr>
            </w:pPr>
          </w:p>
        </w:tc>
      </w:tr>
      <w:tr>
        <w:trPr>
          <w:trHeight w:val="188"/>
        </w:trPr>
        <w:tc>
          <w:tcPr>
            <w:tcW w:w="396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Other comprehensive income (loss)</w:t>
            </w: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tcPr>
          <w:p>
            <w:pPr>
              <w:ind w:left="1040"/>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0" w:type="dxa"/>
            <w:vAlign w:val="bottom"/>
          </w:tcPr>
          <w:p>
            <w:pPr>
              <w:spacing w:after="0"/>
              <w:rPr>
                <w:sz w:val="1"/>
                <w:szCs w:val="1"/>
                <w:color w:val="auto"/>
              </w:rPr>
            </w:pPr>
          </w:p>
        </w:tc>
      </w:tr>
      <w:tr>
        <w:trPr>
          <w:trHeight w:val="194"/>
        </w:trPr>
        <w:tc>
          <w:tcPr>
            <w:tcW w:w="3960" w:type="dxa"/>
            <w:vAlign w:val="bottom"/>
            <w:tcBorders>
              <w:top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Total comprehensive income (loss)</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w:t>
            </w:r>
          </w:p>
        </w:tc>
        <w:tc>
          <w:tcPr>
            <w:tcW w:w="1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1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1240" w:type="dxa"/>
            <w:vAlign w:val="bottom"/>
            <w:tcBorders>
              <w:top w:val="single" w:sz="8" w:color="auto"/>
            </w:tcBorders>
            <w:shd w:val="clear" w:color="auto" w:fill="CCEEFF"/>
          </w:tcPr>
          <w:p>
            <w:pPr>
              <w:ind w:left="1040"/>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w:t>
            </w:r>
          </w:p>
        </w:tc>
        <w:tc>
          <w:tcPr>
            <w:tcW w:w="0" w:type="dxa"/>
            <w:vAlign w:val="bottom"/>
          </w:tcPr>
          <w:p>
            <w:pPr>
              <w:spacing w:after="0"/>
              <w:rPr>
                <w:sz w:val="1"/>
                <w:szCs w:val="1"/>
                <w:color w:val="auto"/>
              </w:rPr>
            </w:pPr>
          </w:p>
        </w:tc>
      </w:tr>
      <w:tr>
        <w:trPr>
          <w:trHeight w:val="188"/>
        </w:trPr>
        <w:tc>
          <w:tcPr>
            <w:tcW w:w="39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Employee stock purchase and stock compensation plans</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340" w:type="dxa"/>
            <w:vAlign w:val="bottom"/>
            <w:gridSpan w:val="2"/>
          </w:tcPr>
          <w:p>
            <w:pPr>
              <w:ind w:left="10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0" w:type="dxa"/>
            <w:vAlign w:val="bottom"/>
          </w:tcPr>
          <w:p>
            <w:pPr>
              <w:spacing w:after="0"/>
              <w:rPr>
                <w:sz w:val="1"/>
                <w:szCs w:val="1"/>
                <w:color w:val="auto"/>
              </w:rPr>
            </w:pPr>
          </w:p>
        </w:tc>
      </w:tr>
      <w:tr>
        <w:trPr>
          <w:trHeight w:val="201"/>
        </w:trPr>
        <w:tc>
          <w:tcPr>
            <w:tcW w:w="3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Series A convertible preferred stock dividends</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ind w:left="10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0" w:type="dxa"/>
            <w:vAlign w:val="bottom"/>
          </w:tcPr>
          <w:p>
            <w:pPr>
              <w:spacing w:after="0"/>
              <w:rPr>
                <w:sz w:val="1"/>
                <w:szCs w:val="1"/>
                <w:color w:val="auto"/>
              </w:rPr>
            </w:pPr>
          </w:p>
        </w:tc>
      </w:tr>
      <w:tr>
        <w:trPr>
          <w:trHeight w:val="189"/>
        </w:trPr>
        <w:tc>
          <w:tcPr>
            <w:tcW w:w="39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Spin-Off of NCR Atleos</w:t>
            </w: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Pr>
          <w:p>
            <w:pPr>
              <w:spacing w:after="0"/>
              <w:rPr>
                <w:sz w:val="16"/>
                <w:szCs w:val="16"/>
                <w:color w:val="auto"/>
              </w:rPr>
            </w:pPr>
          </w:p>
        </w:tc>
        <w:tc>
          <w:tcPr>
            <w:tcW w:w="1340" w:type="dxa"/>
            <w:vAlign w:val="bottom"/>
            <w:gridSpan w:val="2"/>
          </w:tcPr>
          <w:p>
            <w:pPr>
              <w:ind w:left="1040"/>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218"/>
        </w:trPr>
        <w:tc>
          <w:tcPr>
            <w:tcW w:w="39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145</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879</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(463)</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(451)</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240" w:type="dxa"/>
            <w:vAlign w:val="bottom"/>
            <w:tcBorders>
              <w:top w:val="single" w:sz="8" w:color="auto"/>
              <w:bottom w:val="single" w:sz="8" w:color="auto"/>
            </w:tcBorders>
            <w:shd w:val="clear" w:color="auto" w:fill="CCEEFF"/>
          </w:tcPr>
          <w:p>
            <w:pPr>
              <w:ind w:left="1040"/>
              <w:spacing w:after="0"/>
              <w:rPr>
                <w:sz w:val="20"/>
                <w:szCs w:val="20"/>
                <w:color w:val="auto"/>
              </w:rPr>
            </w:pPr>
            <w:r>
              <w:rPr>
                <w:rFonts w:ascii="Times New Roman" w:cs="Times New Roman" w:eastAsia="Times New Roman" w:hAnsi="Times New Roman"/>
                <w:sz w:val="14"/>
                <w:szCs w:val="14"/>
                <w:b w:val="1"/>
                <w:bCs w:val="1"/>
                <w:color w:val="auto"/>
              </w:rPr>
              <w:t>(2)</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(36)</w:t>
            </w:r>
          </w:p>
        </w:tc>
        <w:tc>
          <w:tcPr>
            <w:tcW w:w="0" w:type="dxa"/>
            <w:vAlign w:val="bottom"/>
          </w:tcPr>
          <w:p>
            <w:pPr>
              <w:spacing w:after="0"/>
              <w:rPr>
                <w:sz w:val="1"/>
                <w:szCs w:val="1"/>
                <w:color w:val="auto"/>
              </w:rPr>
            </w:pPr>
          </w:p>
        </w:tc>
      </w:tr>
      <w:tr>
        <w:trPr>
          <w:trHeight w:val="20"/>
        </w:trPr>
        <w:tc>
          <w:tcPr>
            <w:tcW w:w="39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Comprehensive income:</w:t>
            </w: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4"/>
        </w:trPr>
        <w:tc>
          <w:tcPr>
            <w:tcW w:w="3960" w:type="dxa"/>
            <w:vAlign w:val="bottom"/>
            <w:vMerge w:val="continue"/>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1"/>
        </w:trPr>
        <w:tc>
          <w:tcPr>
            <w:tcW w:w="39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Net income (loss)</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ind w:left="10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w:t>
            </w:r>
          </w:p>
        </w:tc>
        <w:tc>
          <w:tcPr>
            <w:tcW w:w="0" w:type="dxa"/>
            <w:vAlign w:val="bottom"/>
          </w:tcPr>
          <w:p>
            <w:pPr>
              <w:spacing w:after="0"/>
              <w:rPr>
                <w:sz w:val="1"/>
                <w:szCs w:val="1"/>
                <w:color w:val="auto"/>
              </w:rPr>
            </w:pPr>
          </w:p>
        </w:tc>
      </w:tr>
      <w:tr>
        <w:trPr>
          <w:trHeight w:val="188"/>
        </w:trPr>
        <w:tc>
          <w:tcPr>
            <w:tcW w:w="396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Other comprehensive income (loss)</w:t>
            </w: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gridSpan w:val="2"/>
          </w:tcPr>
          <w:p>
            <w:pPr>
              <w:ind w:left="10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0" w:type="dxa"/>
            <w:vAlign w:val="bottom"/>
          </w:tcPr>
          <w:p>
            <w:pPr>
              <w:spacing w:after="0"/>
              <w:rPr>
                <w:sz w:val="1"/>
                <w:szCs w:val="1"/>
                <w:color w:val="auto"/>
              </w:rPr>
            </w:pPr>
          </w:p>
        </w:tc>
      </w:tr>
      <w:tr>
        <w:trPr>
          <w:trHeight w:val="194"/>
        </w:trPr>
        <w:tc>
          <w:tcPr>
            <w:tcW w:w="3960" w:type="dxa"/>
            <w:vAlign w:val="bottom"/>
            <w:tcBorders>
              <w:top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Total comprehensive income (loss)</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w:t>
            </w:r>
          </w:p>
        </w:tc>
        <w:tc>
          <w:tcPr>
            <w:tcW w:w="1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1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1240" w:type="dxa"/>
            <w:vAlign w:val="bottom"/>
            <w:tcBorders>
              <w:top w:val="single" w:sz="8" w:color="auto"/>
            </w:tcBorders>
            <w:shd w:val="clear" w:color="auto" w:fill="CCEEFF"/>
          </w:tcPr>
          <w:p>
            <w:pPr>
              <w:ind w:left="10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w:t>
            </w:r>
          </w:p>
        </w:tc>
        <w:tc>
          <w:tcPr>
            <w:tcW w:w="0" w:type="dxa"/>
            <w:vAlign w:val="bottom"/>
          </w:tcPr>
          <w:p>
            <w:pPr>
              <w:spacing w:after="0"/>
              <w:rPr>
                <w:sz w:val="1"/>
                <w:szCs w:val="1"/>
                <w:color w:val="auto"/>
              </w:rPr>
            </w:pPr>
          </w:p>
        </w:tc>
      </w:tr>
      <w:tr>
        <w:trPr>
          <w:trHeight w:val="188"/>
        </w:trPr>
        <w:tc>
          <w:tcPr>
            <w:tcW w:w="39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Employee stock purchase and stock compensation plans</w:t>
            </w: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340" w:type="dxa"/>
            <w:vAlign w:val="bottom"/>
            <w:gridSpan w:val="2"/>
          </w:tcPr>
          <w:p>
            <w:pPr>
              <w:ind w:left="10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0" w:type="dxa"/>
            <w:vAlign w:val="bottom"/>
          </w:tcPr>
          <w:p>
            <w:pPr>
              <w:spacing w:after="0"/>
              <w:rPr>
                <w:sz w:val="1"/>
                <w:szCs w:val="1"/>
                <w:color w:val="auto"/>
              </w:rPr>
            </w:pPr>
          </w:p>
        </w:tc>
      </w:tr>
      <w:tr>
        <w:trPr>
          <w:trHeight w:val="201"/>
        </w:trPr>
        <w:tc>
          <w:tcPr>
            <w:tcW w:w="3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Series A convertible preferred stock dividends</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ind w:left="10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0" w:type="dxa"/>
            <w:vAlign w:val="bottom"/>
          </w:tcPr>
          <w:p>
            <w:pPr>
              <w:spacing w:after="0"/>
              <w:rPr>
                <w:sz w:val="1"/>
                <w:szCs w:val="1"/>
                <w:color w:val="auto"/>
              </w:rPr>
            </w:pPr>
          </w:p>
        </w:tc>
      </w:tr>
      <w:tr>
        <w:trPr>
          <w:trHeight w:val="189"/>
        </w:trPr>
        <w:tc>
          <w:tcPr>
            <w:tcW w:w="39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Spin-Off of NCR Atleos</w:t>
            </w: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Pr>
          <w:p>
            <w:pPr>
              <w:spacing w:after="0"/>
              <w:rPr>
                <w:sz w:val="16"/>
                <w:szCs w:val="16"/>
                <w:color w:val="auto"/>
              </w:rPr>
            </w:pPr>
          </w:p>
        </w:tc>
        <w:tc>
          <w:tcPr>
            <w:tcW w:w="1340" w:type="dxa"/>
            <w:vAlign w:val="bottom"/>
            <w:gridSpan w:val="2"/>
          </w:tcPr>
          <w:p>
            <w:pPr>
              <w:ind w:left="1040"/>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0" w:type="dxa"/>
            <w:vAlign w:val="bottom"/>
          </w:tcPr>
          <w:p>
            <w:pPr>
              <w:spacing w:after="0"/>
              <w:rPr>
                <w:sz w:val="1"/>
                <w:szCs w:val="1"/>
                <w:color w:val="auto"/>
              </w:rPr>
            </w:pPr>
          </w:p>
        </w:tc>
      </w:tr>
      <w:tr>
        <w:trPr>
          <w:trHeight w:val="218"/>
        </w:trPr>
        <w:tc>
          <w:tcPr>
            <w:tcW w:w="39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145</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899</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(517)</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(468)</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240" w:type="dxa"/>
            <w:vAlign w:val="bottom"/>
            <w:tcBorders>
              <w:top w:val="single" w:sz="8" w:color="auto"/>
              <w:bottom w:val="single" w:sz="8" w:color="auto"/>
            </w:tcBorders>
            <w:shd w:val="clear" w:color="auto" w:fill="CCEEFF"/>
          </w:tcPr>
          <w:p>
            <w:pPr>
              <w:ind w:left="1040"/>
              <w:spacing w:after="0"/>
              <w:rPr>
                <w:sz w:val="20"/>
                <w:szCs w:val="20"/>
                <w:color w:val="auto"/>
              </w:rPr>
            </w:pPr>
            <w:r>
              <w:rPr>
                <w:rFonts w:ascii="Times New Roman" w:cs="Times New Roman" w:eastAsia="Times New Roman" w:hAnsi="Times New Roman"/>
                <w:sz w:val="14"/>
                <w:szCs w:val="14"/>
                <w:b w:val="1"/>
                <w:bCs w:val="1"/>
                <w:color w:val="auto"/>
              </w:rPr>
              <w:t>(2)</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(87)</w:t>
            </w:r>
          </w:p>
        </w:tc>
        <w:tc>
          <w:tcPr>
            <w:tcW w:w="0" w:type="dxa"/>
            <w:vAlign w:val="bottom"/>
          </w:tcPr>
          <w:p>
            <w:pPr>
              <w:spacing w:after="0"/>
              <w:rPr>
                <w:sz w:val="1"/>
                <w:szCs w:val="1"/>
                <w:color w:val="auto"/>
              </w:rPr>
            </w:pPr>
          </w:p>
        </w:tc>
      </w:tr>
      <w:tr>
        <w:trPr>
          <w:trHeight w:val="20"/>
        </w:trPr>
        <w:tc>
          <w:tcPr>
            <w:tcW w:w="39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Comprehensive income:</w:t>
            </w: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4"/>
        </w:trPr>
        <w:tc>
          <w:tcPr>
            <w:tcW w:w="3960" w:type="dxa"/>
            <w:vAlign w:val="bottom"/>
            <w:vMerge w:val="continue"/>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1"/>
        </w:trPr>
        <w:tc>
          <w:tcPr>
            <w:tcW w:w="39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Net income (loss)</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1,082</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ind w:left="10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1,082</w:t>
            </w:r>
          </w:p>
        </w:tc>
        <w:tc>
          <w:tcPr>
            <w:tcW w:w="0" w:type="dxa"/>
            <w:vAlign w:val="bottom"/>
          </w:tcPr>
          <w:p>
            <w:pPr>
              <w:spacing w:after="0"/>
              <w:rPr>
                <w:sz w:val="1"/>
                <w:szCs w:val="1"/>
                <w:color w:val="auto"/>
              </w:rPr>
            </w:pPr>
          </w:p>
        </w:tc>
      </w:tr>
      <w:tr>
        <w:trPr>
          <w:trHeight w:val="188"/>
        </w:trPr>
        <w:tc>
          <w:tcPr>
            <w:tcW w:w="396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Other comprehensive income (loss)</w:t>
            </w: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gridSpan w:val="2"/>
          </w:tcPr>
          <w:p>
            <w:pPr>
              <w:ind w:left="10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0" w:type="dxa"/>
            <w:vAlign w:val="bottom"/>
          </w:tcPr>
          <w:p>
            <w:pPr>
              <w:spacing w:after="0"/>
              <w:rPr>
                <w:sz w:val="1"/>
                <w:szCs w:val="1"/>
                <w:color w:val="auto"/>
              </w:rPr>
            </w:pPr>
          </w:p>
        </w:tc>
      </w:tr>
      <w:tr>
        <w:trPr>
          <w:trHeight w:val="194"/>
        </w:trPr>
        <w:tc>
          <w:tcPr>
            <w:tcW w:w="3960" w:type="dxa"/>
            <w:vAlign w:val="bottom"/>
            <w:tcBorders>
              <w:top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Total comprehensive income (loss)</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1,082</w:t>
            </w:r>
          </w:p>
        </w:tc>
        <w:tc>
          <w:tcPr>
            <w:tcW w:w="1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1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1240" w:type="dxa"/>
            <w:vAlign w:val="bottom"/>
            <w:tcBorders>
              <w:top w:val="single" w:sz="8" w:color="auto"/>
            </w:tcBorders>
            <w:shd w:val="clear" w:color="auto" w:fill="CCEEFF"/>
          </w:tcPr>
          <w:p>
            <w:pPr>
              <w:ind w:left="10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1,090</w:t>
            </w:r>
          </w:p>
        </w:tc>
        <w:tc>
          <w:tcPr>
            <w:tcW w:w="0" w:type="dxa"/>
            <w:vAlign w:val="bottom"/>
          </w:tcPr>
          <w:p>
            <w:pPr>
              <w:spacing w:after="0"/>
              <w:rPr>
                <w:sz w:val="1"/>
                <w:szCs w:val="1"/>
                <w:color w:val="auto"/>
              </w:rPr>
            </w:pPr>
          </w:p>
        </w:tc>
      </w:tr>
      <w:tr>
        <w:trPr>
          <w:trHeight w:val="188"/>
        </w:trPr>
        <w:tc>
          <w:tcPr>
            <w:tcW w:w="39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Employee stock purchase and stock compensation plans</w:t>
            </w: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340" w:type="dxa"/>
            <w:vAlign w:val="bottom"/>
            <w:gridSpan w:val="2"/>
          </w:tcPr>
          <w:p>
            <w:pPr>
              <w:ind w:left="10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0" w:type="dxa"/>
            <w:vAlign w:val="bottom"/>
          </w:tcPr>
          <w:p>
            <w:pPr>
              <w:spacing w:after="0"/>
              <w:rPr>
                <w:sz w:val="1"/>
                <w:szCs w:val="1"/>
                <w:color w:val="auto"/>
              </w:rPr>
            </w:pPr>
          </w:p>
        </w:tc>
      </w:tr>
      <w:tr>
        <w:trPr>
          <w:trHeight w:val="201"/>
        </w:trPr>
        <w:tc>
          <w:tcPr>
            <w:tcW w:w="3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Series A convertible preferred stock dividends</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ind w:left="10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0" w:type="dxa"/>
            <w:vAlign w:val="bottom"/>
          </w:tcPr>
          <w:p>
            <w:pPr>
              <w:spacing w:after="0"/>
              <w:rPr>
                <w:sz w:val="1"/>
                <w:szCs w:val="1"/>
                <w:color w:val="auto"/>
              </w:rPr>
            </w:pPr>
          </w:p>
        </w:tc>
      </w:tr>
      <w:tr>
        <w:trPr>
          <w:trHeight w:val="187"/>
        </w:trPr>
        <w:tc>
          <w:tcPr>
            <w:tcW w:w="39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145</w:t>
            </w:r>
          </w:p>
        </w:tc>
        <w:tc>
          <w:tcPr>
            <w:tcW w:w="10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w:t>
            </w:r>
          </w:p>
        </w:tc>
        <w:tc>
          <w:tcPr>
            <w:tcW w:w="10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911</w:t>
            </w:r>
          </w:p>
        </w:tc>
        <w:tc>
          <w:tcPr>
            <w:tcW w:w="10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561</w:t>
            </w:r>
          </w:p>
        </w:tc>
        <w:tc>
          <w:tcPr>
            <w:tcW w:w="10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(460)</w:t>
            </w:r>
          </w:p>
        </w:tc>
        <w:tc>
          <w:tcPr>
            <w:tcW w:w="10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240" w:type="dxa"/>
            <w:vAlign w:val="bottom"/>
            <w:tcBorders>
              <w:top w:val="single" w:sz="8" w:color="auto"/>
              <w:bottom w:val="single" w:sz="8" w:color="auto"/>
            </w:tcBorders>
          </w:tcPr>
          <w:p>
            <w:pPr>
              <w:ind w:left="1040"/>
              <w:spacing w:after="0"/>
              <w:rPr>
                <w:sz w:val="20"/>
                <w:szCs w:val="20"/>
                <w:color w:val="auto"/>
              </w:rPr>
            </w:pPr>
            <w:r>
              <w:rPr>
                <w:rFonts w:ascii="Times New Roman" w:cs="Times New Roman" w:eastAsia="Times New Roman" w:hAnsi="Times New Roman"/>
                <w:sz w:val="14"/>
                <w:szCs w:val="14"/>
                <w:b w:val="1"/>
                <w:bCs w:val="1"/>
                <w:color w:val="auto"/>
              </w:rPr>
              <w:t>(2)</w:t>
            </w:r>
          </w:p>
        </w:tc>
        <w:tc>
          <w:tcPr>
            <w:tcW w:w="100" w:type="dxa"/>
            <w:vAlign w:val="bottom"/>
          </w:tcPr>
          <w:p>
            <w:pPr>
              <w:spacing w:after="0"/>
              <w:rPr>
                <w:sz w:val="16"/>
                <w:szCs w:val="16"/>
                <w:color w:val="auto"/>
              </w:rPr>
            </w:pPr>
          </w:p>
        </w:tc>
        <w:tc>
          <w:tcPr>
            <w:tcW w:w="16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1,011</w:t>
            </w:r>
          </w:p>
        </w:tc>
        <w:tc>
          <w:tcPr>
            <w:tcW w:w="0" w:type="dxa"/>
            <w:vAlign w:val="bottom"/>
          </w:tcPr>
          <w:p>
            <w:pPr>
              <w:spacing w:after="0"/>
              <w:rPr>
                <w:sz w:val="1"/>
                <w:szCs w:val="1"/>
                <w:color w:val="auto"/>
              </w:rPr>
            </w:pPr>
          </w:p>
        </w:tc>
      </w:tr>
      <w:tr>
        <w:trPr>
          <w:trHeight w:val="20"/>
        </w:trPr>
        <w:tc>
          <w:tcPr>
            <w:tcW w:w="39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3435"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161"/>
        </w:trPr>
        <w:tc>
          <w:tcPr>
            <w:tcW w:w="3940" w:type="dxa"/>
            <w:vAlign w:val="bottom"/>
            <w:gridSpan w:val="2"/>
          </w:tcPr>
          <w:p>
            <w:pPr>
              <w:spacing w:after="0"/>
              <w:rPr>
                <w:sz w:val="20"/>
                <w:szCs w:val="20"/>
                <w:color w:val="auto"/>
              </w:rPr>
            </w:pPr>
            <w:r>
              <w:rPr>
                <w:rFonts w:ascii="Times New Roman" w:cs="Times New Roman" w:eastAsia="Times New Roman" w:hAnsi="Times New Roman"/>
                <w:sz w:val="14"/>
                <w:szCs w:val="14"/>
                <w:color w:val="0000FF"/>
              </w:rPr>
              <w:t>Table of Contents</w:t>
            </w: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78"/>
        </w:trPr>
        <w:tc>
          <w:tcPr>
            <w:tcW w:w="980" w:type="dxa"/>
            <w:vAlign w:val="bottom"/>
            <w:tcBorders>
              <w:top w:val="single" w:sz="8" w:color="0000FF"/>
            </w:tcBorders>
          </w:tcPr>
          <w:p>
            <w:pPr>
              <w:spacing w:after="0"/>
              <w:rPr>
                <w:sz w:val="24"/>
                <w:szCs w:val="24"/>
                <w:color w:val="auto"/>
              </w:rPr>
            </w:pPr>
          </w:p>
        </w:tc>
        <w:tc>
          <w:tcPr>
            <w:tcW w:w="29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900" w:type="dxa"/>
            <w:vAlign w:val="bottom"/>
            <w:gridSpan w:val="7"/>
          </w:tcPr>
          <w:p>
            <w:pPr>
              <w:ind w:left="20"/>
              <w:spacing w:after="0"/>
              <w:rPr>
                <w:sz w:val="20"/>
                <w:szCs w:val="20"/>
                <w:color w:val="auto"/>
              </w:rPr>
            </w:pPr>
            <w:r>
              <w:rPr>
                <w:rFonts w:ascii="Times New Roman" w:cs="Times New Roman" w:eastAsia="Times New Roman" w:hAnsi="Times New Roman"/>
                <w:sz w:val="14"/>
                <w:szCs w:val="14"/>
                <w:b w:val="1"/>
                <w:bCs w:val="1"/>
                <w:color w:val="auto"/>
              </w:rPr>
              <w:t>NCR Voyix Stockholders</w:t>
            </w:r>
          </w:p>
        </w:tc>
        <w:tc>
          <w:tcPr>
            <w:tcW w:w="1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98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1700" w:type="dxa"/>
            <w:vAlign w:val="bottom"/>
            <w:tcBorders>
              <w:bottom w:val="single" w:sz="8" w:color="auto"/>
            </w:tcBorders>
            <w:gridSpan w:val="4"/>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0"/>
        </w:trPr>
        <w:tc>
          <w:tcPr>
            <w:tcW w:w="980" w:type="dxa"/>
            <w:vAlign w:val="bottom"/>
          </w:tcPr>
          <w:p>
            <w:pPr>
              <w:spacing w:after="0"/>
              <w:rPr>
                <w:sz w:val="15"/>
                <w:szCs w:val="15"/>
                <w:color w:val="auto"/>
              </w:rPr>
            </w:pPr>
          </w:p>
        </w:tc>
        <w:tc>
          <w:tcPr>
            <w:tcW w:w="2960" w:type="dxa"/>
            <w:vAlign w:val="bottom"/>
          </w:tcPr>
          <w:p>
            <w:pPr>
              <w:spacing w:after="0"/>
              <w:rPr>
                <w:sz w:val="15"/>
                <w:szCs w:val="15"/>
                <w:color w:val="auto"/>
              </w:rPr>
            </w:pPr>
          </w:p>
        </w:tc>
        <w:tc>
          <w:tcPr>
            <w:tcW w:w="1700" w:type="dxa"/>
            <w:vAlign w:val="bottom"/>
            <w:tcBorders>
              <w:bottom w:val="single" w:sz="8" w:color="auto"/>
            </w:tcBorders>
            <w:gridSpan w:val="4"/>
          </w:tcPr>
          <w:p>
            <w:pPr>
              <w:jc w:val="right"/>
              <w:ind w:right="331"/>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4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9"/>
              </w:rPr>
              <w:t>Non-Redeemable</w:t>
            </w:r>
          </w:p>
        </w:tc>
        <w:tc>
          <w:tcPr>
            <w:tcW w:w="1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8"/>
        </w:trPr>
        <w:tc>
          <w:tcPr>
            <w:tcW w:w="980" w:type="dxa"/>
            <w:vAlign w:val="bottom"/>
          </w:tcPr>
          <w:p>
            <w:pPr>
              <w:spacing w:after="0"/>
              <w:rPr>
                <w:sz w:val="6"/>
                <w:szCs w:val="6"/>
                <w:color w:val="auto"/>
              </w:rPr>
            </w:pPr>
          </w:p>
        </w:tc>
        <w:tc>
          <w:tcPr>
            <w:tcW w:w="296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84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42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Accumulated Other</w:t>
            </w:r>
          </w:p>
        </w:tc>
        <w:tc>
          <w:tcPr>
            <w:tcW w:w="140" w:type="dxa"/>
            <w:vAlign w:val="bottom"/>
          </w:tcPr>
          <w:p>
            <w:pPr>
              <w:spacing w:after="0"/>
              <w:rPr>
                <w:sz w:val="6"/>
                <w:szCs w:val="6"/>
                <w:color w:val="auto"/>
              </w:rPr>
            </w:pPr>
          </w:p>
        </w:tc>
        <w:tc>
          <w:tcPr>
            <w:tcW w:w="134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6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3"/>
        </w:trPr>
        <w:tc>
          <w:tcPr>
            <w:tcW w:w="980" w:type="dxa"/>
            <w:vAlign w:val="bottom"/>
          </w:tcPr>
          <w:p>
            <w:pPr>
              <w:spacing w:after="0"/>
              <w:rPr>
                <w:sz w:val="12"/>
                <w:szCs w:val="12"/>
                <w:color w:val="auto"/>
              </w:rPr>
            </w:pPr>
          </w:p>
        </w:tc>
        <w:tc>
          <w:tcPr>
            <w:tcW w:w="29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12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142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1340" w:type="dxa"/>
            <w:vAlign w:val="bottom"/>
            <w:gridSpan w:val="2"/>
          </w:tcPr>
          <w:p>
            <w:pPr>
              <w:jc w:val="center"/>
              <w:ind w:right="240"/>
              <w:spacing w:after="0" w:line="143" w:lineRule="exact"/>
              <w:rPr>
                <w:sz w:val="20"/>
                <w:szCs w:val="20"/>
                <w:color w:val="auto"/>
              </w:rPr>
            </w:pPr>
            <w:r>
              <w:rPr>
                <w:rFonts w:ascii="Times New Roman" w:cs="Times New Roman" w:eastAsia="Times New Roman" w:hAnsi="Times New Roman"/>
                <w:sz w:val="14"/>
                <w:szCs w:val="14"/>
                <w:b w:val="1"/>
                <w:bCs w:val="1"/>
                <w:color w:val="auto"/>
                <w:w w:val="99"/>
              </w:rPr>
              <w:t>Noncontrolling</w:t>
            </w: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39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900" w:type="dxa"/>
            <w:vAlign w:val="bottom"/>
            <w:gridSpan w:val="2"/>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Pr>
          <w:p>
            <w:pPr>
              <w:spacing w:after="0"/>
              <w:rPr>
                <w:sz w:val="12"/>
                <w:szCs w:val="12"/>
                <w:color w:val="auto"/>
              </w:rPr>
            </w:pPr>
          </w:p>
        </w:tc>
        <w:tc>
          <w:tcPr>
            <w:tcW w:w="680" w:type="dxa"/>
            <w:vAlign w:val="bottom"/>
            <w:vMerge w:val="restart"/>
          </w:tcPr>
          <w:p>
            <w:pPr>
              <w:jc w:val="right"/>
              <w:ind w:right="91"/>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tcPr>
          <w:p>
            <w:pPr>
              <w:jc w:val="center"/>
              <w:ind w:right="220"/>
              <w:spacing w:after="0" w:line="143" w:lineRule="exact"/>
              <w:rPr>
                <w:sz w:val="20"/>
                <w:szCs w:val="20"/>
                <w:color w:val="auto"/>
              </w:rPr>
            </w:pPr>
            <w:r>
              <w:rPr>
                <w:rFonts w:ascii="Times New Roman" w:cs="Times New Roman" w:eastAsia="Times New Roman" w:hAnsi="Times New Roman"/>
                <w:sz w:val="14"/>
                <w:szCs w:val="14"/>
                <w:b w:val="1"/>
                <w:bCs w:val="1"/>
                <w:color w:val="auto"/>
                <w:w w:val="99"/>
              </w:rPr>
              <w:t>Earnings</w:t>
            </w:r>
          </w:p>
        </w:tc>
        <w:tc>
          <w:tcPr>
            <w:tcW w:w="140" w:type="dxa"/>
            <w:vAlign w:val="bottom"/>
          </w:tcPr>
          <w:p>
            <w:pPr>
              <w:spacing w:after="0"/>
              <w:rPr>
                <w:sz w:val="12"/>
                <w:szCs w:val="12"/>
                <w:color w:val="auto"/>
              </w:rPr>
            </w:pPr>
          </w:p>
        </w:tc>
        <w:tc>
          <w:tcPr>
            <w:tcW w:w="1280" w:type="dxa"/>
            <w:vAlign w:val="bottom"/>
            <w:gridSpan w:val="2"/>
          </w:tcPr>
          <w:p>
            <w:pPr>
              <w:jc w:val="center"/>
              <w:ind w:right="240"/>
              <w:spacing w:after="0" w:line="143" w:lineRule="exact"/>
              <w:rPr>
                <w:sz w:val="20"/>
                <w:szCs w:val="20"/>
                <w:color w:val="auto"/>
              </w:rPr>
            </w:pPr>
            <w:r>
              <w:rPr>
                <w:rFonts w:ascii="Times New Roman" w:cs="Times New Roman" w:eastAsia="Times New Roman" w:hAnsi="Times New Roman"/>
                <w:sz w:val="14"/>
                <w:szCs w:val="14"/>
                <w:b w:val="1"/>
                <w:bCs w:val="1"/>
                <w:color w:val="auto"/>
                <w:w w:val="98"/>
              </w:rPr>
              <w:t>Comprehensive</w:t>
            </w:r>
          </w:p>
        </w:tc>
        <w:tc>
          <w:tcPr>
            <w:tcW w:w="140" w:type="dxa"/>
            <w:vAlign w:val="bottom"/>
          </w:tcPr>
          <w:p>
            <w:pPr>
              <w:spacing w:after="0"/>
              <w:rPr>
                <w:sz w:val="12"/>
                <w:szCs w:val="12"/>
                <w:color w:val="auto"/>
              </w:rPr>
            </w:pPr>
          </w:p>
        </w:tc>
        <w:tc>
          <w:tcPr>
            <w:tcW w:w="1340" w:type="dxa"/>
            <w:vAlign w:val="bottom"/>
            <w:gridSpan w:val="2"/>
          </w:tcPr>
          <w:p>
            <w:pPr>
              <w:jc w:val="center"/>
              <w:ind w:right="240"/>
              <w:spacing w:after="0" w:line="143" w:lineRule="exact"/>
              <w:rPr>
                <w:sz w:val="20"/>
                <w:szCs w:val="20"/>
                <w:color w:val="auto"/>
              </w:rPr>
            </w:pPr>
            <w:r>
              <w:rPr>
                <w:rFonts w:ascii="Times New Roman" w:cs="Times New Roman" w:eastAsia="Times New Roman" w:hAnsi="Times New Roman"/>
                <w:sz w:val="14"/>
                <w:szCs w:val="14"/>
                <w:b w:val="1"/>
                <w:bCs w:val="1"/>
                <w:color w:val="auto"/>
                <w:w w:val="98"/>
              </w:rPr>
              <w:t>Interests in</w:t>
            </w:r>
          </w:p>
        </w:tc>
        <w:tc>
          <w:tcPr>
            <w:tcW w:w="160" w:type="dxa"/>
            <w:vAlign w:val="bottom"/>
          </w:tcPr>
          <w:p>
            <w:pPr>
              <w:spacing w:after="0"/>
              <w:rPr>
                <w:sz w:val="12"/>
                <w:szCs w:val="12"/>
                <w:color w:val="auto"/>
              </w:rPr>
            </w:pPr>
          </w:p>
        </w:tc>
        <w:tc>
          <w:tcPr>
            <w:tcW w:w="640" w:type="dxa"/>
            <w:vAlign w:val="bottom"/>
            <w:vMerge w:val="restart"/>
          </w:tcPr>
          <w:p>
            <w:pPr>
              <w:jc w:val="right"/>
              <w:ind w:right="17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9"/>
        </w:trPr>
        <w:tc>
          <w:tcPr>
            <w:tcW w:w="3940" w:type="dxa"/>
            <w:vAlign w:val="bottom"/>
            <w:gridSpan w:val="2"/>
            <w:vMerge w:val="continue"/>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20" w:type="dxa"/>
            <w:vAlign w:val="bottom"/>
          </w:tcPr>
          <w:p>
            <w:pPr>
              <w:spacing w:after="0"/>
              <w:rPr>
                <w:sz w:val="16"/>
                <w:szCs w:val="16"/>
                <w:color w:val="auto"/>
              </w:rPr>
            </w:pPr>
          </w:p>
        </w:tc>
        <w:tc>
          <w:tcPr>
            <w:tcW w:w="8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40" w:type="dxa"/>
            <w:vAlign w:val="bottom"/>
          </w:tcPr>
          <w:p>
            <w:pPr>
              <w:spacing w:after="0"/>
              <w:rPr>
                <w:sz w:val="16"/>
                <w:szCs w:val="16"/>
                <w:color w:val="auto"/>
              </w:rPr>
            </w:pPr>
          </w:p>
        </w:tc>
        <w:tc>
          <w:tcPr>
            <w:tcW w:w="12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9"/>
              </w:rPr>
              <w:t>(Loss) Income</w:t>
            </w:r>
          </w:p>
        </w:tc>
        <w:tc>
          <w:tcPr>
            <w:tcW w:w="140" w:type="dxa"/>
            <w:vAlign w:val="bottom"/>
          </w:tcPr>
          <w:p>
            <w:pPr>
              <w:spacing w:after="0"/>
              <w:rPr>
                <w:sz w:val="16"/>
                <w:szCs w:val="16"/>
                <w:color w:val="auto"/>
              </w:rPr>
            </w:pPr>
          </w:p>
        </w:tc>
        <w:tc>
          <w:tcPr>
            <w:tcW w:w="13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16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394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138</w:t>
            </w: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w:t>
            </w: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704</w:t>
            </w: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1,075</w:t>
            </w:r>
          </w:p>
        </w:tc>
        <w:tc>
          <w:tcPr>
            <w:tcW w:w="1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(300)</w:t>
            </w:r>
          </w:p>
        </w:tc>
        <w:tc>
          <w:tcPr>
            <w:tcW w:w="1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w:t>
            </w:r>
          </w:p>
        </w:tc>
        <w:tc>
          <w:tcPr>
            <w:tcW w:w="1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1,479</w:t>
            </w:r>
          </w:p>
        </w:tc>
        <w:tc>
          <w:tcPr>
            <w:tcW w:w="0" w:type="dxa"/>
            <w:vAlign w:val="bottom"/>
          </w:tcPr>
          <w:p>
            <w:pPr>
              <w:spacing w:after="0"/>
              <w:rPr>
                <w:sz w:val="1"/>
                <w:szCs w:val="1"/>
                <w:color w:val="auto"/>
              </w:rPr>
            </w:pPr>
          </w:p>
        </w:tc>
      </w:tr>
      <w:tr>
        <w:trPr>
          <w:trHeight w:val="188"/>
        </w:trPr>
        <w:tc>
          <w:tcPr>
            <w:tcW w:w="39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Comprehensive income:</w:t>
            </w: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394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Net income (loss)</w:t>
            </w: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0" w:type="dxa"/>
            <w:vAlign w:val="bottom"/>
          </w:tcPr>
          <w:p>
            <w:pPr>
              <w:spacing w:after="0"/>
              <w:rPr>
                <w:sz w:val="1"/>
                <w:szCs w:val="1"/>
                <w:color w:val="auto"/>
              </w:rPr>
            </w:pPr>
          </w:p>
        </w:tc>
      </w:tr>
      <w:tr>
        <w:trPr>
          <w:trHeight w:val="188"/>
        </w:trPr>
        <w:tc>
          <w:tcPr>
            <w:tcW w:w="3940" w:type="dxa"/>
            <w:vAlign w:val="bottom"/>
            <w:gridSpan w:val="2"/>
          </w:tcPr>
          <w:p>
            <w:pPr>
              <w:ind w:left="320"/>
              <w:spacing w:after="0"/>
              <w:rPr>
                <w:sz w:val="20"/>
                <w:szCs w:val="20"/>
                <w:color w:val="auto"/>
              </w:rPr>
            </w:pPr>
            <w:r>
              <w:rPr>
                <w:rFonts w:ascii="Times New Roman" w:cs="Times New Roman" w:eastAsia="Times New Roman" w:hAnsi="Times New Roman"/>
                <w:sz w:val="14"/>
                <w:szCs w:val="14"/>
                <w:color w:val="auto"/>
              </w:rPr>
              <w:t>Other comprehensive income (loss)</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0" w:type="dxa"/>
            <w:vAlign w:val="bottom"/>
          </w:tcPr>
          <w:p>
            <w:pPr>
              <w:spacing w:after="0"/>
              <w:rPr>
                <w:sz w:val="1"/>
                <w:szCs w:val="1"/>
                <w:color w:val="auto"/>
              </w:rPr>
            </w:pPr>
          </w:p>
        </w:tc>
      </w:tr>
      <w:tr>
        <w:trPr>
          <w:trHeight w:val="194"/>
        </w:trPr>
        <w:tc>
          <w:tcPr>
            <w:tcW w:w="3940" w:type="dxa"/>
            <w:vAlign w:val="bottom"/>
            <w:tcBorders>
              <w:top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Total comprehensive income (loss)</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1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1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0" w:type="dxa"/>
            <w:vAlign w:val="bottom"/>
          </w:tcPr>
          <w:p>
            <w:pPr>
              <w:spacing w:after="0"/>
              <w:rPr>
                <w:sz w:val="1"/>
                <w:szCs w:val="1"/>
                <w:color w:val="auto"/>
              </w:rPr>
            </w:pPr>
          </w:p>
        </w:tc>
      </w:tr>
      <w:tr>
        <w:trPr>
          <w:trHeight w:val="188"/>
        </w:trPr>
        <w:tc>
          <w:tcPr>
            <w:tcW w:w="394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Employee stock purchase and stock compensation plans</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0" w:type="dxa"/>
            <w:vAlign w:val="bottom"/>
          </w:tcPr>
          <w:p>
            <w:pPr>
              <w:spacing w:after="0"/>
              <w:rPr>
                <w:sz w:val="1"/>
                <w:szCs w:val="1"/>
                <w:color w:val="auto"/>
              </w:rPr>
            </w:pPr>
          </w:p>
        </w:tc>
      </w:tr>
      <w:tr>
        <w:trPr>
          <w:trHeight w:val="201"/>
        </w:trPr>
        <w:tc>
          <w:tcPr>
            <w:tcW w:w="39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Series A convertible preferred stock dividends</w:t>
            </w: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0" w:type="dxa"/>
            <w:vAlign w:val="bottom"/>
          </w:tcPr>
          <w:p>
            <w:pPr>
              <w:spacing w:after="0"/>
              <w:rPr>
                <w:sz w:val="1"/>
                <w:szCs w:val="1"/>
                <w:color w:val="auto"/>
              </w:rPr>
            </w:pPr>
          </w:p>
        </w:tc>
      </w:tr>
      <w:tr>
        <w:trPr>
          <w:trHeight w:val="187"/>
        </w:trPr>
        <w:tc>
          <w:tcPr>
            <w:tcW w:w="39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March 31, 2023</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140</w:t>
            </w:r>
          </w:p>
        </w:tc>
        <w:tc>
          <w:tcPr>
            <w:tcW w:w="10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w:t>
            </w:r>
          </w:p>
        </w:tc>
        <w:tc>
          <w:tcPr>
            <w:tcW w:w="10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727</w:t>
            </w:r>
          </w:p>
        </w:tc>
        <w:tc>
          <w:tcPr>
            <w:tcW w:w="10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1,078</w:t>
            </w:r>
          </w:p>
        </w:tc>
        <w:tc>
          <w:tcPr>
            <w:tcW w:w="10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(319)</w:t>
            </w:r>
          </w:p>
        </w:tc>
        <w:tc>
          <w:tcPr>
            <w:tcW w:w="10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w:t>
            </w:r>
          </w:p>
        </w:tc>
        <w:tc>
          <w:tcPr>
            <w:tcW w:w="100" w:type="dxa"/>
            <w:vAlign w:val="bottom"/>
          </w:tcPr>
          <w:p>
            <w:pPr>
              <w:spacing w:after="0"/>
              <w:rPr>
                <w:sz w:val="16"/>
                <w:szCs w:val="16"/>
                <w:color w:val="auto"/>
              </w:rPr>
            </w:pPr>
          </w:p>
        </w:tc>
        <w:tc>
          <w:tcPr>
            <w:tcW w:w="16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1,486</w:t>
            </w:r>
          </w:p>
        </w:tc>
        <w:tc>
          <w:tcPr>
            <w:tcW w:w="0" w:type="dxa"/>
            <w:vAlign w:val="bottom"/>
          </w:tcPr>
          <w:p>
            <w:pPr>
              <w:spacing w:after="0"/>
              <w:rPr>
                <w:sz w:val="1"/>
                <w:szCs w:val="1"/>
                <w:color w:val="auto"/>
              </w:rPr>
            </w:pPr>
          </w:p>
        </w:tc>
      </w:tr>
      <w:tr>
        <w:trPr>
          <w:trHeight w:val="20"/>
        </w:trPr>
        <w:tc>
          <w:tcPr>
            <w:tcW w:w="980" w:type="dxa"/>
            <w:vAlign w:val="bottom"/>
            <w:tcBorders>
              <w:bottom w:val="single" w:sz="8" w:color="CCEEFF"/>
            </w:tcBorders>
          </w:tcPr>
          <w:p>
            <w:pPr>
              <w:spacing w:after="0" w:line="20" w:lineRule="exact"/>
              <w:rPr>
                <w:sz w:val="1"/>
                <w:szCs w:val="1"/>
                <w:color w:val="auto"/>
              </w:rPr>
            </w:pPr>
          </w:p>
        </w:tc>
        <w:tc>
          <w:tcPr>
            <w:tcW w:w="296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3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Comprehensive income:</w:t>
            </w:r>
          </w:p>
        </w:tc>
        <w:tc>
          <w:tcPr>
            <w:tcW w:w="8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394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Net income (loss)</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0" w:type="dxa"/>
            <w:vAlign w:val="bottom"/>
          </w:tcPr>
          <w:p>
            <w:pPr>
              <w:spacing w:after="0"/>
              <w:rPr>
                <w:sz w:val="1"/>
                <w:szCs w:val="1"/>
                <w:color w:val="auto"/>
              </w:rPr>
            </w:pPr>
          </w:p>
        </w:tc>
      </w:tr>
      <w:tr>
        <w:trPr>
          <w:trHeight w:val="201"/>
        </w:trPr>
        <w:tc>
          <w:tcPr>
            <w:tcW w:w="39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Other comprehensive income (loss)</w:t>
            </w: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0" w:type="dxa"/>
            <w:vAlign w:val="bottom"/>
          </w:tcPr>
          <w:p>
            <w:pPr>
              <w:spacing w:after="0"/>
              <w:rPr>
                <w:sz w:val="1"/>
                <w:szCs w:val="1"/>
                <w:color w:val="auto"/>
              </w:rPr>
            </w:pPr>
          </w:p>
        </w:tc>
      </w:tr>
      <w:tr>
        <w:trPr>
          <w:trHeight w:val="181"/>
        </w:trPr>
        <w:tc>
          <w:tcPr>
            <w:tcW w:w="394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Total comprehensive income (loss)</w:t>
            </w: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1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1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0" w:type="dxa"/>
            <w:vAlign w:val="bottom"/>
          </w:tcPr>
          <w:p>
            <w:pPr>
              <w:spacing w:after="0"/>
              <w:rPr>
                <w:sz w:val="1"/>
                <w:szCs w:val="1"/>
                <w:color w:val="auto"/>
              </w:rPr>
            </w:pPr>
          </w:p>
        </w:tc>
      </w:tr>
      <w:tr>
        <w:trPr>
          <w:trHeight w:val="201"/>
        </w:trPr>
        <w:tc>
          <w:tcPr>
            <w:tcW w:w="39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Employee stock purchase and stock compensation plans</w:t>
            </w: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w:t>
            </w:r>
          </w:p>
        </w:tc>
        <w:tc>
          <w:tcPr>
            <w:tcW w:w="0" w:type="dxa"/>
            <w:vAlign w:val="bottom"/>
          </w:tcPr>
          <w:p>
            <w:pPr>
              <w:spacing w:after="0"/>
              <w:rPr>
                <w:sz w:val="1"/>
                <w:szCs w:val="1"/>
                <w:color w:val="auto"/>
              </w:rPr>
            </w:pPr>
          </w:p>
        </w:tc>
      </w:tr>
      <w:tr>
        <w:trPr>
          <w:trHeight w:val="188"/>
        </w:trPr>
        <w:tc>
          <w:tcPr>
            <w:tcW w:w="394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Series A convertible preferred stock dividends</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0" w:type="dxa"/>
            <w:vAlign w:val="bottom"/>
          </w:tcPr>
          <w:p>
            <w:pPr>
              <w:spacing w:after="0"/>
              <w:rPr>
                <w:sz w:val="1"/>
                <w:szCs w:val="1"/>
                <w:color w:val="auto"/>
              </w:rPr>
            </w:pPr>
          </w:p>
        </w:tc>
      </w:tr>
      <w:tr>
        <w:trPr>
          <w:trHeight w:val="219"/>
        </w:trPr>
        <w:tc>
          <w:tcPr>
            <w:tcW w:w="394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June 30, 2023</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140</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770</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1,091</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(311)</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1,550</w:t>
            </w:r>
          </w:p>
        </w:tc>
        <w:tc>
          <w:tcPr>
            <w:tcW w:w="0" w:type="dxa"/>
            <w:vAlign w:val="bottom"/>
          </w:tcPr>
          <w:p>
            <w:pPr>
              <w:spacing w:after="0"/>
              <w:rPr>
                <w:sz w:val="1"/>
                <w:szCs w:val="1"/>
                <w:color w:val="auto"/>
              </w:rPr>
            </w:pPr>
          </w:p>
        </w:tc>
      </w:tr>
      <w:tr>
        <w:trPr>
          <w:trHeight w:val="20"/>
        </w:trPr>
        <w:tc>
          <w:tcPr>
            <w:tcW w:w="394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Comprehensive income:</w:t>
            </w: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4"/>
        </w:trPr>
        <w:tc>
          <w:tcPr>
            <w:tcW w:w="3940" w:type="dxa"/>
            <w:vAlign w:val="bottom"/>
            <w:gridSpan w:val="2"/>
            <w:vMerge w:val="continue"/>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1"/>
        </w:trPr>
        <w:tc>
          <w:tcPr>
            <w:tcW w:w="39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Net income (loss)</w:t>
            </w: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(129)</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(128)</w:t>
            </w:r>
          </w:p>
        </w:tc>
        <w:tc>
          <w:tcPr>
            <w:tcW w:w="0" w:type="dxa"/>
            <w:vAlign w:val="bottom"/>
          </w:tcPr>
          <w:p>
            <w:pPr>
              <w:spacing w:after="0"/>
              <w:rPr>
                <w:sz w:val="1"/>
                <w:szCs w:val="1"/>
                <w:color w:val="auto"/>
              </w:rPr>
            </w:pPr>
          </w:p>
        </w:tc>
      </w:tr>
      <w:tr>
        <w:trPr>
          <w:trHeight w:val="188"/>
        </w:trPr>
        <w:tc>
          <w:tcPr>
            <w:tcW w:w="394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Other comprehensive income (loss)</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w:t>
            </w:r>
          </w:p>
        </w:tc>
        <w:tc>
          <w:tcPr>
            <w:tcW w:w="0" w:type="dxa"/>
            <w:vAlign w:val="bottom"/>
          </w:tcPr>
          <w:p>
            <w:pPr>
              <w:spacing w:after="0"/>
              <w:rPr>
                <w:sz w:val="1"/>
                <w:szCs w:val="1"/>
                <w:color w:val="auto"/>
              </w:rPr>
            </w:pPr>
          </w:p>
        </w:tc>
      </w:tr>
      <w:tr>
        <w:trPr>
          <w:trHeight w:val="194"/>
        </w:trPr>
        <w:tc>
          <w:tcPr>
            <w:tcW w:w="3940" w:type="dxa"/>
            <w:vAlign w:val="bottom"/>
            <w:tcBorders>
              <w:top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Total comprehensive income (loss)</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(129)</w:t>
            </w:r>
          </w:p>
        </w:tc>
        <w:tc>
          <w:tcPr>
            <w:tcW w:w="1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w:t>
            </w:r>
          </w:p>
        </w:tc>
        <w:tc>
          <w:tcPr>
            <w:tcW w:w="1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(219)</w:t>
            </w:r>
          </w:p>
        </w:tc>
        <w:tc>
          <w:tcPr>
            <w:tcW w:w="0" w:type="dxa"/>
            <w:vAlign w:val="bottom"/>
          </w:tcPr>
          <w:p>
            <w:pPr>
              <w:spacing w:after="0"/>
              <w:rPr>
                <w:sz w:val="1"/>
                <w:szCs w:val="1"/>
                <w:color w:val="auto"/>
              </w:rPr>
            </w:pPr>
          </w:p>
        </w:tc>
      </w:tr>
      <w:tr>
        <w:trPr>
          <w:trHeight w:val="188"/>
        </w:trPr>
        <w:tc>
          <w:tcPr>
            <w:tcW w:w="394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Employee stock purchase and stock compensation plans</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w:t>
            </w:r>
          </w:p>
        </w:tc>
        <w:tc>
          <w:tcPr>
            <w:tcW w:w="0" w:type="dxa"/>
            <w:vAlign w:val="bottom"/>
          </w:tcPr>
          <w:p>
            <w:pPr>
              <w:spacing w:after="0"/>
              <w:rPr>
                <w:sz w:val="1"/>
                <w:szCs w:val="1"/>
                <w:color w:val="auto"/>
              </w:rPr>
            </w:pPr>
          </w:p>
        </w:tc>
      </w:tr>
      <w:tr>
        <w:trPr>
          <w:trHeight w:val="201"/>
        </w:trPr>
        <w:tc>
          <w:tcPr>
            <w:tcW w:w="39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Series A convertible preferred stock dividends</w:t>
            </w: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0" w:type="dxa"/>
            <w:vAlign w:val="bottom"/>
          </w:tcPr>
          <w:p>
            <w:pPr>
              <w:spacing w:after="0"/>
              <w:rPr>
                <w:sz w:val="1"/>
                <w:szCs w:val="1"/>
                <w:color w:val="auto"/>
              </w:rPr>
            </w:pPr>
          </w:p>
        </w:tc>
      </w:tr>
      <w:tr>
        <w:trPr>
          <w:trHeight w:val="187"/>
        </w:trPr>
        <w:tc>
          <w:tcPr>
            <w:tcW w:w="39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September 30, 2023</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141</w:t>
            </w:r>
          </w:p>
        </w:tc>
        <w:tc>
          <w:tcPr>
            <w:tcW w:w="10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w:t>
            </w:r>
          </w:p>
        </w:tc>
        <w:tc>
          <w:tcPr>
            <w:tcW w:w="10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806</w:t>
            </w:r>
          </w:p>
        </w:tc>
        <w:tc>
          <w:tcPr>
            <w:tcW w:w="10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958</w:t>
            </w:r>
          </w:p>
        </w:tc>
        <w:tc>
          <w:tcPr>
            <w:tcW w:w="10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(402)</w:t>
            </w:r>
          </w:p>
        </w:tc>
        <w:tc>
          <w:tcPr>
            <w:tcW w:w="10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6"/>
                <w:szCs w:val="16"/>
                <w:color w:val="auto"/>
              </w:rPr>
            </w:pPr>
          </w:p>
        </w:tc>
        <w:tc>
          <w:tcPr>
            <w:tcW w:w="16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1,363</w:t>
            </w: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See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3435"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7"/>
          <w:szCs w:val="17"/>
          <w:b w:val="1"/>
          <w:bCs w:val="1"/>
          <w:color w:val="auto"/>
        </w:rPr>
        <w:t>NCR Voyix Corporation</w:t>
      </w:r>
    </w:p>
    <w:p>
      <w:pPr>
        <w:spacing w:after="0" w:line="103"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 (Unaudited)</w:t>
      </w:r>
    </w:p>
    <w:p>
      <w:pPr>
        <w:spacing w:after="0" w:line="323"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7"/>
          <w:szCs w:val="17"/>
          <w:b w:val="1"/>
          <w:bCs w:val="1"/>
          <w:color w:val="auto"/>
        </w:rPr>
        <w:t>Index to Financial Statements and Supplemental Data</w:t>
      </w:r>
    </w:p>
    <w:p>
      <w:pPr>
        <w:spacing w:after="0" w:line="200" w:lineRule="exact"/>
        <w:rPr>
          <w:sz w:val="20"/>
          <w:szCs w:val="20"/>
          <w:color w:val="auto"/>
        </w:rPr>
      </w:pPr>
    </w:p>
    <w:p>
      <w:pPr>
        <w:spacing w:after="0" w:line="29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u w:val="single" w:color="auto"/>
          <w:color w:val="0000FF"/>
        </w:rPr>
        <w:t>Note 1. Basis of Presentation and Summary of Significant Accounting Policies</w:t>
      </w:r>
    </w:p>
    <w:p>
      <w:pPr>
        <w:spacing w:after="0" w:line="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u w:val="single" w:color="auto"/>
          <w:color w:val="0000FF"/>
        </w:rPr>
        <w:t>Note 2. Discontinued Operations</w:t>
      </w:r>
    </w:p>
    <w:p>
      <w:pPr>
        <w:spacing w:after="0" w:line="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u w:val="single" w:color="auto"/>
          <w:color w:val="0000FF"/>
        </w:rPr>
        <w:t>Note 3. Goodwill and Purchased Intangible Assets</w:t>
      </w:r>
    </w:p>
    <w:p>
      <w:pPr>
        <w:spacing w:after="0" w:line="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u w:val="single" w:color="auto"/>
          <w:color w:val="0000FF"/>
        </w:rPr>
        <w:t>Note 4. Segment Information and Concentrations</w:t>
      </w:r>
    </w:p>
    <w:p>
      <w:pPr>
        <w:spacing w:after="0" w:line="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u w:val="single" w:color="auto"/>
          <w:color w:val="0000FF"/>
        </w:rPr>
        <w:t>Note 5. Debt Obligations</w:t>
      </w:r>
    </w:p>
    <w:p>
      <w:pPr>
        <w:spacing w:after="0" w:line="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u w:val="single" w:color="auto"/>
          <w:color w:val="0000FF"/>
        </w:rPr>
        <w:t>Note 6. Trade Receivables Facility</w:t>
      </w:r>
    </w:p>
    <w:p>
      <w:pPr>
        <w:spacing w:after="0" w:line="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u w:val="single" w:color="auto"/>
          <w:color w:val="0000FF"/>
        </w:rPr>
        <w:t>Note 7. Income Taxes</w:t>
      </w:r>
    </w:p>
    <w:p>
      <w:pPr>
        <w:spacing w:after="0" w:line="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u w:val="single" w:color="auto"/>
          <w:color w:val="0000FF"/>
        </w:rPr>
        <w:t>Note 8. Stock Compensation Plans</w:t>
      </w:r>
    </w:p>
    <w:p>
      <w:pPr>
        <w:spacing w:after="0" w:line="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u w:val="single" w:color="auto"/>
          <w:color w:val="0000FF"/>
        </w:rPr>
        <w:t>Note 9. Employee Benefit Plans</w:t>
      </w:r>
    </w:p>
    <w:p>
      <w:pPr>
        <w:spacing w:after="0" w:line="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u w:val="single" w:color="auto"/>
          <w:color w:val="0000FF"/>
        </w:rPr>
        <w:t>Note 10. Commitments and Contingencies</w:t>
      </w:r>
    </w:p>
    <w:p>
      <w:pPr>
        <w:spacing w:after="0" w:line="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u w:val="single" w:color="auto"/>
          <w:color w:val="0000FF"/>
        </w:rPr>
        <w:t>Note 11. Series A Convertible Preferred Stock</w:t>
      </w:r>
    </w:p>
    <w:p>
      <w:pPr>
        <w:spacing w:after="0" w:line="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u w:val="single" w:color="auto"/>
          <w:color w:val="0000FF"/>
        </w:rPr>
        <w:t>Note 12. Earnings Per Share</w:t>
      </w:r>
    </w:p>
    <w:p>
      <w:pPr>
        <w:spacing w:after="0" w:line="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u w:val="single" w:color="auto"/>
          <w:color w:val="0000FF"/>
        </w:rPr>
        <w:t>Note 13. Derivatives and Hedging Instruments</w:t>
      </w:r>
    </w:p>
    <w:p>
      <w:pPr>
        <w:spacing w:after="0" w:line="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u w:val="single" w:color="auto"/>
          <w:color w:val="0000FF"/>
        </w:rPr>
        <w:t>Note 14. Fair Value of Assets and Liabilities</w:t>
      </w:r>
    </w:p>
    <w:p>
      <w:pPr>
        <w:spacing w:after="0" w:line="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u w:val="single" w:color="auto"/>
          <w:color w:val="0000FF"/>
        </w:rPr>
        <w:t>Note 15. Accumulated Other Comprehensive Income (Loss) (AOCI)</w:t>
      </w:r>
    </w:p>
    <w:p>
      <w:pPr>
        <w:spacing w:after="0" w:line="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u w:val="single" w:color="auto"/>
          <w:color w:val="0000FF"/>
        </w:rPr>
        <w:t>Note 16. Supplemental Financial Information</w:t>
      </w:r>
    </w:p>
    <w:p>
      <w:pPr>
        <w:spacing w:after="0" w:line="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u w:val="single" w:color="auto"/>
          <w:color w:val="0000FF"/>
        </w:rPr>
        <w:t>Note 17. Revised 2023 Quarterly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3435" cy="4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0139"/>
          </w:cols>
          <w:pgMar w:left="320" w:top="118" w:right="1440" w:bottom="1440" w:gutter="0" w:footer="0" w:header="0"/>
        </w:sectPr>
      </w:pPr>
    </w:p>
    <w:bookmarkStart w:id="10" w:name="page11"/>
    <w:bookmarkEnd w:id="10"/>
    <w:p>
      <w:pPr>
        <w:ind w:left="62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NCR Voyix Corporation</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 (Unaudited)—(Continued)</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 BASIS OF PRESENTATION AND SUMMARY OF SIGNIFICANT ACCOUNTING POLICIES</w:t>
      </w:r>
    </w:p>
    <w:p>
      <w:pPr>
        <w:spacing w:after="0" w:line="247"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The accompanying Condensed Consolidated Financial Statements have been prepared by NCR Voyix Corporation (“NCR Voyix”, the “Company”, “we” or “us”) without audit pursuant to the rules and regulations of the U.S. Securities and Exchange Commission (“SEC”) and, in the opinion of management, include all adjustments (consisting of normal, recurring adjustments, unless otherwise disclosed) necessary for a fair statement of the condensed consolidated results of operations, financial position, and cash flows for each period presented. The consolidated results for the interim periods are not necessarily indicative of results to be expected for the full year. The 2023 year-end Condensed Consolidated Balance Sheet was derived from audited financial statements, but does not include all disclosures required by accounting principles generally accepted in the United States (GAAP). These financial statements should be read in conjunction with the Company’s Annual Report on Form 10-K for the year ended December 31, 2023.</w:t>
      </w:r>
    </w:p>
    <w:p>
      <w:pPr>
        <w:spacing w:after="0" w:line="20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b w:val="1"/>
          <w:bCs w:val="1"/>
          <w:color w:val="auto"/>
        </w:rPr>
        <w:t xml:space="preserve">Sale of Digital Banking </w:t>
      </w:r>
      <w:r>
        <w:rPr>
          <w:rFonts w:ascii="Times New Roman" w:cs="Times New Roman" w:eastAsia="Times New Roman" w:hAnsi="Times New Roman"/>
          <w:sz w:val="17"/>
          <w:szCs w:val="17"/>
          <w:color w:val="auto"/>
        </w:rPr>
        <w:t>On August 6, 2024, the Company entered into a definitive purchase agreement with an affiliate of The Veritas Capital Fund VIII, L.P.</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(the “Buyer”) pursuant to which the Buyer agreed to purchase the Company’s Digital Banking segment businesses (the “Digital Banking Sale”). On September 30, 2024, the Company completed the Digital Banking Sale pursuant to the purchase agreement. The purchase price for the transaction was $2.45 billion in cash, subject to a post-closing adjustment, as well as contingent consideration of up to an additional $100 million in cash upon the achievement of a specified return on the Buyer’s invested capital at the time of any future sale. The Company records contingent consideration at fair value based on the consideration expected to be transferred, which was estimated to be zero as of September 30, 2024. The accounting requirements for reporting the Digital Banking Sale as a discontinued operation were met when the definitive agreement was signed. Accordingly, the financial results for Digital Banking for the three and nine months ended September 30, 2024 and 2023 are presented as net income (loss) from discontinued operations, net of tax on the Consolidated Statements of Operations. Refer to Note 2, “Discontinued Operations” for additional information. In connection with the Digital Banking Sale, the Company and the Buyer entered into certain agreements, including a transition services agreement, providing for the performance of certain services by the Company for the benefit of the Buyer for a period of time after the Digital Banking Sale.</w:t>
      </w:r>
    </w:p>
    <w:p>
      <w:pPr>
        <w:spacing w:after="0" w:line="204"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b w:val="1"/>
          <w:bCs w:val="1"/>
          <w:color w:val="auto"/>
        </w:rPr>
        <w:t xml:space="preserve">Transition of Hardware Business to ODM Model </w:t>
      </w:r>
      <w:r>
        <w:rPr>
          <w:rFonts w:ascii="Times New Roman" w:cs="Times New Roman" w:eastAsia="Times New Roman" w:hAnsi="Times New Roman"/>
          <w:sz w:val="17"/>
          <w:szCs w:val="17"/>
          <w:color w:val="auto"/>
        </w:rPr>
        <w:t>On August 6, 2024, the Company announced its entry into a commercial agreement with Ennoconn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Corporation (“Ennoconn”) to transition its self-checkout and point-of-sale hardware businesses to an outsourced design and manufacturing model including the sale of certain assets relating to these businesses (the “Hardware Business Transition”). Under the terms of the agreement, Ennoconn will design, manufacture, warrant, supply, and ship self-checkout and point-of sale hardware directly to the Company’s customers and the Company will sell hardware to its customers as a sales agent for Ennoconn and continue to provide its point-of sale and self-checkout software as well as key support and maintenance services. As a result of the Hardware Business Transition, the Company expects to record commission revenue from point-of-sale and self-checkout hardware sales as an agent for Ennoconn on a net basis, excluding the costs paid to Ennoconn. While the Company and Ennoconn are targeting January 1, 2025 to implement the new hardware model, this date is dependent upon the migration of aspects of our hardware business to Ennoconn that are not yet complete.</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Spin-off of NCR Atleos </w:t>
      </w:r>
      <w:r>
        <w:rPr>
          <w:rFonts w:ascii="Times New Roman" w:cs="Times New Roman" w:eastAsia="Times New Roman" w:hAnsi="Times New Roman"/>
          <w:sz w:val="17"/>
          <w:szCs w:val="17"/>
          <w:color w:val="auto"/>
        </w:rPr>
        <w:t>On October 16, 2023, the Company completed its separation of its ATM-focused business, including its self-service banking, payments</w:t>
      </w:r>
    </w:p>
    <w:p>
      <w:pPr>
        <w:spacing w:after="0" w:line="33" w:lineRule="exact"/>
        <w:rPr>
          <w:sz w:val="20"/>
          <w:szCs w:val="20"/>
          <w:color w:val="auto"/>
        </w:rPr>
      </w:pPr>
    </w:p>
    <w:p>
      <w:pPr>
        <w:jc w:val="both"/>
        <w:ind w:firstLine="4"/>
        <w:spacing w:after="0" w:line="256" w:lineRule="auto"/>
        <w:tabs>
          <w:tab w:leader="none" w:pos="19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network and telecommunications and technology businesses, through the spin-off of its wholly owned subsidiary, NCR Atleos Corporation (“NCR Atleos”), (the “Spin-Off”). The Spin-Off was effected through a pro rata distribution of all outstanding shares of NCR Atleos common stock to holders of NCR Voyix common stock as of the close of business on October 2, 2023 (the “record date”). The Company distributed one share of NCR Atleos common stock for every two common shares of NCR Voyix outstanding as of the record date. Shareholders received cash in lieu of fractional shares of Atleos common stock. The Spin-Off is expected to qualify as a tax-free distribution for U.S. federal income tax purposes. NCR Atleos is an independent, publicly traded company focused on providing self-directed banking solutions to a global customer base, including financial institutions, retailers and consumers, and NCR Voyix retains no ownership interest. The accounting requirements for reporting the Spin-Off of NCR Atleos as a discontinued operation were met when the separation was completed. Accordingly, the financial results for NCR Atleos for the three and nine months ended September 30, 2023 are presented as net income (loss) from discontinued operations, net of tax on the Consolidated Statements of Operations. Refer to Note 2, “Discontinued Operations” for additional information.</w:t>
      </w:r>
    </w:p>
    <w:p>
      <w:pPr>
        <w:spacing w:after="0" w:line="205"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In connection with the Spin-Off, the Company and NCR Atleos entered into various agreements to effect the Spin-Off and provide a framework for the relationship between the Company and NCR Atleos after the Spin-Off. Such agreements include the separation and distribution agreement, as well as the following ongoing agreements: a transition services agreement, tax matters agreement, employee matters agreement, patent and technology cross-license agreement, trademark license and use agreement, master services agreement and various other transaction agreements. Under these agreements, the Company</w:t>
      </w: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3435" cy="419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1" w:name="page12"/>
    <w:bookmarkEnd w:id="11"/>
    <w:p>
      <w:pPr>
        <w:ind w:left="62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NCR Voyix Corporation</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 (Unaudited)—(Continued)</w:t>
      </w:r>
    </w:p>
    <w:p>
      <w:pPr>
        <w:spacing w:after="0" w:line="200" w:lineRule="exact"/>
        <w:rPr>
          <w:sz w:val="20"/>
          <w:szCs w:val="20"/>
          <w:color w:val="auto"/>
        </w:rPr>
      </w:pPr>
    </w:p>
    <w:p>
      <w:pPr>
        <w:spacing w:after="0" w:line="221"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7"/>
          <w:szCs w:val="17"/>
          <w:color w:val="auto"/>
        </w:rPr>
        <w:t>continues to provide certain products and services to NCR Atleos following the Spin-Off and receives certain products and services from NCR Atleos following the Spin-Off.</w:t>
      </w:r>
    </w:p>
    <w:p>
      <w:pPr>
        <w:spacing w:after="0" w:line="171"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b w:val="1"/>
          <w:bCs w:val="1"/>
          <w:color w:val="auto"/>
        </w:rPr>
        <w:t xml:space="preserve">Use of Estimates </w:t>
      </w:r>
      <w:r>
        <w:rPr>
          <w:rFonts w:ascii="Times New Roman" w:cs="Times New Roman" w:eastAsia="Times New Roman" w:hAnsi="Times New Roman"/>
          <w:sz w:val="17"/>
          <w:szCs w:val="17"/>
          <w:color w:val="auto"/>
        </w:rPr>
        <w:t>The preparation of financial statements in accordance with GAAP requires management to make estimates and judgments that affect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reported amounts of assets and liabilities, the disclosure of contingent assets and liabilities at the date of the financial statements, and revenue and expenses during the period reported.</w:t>
      </w:r>
    </w:p>
    <w:p>
      <w:pPr>
        <w:spacing w:after="0" w:line="18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Although our estimates contemplate current and expected future conditions, as applicable, it is reasonably possible that actual conditions could differ from our expectations, which could materially affect our results of operations and financial position. In particular, a number of estimates have been and will continue to be affected by macroeconomic pressures and geopolitical challenges. The ultimate impact on our overall financial condition and operating results will depend on supply chain challenges and cost escalations including materials, interest, labor and freight, and any additional governmental and public actions taken in response. As a result, our accounting estimates and assumptions may change over time as a consequence of the effects of these external factors. Such changes could result in future impairments of goodwill, intangible assets, long-lived assets, incremental credit losses on accounts receivable and decreases in the carrying amount of our tax assets.</w:t>
      </w:r>
    </w:p>
    <w:p>
      <w:pPr>
        <w:spacing w:after="0" w:line="200" w:lineRule="exact"/>
        <w:rPr>
          <w:sz w:val="20"/>
          <w:szCs w:val="20"/>
          <w:color w:val="auto"/>
        </w:rPr>
      </w:pPr>
    </w:p>
    <w:p>
      <w:pPr>
        <w:spacing w:after="0" w:line="208"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b w:val="1"/>
          <w:bCs w:val="1"/>
          <w:color w:val="auto"/>
        </w:rPr>
        <w:t xml:space="preserve">Evaluation of Subsequent Events </w:t>
      </w:r>
      <w:r>
        <w:rPr>
          <w:rFonts w:ascii="Times New Roman" w:cs="Times New Roman" w:eastAsia="Times New Roman" w:hAnsi="Times New Roman"/>
          <w:sz w:val="17"/>
          <w:szCs w:val="17"/>
          <w:color w:val="auto"/>
        </w:rPr>
        <w:t>The Company evaluated subsequent events through the date that our Condensed Consolidated Financial Statements were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issued. Other than the items discussed within the Notes to the Consolidated Financial Statements, no matters were identified that required adjustment to the Condensed Consolidated Financial Statements or additional disclosure.</w:t>
      </w:r>
    </w:p>
    <w:p>
      <w:pPr>
        <w:spacing w:after="0" w:line="186"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7"/>
          <w:szCs w:val="17"/>
          <w:b w:val="1"/>
          <w:bCs w:val="1"/>
          <w:color w:val="auto"/>
        </w:rPr>
        <w:t xml:space="preserve">Reclassifications </w:t>
      </w:r>
      <w:r>
        <w:rPr>
          <w:rFonts w:ascii="Times New Roman" w:cs="Times New Roman" w:eastAsia="Times New Roman" w:hAnsi="Times New Roman"/>
          <w:sz w:val="17"/>
          <w:szCs w:val="17"/>
          <w:color w:val="auto"/>
        </w:rPr>
        <w:t>Certain prior-period amounts have been reclassified in the accompanying Condensed Consolidated Financial Statements and Notes thereto in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order to conform to the current period presentation. Reclassifications had no effect on prior year net income or stockholders’ equity.</w:t>
      </w:r>
    </w:p>
    <w:p>
      <w:pPr>
        <w:spacing w:after="0" w:line="169"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b w:val="1"/>
          <w:bCs w:val="1"/>
          <w:color w:val="auto"/>
        </w:rPr>
        <w:t xml:space="preserve">Cyber ransomware incident </w:t>
      </w:r>
      <w:r>
        <w:rPr>
          <w:rFonts w:ascii="Times New Roman" w:cs="Times New Roman" w:eastAsia="Times New Roman" w:hAnsi="Times New Roman"/>
          <w:sz w:val="17"/>
          <w:szCs w:val="17"/>
          <w:color w:val="auto"/>
        </w:rPr>
        <w:t>On April 13, 2023, the Company determined that a single data center outage impacting certain of its commerce customers was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caused by a cyber ransomware incident. Upon such determination, the Company immediately started contacting customers, enacted its cybersecurity protocol and engaged outside experts to contain the incident and begin the recovery process. The Company concluded that this incident impacted operations for some customers only with respect to specific Aloha cloud-based services and Counterpoint. Our investigation also concluded no financial reporting systems were impacted. As of September 30, 2024, the Company has incurred $46 million of expenses related to the cyber ransomware incident and has recovered $21 million under our insurance policies. As of September 30, 2024, we expect to receive an additional $6 million, which was recorded as an insurance receivable. We are still pursuing insurance recoveries for the remaining costs. We may incur additional costs relating to this incident in the future, including expenses to respond to this matter, payment of damages or other costs to customers or others. At this time we do not believe additional costs incurred as a result of the incident will ultimately have a material adverse effect on our business, results of operations or financial condition; however, we remain subject to risks and uncertainties as a result of the incident.</w:t>
      </w:r>
    </w:p>
    <w:p>
      <w:pPr>
        <w:spacing w:after="0" w:line="200" w:lineRule="exact"/>
        <w:rPr>
          <w:sz w:val="20"/>
          <w:szCs w:val="20"/>
          <w:color w:val="auto"/>
        </w:rPr>
      </w:pPr>
    </w:p>
    <w:p>
      <w:pPr>
        <w:spacing w:after="0" w:line="209"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7"/>
          <w:szCs w:val="17"/>
          <w:b w:val="1"/>
          <w:bCs w:val="1"/>
          <w:color w:val="auto"/>
        </w:rPr>
        <w:t xml:space="preserve">Out-of-period adjustments </w:t>
      </w:r>
      <w:r>
        <w:rPr>
          <w:rFonts w:ascii="Times New Roman" w:cs="Times New Roman" w:eastAsia="Times New Roman" w:hAnsi="Times New Roman"/>
          <w:sz w:val="17"/>
          <w:szCs w:val="17"/>
          <w:color w:val="auto"/>
        </w:rPr>
        <w:t>In the first quarter of 2023, the Company recorded a $10 million out-of-period adjustment to increase operating expenses and an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employee-related liability in order to correct for an understatement of such same balances during the fourth quarter of 2022.</w:t>
      </w:r>
    </w:p>
    <w:p>
      <w:pPr>
        <w:spacing w:after="0" w:line="171"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7"/>
          <w:szCs w:val="17"/>
          <w:color w:val="auto"/>
        </w:rPr>
        <w:t>In the second quarter of 2024, the Company recorded an out-of-period correction to decrease revenue by $10 million, decrease accounts receivable by $5 million, and increase contract liabilities by $5 million. The adjustment is not expected to be material to the full year results of operations for 2024.</w:t>
      </w:r>
    </w:p>
    <w:p>
      <w:pPr>
        <w:spacing w:after="0" w:line="173"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7"/>
          <w:szCs w:val="17"/>
          <w:color w:val="auto"/>
        </w:rPr>
        <w:t>During the second quarter of 2024, the Company recorded corrections related to the Spin-Off. As of December 31, 2023, total assets were understated by approximately $12 million, total liabilities were overstated by approximately $7 million, and total equity was understated by approximately $19 million, which is included in the “Spin-Off of NCR Atleos” line in the Statements of Changes in Stockholders’ Equity (Deficit).</w:t>
      </w:r>
    </w:p>
    <w:p>
      <w:pPr>
        <w:spacing w:after="0" w:line="189"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7"/>
          <w:szCs w:val="17"/>
          <w:color w:val="auto"/>
        </w:rPr>
        <w:t>In the third quarter of 2024, the Company recorded an out-of-period correction related to foreign currency to increase other expense, net by approximately $8 million, increase other current liabilities by $4 million and increase accumulated other comprehensive (loss) income by $4 million. The adjustment is not expected to be material to the full year results of operations for 2024.</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3435" cy="419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2" w:name="page13"/>
    <w:bookmarkEnd w:id="12"/>
    <w:p>
      <w:pPr>
        <w:ind w:left="62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NCR Voyix Corporation</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 (Unaudited)—(Continued)</w:t>
      </w:r>
    </w:p>
    <w:p>
      <w:pPr>
        <w:spacing w:after="0" w:line="200" w:lineRule="exact"/>
        <w:rPr>
          <w:sz w:val="20"/>
          <w:szCs w:val="20"/>
          <w:color w:val="auto"/>
        </w:rPr>
      </w:pPr>
    </w:p>
    <w:p>
      <w:pPr>
        <w:spacing w:after="0" w:line="221"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7"/>
          <w:szCs w:val="17"/>
          <w:color w:val="0F0F0F"/>
        </w:rPr>
        <w:t xml:space="preserve">The aggregation of the remaining 2024 out-of-period corrections are not expected to be material to the full year results of operations for 2024. The Company evaluated the impact of these adjustments and concluded they were not material to </w:t>
      </w:r>
      <w:r>
        <w:rPr>
          <w:rFonts w:ascii="Times New Roman" w:cs="Times New Roman" w:eastAsia="Times New Roman" w:hAnsi="Times New Roman"/>
          <w:sz w:val="17"/>
          <w:szCs w:val="17"/>
          <w:color w:val="1F1F1F"/>
        </w:rPr>
        <w:t>any</w:t>
      </w:r>
      <w:r>
        <w:rPr>
          <w:rFonts w:ascii="Times New Roman" w:cs="Times New Roman" w:eastAsia="Times New Roman" w:hAnsi="Times New Roman"/>
          <w:sz w:val="17"/>
          <w:szCs w:val="17"/>
          <w:color w:val="0F0F0F"/>
        </w:rPr>
        <w:t xml:space="preserve"> previously issued interim or annual consolidated financial statements.</w:t>
      </w:r>
    </w:p>
    <w:p>
      <w:pPr>
        <w:spacing w:after="0" w:line="171"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b w:val="1"/>
          <w:bCs w:val="1"/>
          <w:color w:val="auto"/>
        </w:rPr>
        <w:t xml:space="preserve">ACH Disbursements </w:t>
      </w:r>
      <w:r>
        <w:rPr>
          <w:rFonts w:ascii="Times New Roman" w:cs="Times New Roman" w:eastAsia="Times New Roman" w:hAnsi="Times New Roman"/>
          <w:sz w:val="17"/>
          <w:szCs w:val="17"/>
          <w:color w:val="auto"/>
        </w:rPr>
        <w:t>In February 2024, the Company identified fraudulent automated clearing house (“ACH”) disbursements from a Company bank account.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The cumulative amount of these disbursements totaled $34 million. As of September 30, 2024, the Company has recovered approximately $15 million of fraudulent disbursements from the Company’s banks and is pursuing insurance recoveries in connection with this matter.</w:t>
      </w:r>
    </w:p>
    <w:p>
      <w:pPr>
        <w:spacing w:after="0" w:line="188"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In preparing the consolidated financial statements for the year ended December 31, 2023, the Company identified incorrectly recorded ACH disbursements for the quarterly periods ending March 31, 2023, June 30, 2023 and September 30, 2023 in an accounts receivable clearing account instead of as operating expenses. The Company evaluated the impact of these errors and concluded that they were not material to any previously issued financial statements. As a result of these errors, the Company has made adjustments to the prior period amounts presented in these financial statements. The impact of the revisions to the three and nine month periods ended September 30, 2023 are presented in Note 17, “Revised 2023 Quarterly Financial Statements”.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Cash, Cash Equivalents, and Restricted Cash </w:t>
      </w:r>
      <w:r>
        <w:rPr>
          <w:rFonts w:ascii="Times New Roman" w:cs="Times New Roman" w:eastAsia="Times New Roman" w:hAnsi="Times New Roman"/>
          <w:sz w:val="17"/>
          <w:szCs w:val="17"/>
          <w:color w:val="auto"/>
        </w:rPr>
        <w:t>The reconciliation of cash, cash equivalents and restricted cash in the Condensed Consolidated Statements of</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Cash Flows is as follows:</w:t>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5080" w:type="dxa"/>
            <w:vAlign w:val="bottom"/>
          </w:tcPr>
          <w:p>
            <w:pPr>
              <w:spacing w:after="0"/>
              <w:rPr>
                <w:sz w:val="15"/>
                <w:szCs w:val="15"/>
                <w:color w:val="auto"/>
              </w:rPr>
            </w:pPr>
          </w:p>
        </w:tc>
        <w:tc>
          <w:tcPr>
            <w:tcW w:w="3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5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5080" w:type="dxa"/>
            <w:vAlign w:val="bottom"/>
          </w:tcPr>
          <w:p>
            <w:pPr>
              <w:spacing w:after="0" w:line="20" w:lineRule="exact"/>
              <w:rPr>
                <w:sz w:val="1"/>
                <w:szCs w:val="1"/>
                <w:color w:val="auto"/>
              </w:rPr>
            </w:pPr>
          </w:p>
        </w:tc>
        <w:tc>
          <w:tcPr>
            <w:tcW w:w="3460" w:type="dxa"/>
            <w:vAlign w:val="bottom"/>
            <w:gridSpan w:val="2"/>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50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346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8"/>
              </w:rPr>
              <w:t>Balance Sheet Location</w:t>
            </w:r>
          </w:p>
        </w:tc>
        <w:tc>
          <w:tcPr>
            <w:tcW w:w="280" w:type="dxa"/>
            <w:vAlign w:val="bottom"/>
          </w:tcPr>
          <w:p>
            <w:pPr>
              <w:spacing w:after="0"/>
              <w:rPr>
                <w:sz w:val="18"/>
                <w:szCs w:val="18"/>
                <w:color w:val="auto"/>
              </w:rPr>
            </w:pPr>
          </w:p>
        </w:tc>
        <w:tc>
          <w:tcPr>
            <w:tcW w:w="900" w:type="dxa"/>
            <w:vAlign w:val="bottom"/>
          </w:tcPr>
          <w:p>
            <w:pPr>
              <w:jc w:val="right"/>
              <w:ind w:right="377"/>
              <w:spacing w:after="0"/>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3"/>
        </w:trPr>
        <w:tc>
          <w:tcPr>
            <w:tcW w:w="5080" w:type="dxa"/>
            <w:vAlign w:val="bottom"/>
            <w:tcBorders>
              <w:bottom w:val="single" w:sz="8" w:color="CCEEFF"/>
            </w:tcBorders>
          </w:tcPr>
          <w:p>
            <w:pPr>
              <w:spacing w:after="0" w:line="20" w:lineRule="exact"/>
              <w:rPr>
                <w:sz w:val="1"/>
                <w:szCs w:val="1"/>
                <w:color w:val="auto"/>
              </w:rPr>
            </w:pPr>
          </w:p>
        </w:tc>
        <w:tc>
          <w:tcPr>
            <w:tcW w:w="33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3"/>
        </w:trPr>
        <w:tc>
          <w:tcPr>
            <w:tcW w:w="5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Cash and cash equivalents</w:t>
            </w:r>
          </w:p>
        </w:tc>
        <w:tc>
          <w:tcPr>
            <w:tcW w:w="3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Cash and cash equivalents</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795</w:t>
            </w: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294"/>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675</w:t>
            </w:r>
          </w:p>
        </w:tc>
        <w:tc>
          <w:tcPr>
            <w:tcW w:w="0" w:type="dxa"/>
            <w:vAlign w:val="bottom"/>
          </w:tcPr>
          <w:p>
            <w:pPr>
              <w:spacing w:after="0"/>
              <w:rPr>
                <w:sz w:val="1"/>
                <w:szCs w:val="1"/>
                <w:color w:val="auto"/>
              </w:rPr>
            </w:pPr>
          </w:p>
        </w:tc>
      </w:tr>
      <w:tr>
        <w:trPr>
          <w:trHeight w:val="220"/>
        </w:trPr>
        <w:tc>
          <w:tcPr>
            <w:tcW w:w="50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Short term restricted cash</w:t>
            </w:r>
          </w:p>
        </w:tc>
        <w:tc>
          <w:tcPr>
            <w:tcW w:w="3460" w:type="dxa"/>
            <w:vAlign w:val="bottom"/>
            <w:gridSpan w:val="2"/>
          </w:tcPr>
          <w:p>
            <w:pPr>
              <w:jc w:val="center"/>
              <w:ind w:right="160"/>
              <w:spacing w:after="0"/>
              <w:rPr>
                <w:sz w:val="20"/>
                <w:szCs w:val="20"/>
                <w:color w:val="auto"/>
              </w:rPr>
            </w:pPr>
            <w:r>
              <w:rPr>
                <w:rFonts w:ascii="Times New Roman" w:cs="Times New Roman" w:eastAsia="Times New Roman" w:hAnsi="Times New Roman"/>
                <w:sz w:val="17"/>
                <w:szCs w:val="17"/>
                <w:color w:val="auto"/>
              </w:rPr>
              <w:t>Restricted cash, current</w:t>
            </w:r>
          </w:p>
        </w:tc>
        <w:tc>
          <w:tcPr>
            <w:tcW w:w="280" w:type="dxa"/>
            <w:vAlign w:val="bottom"/>
          </w:tcPr>
          <w:p>
            <w:pPr>
              <w:spacing w:after="0"/>
              <w:rPr>
                <w:sz w:val="19"/>
                <w:szCs w:val="19"/>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b w:val="1"/>
                <w:bCs w:val="1"/>
                <w:color w:val="auto"/>
              </w:rPr>
              <w:t>—</w:t>
            </w:r>
          </w:p>
        </w:tc>
        <w:tc>
          <w:tcPr>
            <w:tcW w:w="4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w:t>
            </w:r>
          </w:p>
        </w:tc>
        <w:tc>
          <w:tcPr>
            <w:tcW w:w="0" w:type="dxa"/>
            <w:vAlign w:val="bottom"/>
          </w:tcPr>
          <w:p>
            <w:pPr>
              <w:spacing w:after="0"/>
              <w:rPr>
                <w:sz w:val="1"/>
                <w:szCs w:val="1"/>
                <w:color w:val="auto"/>
              </w:rPr>
            </w:pPr>
          </w:p>
        </w:tc>
      </w:tr>
      <w:tr>
        <w:trPr>
          <w:trHeight w:val="220"/>
        </w:trPr>
        <w:tc>
          <w:tcPr>
            <w:tcW w:w="5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Long term restricted cash</w:t>
            </w:r>
          </w:p>
        </w:tc>
        <w:tc>
          <w:tcPr>
            <w:tcW w:w="346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7"/>
                <w:szCs w:val="17"/>
                <w:color w:val="auto"/>
              </w:rPr>
              <w:t>Other assets</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4</w:t>
            </w:r>
          </w:p>
        </w:tc>
        <w:tc>
          <w:tcPr>
            <w:tcW w:w="1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2,068</w:t>
            </w:r>
          </w:p>
        </w:tc>
        <w:tc>
          <w:tcPr>
            <w:tcW w:w="0" w:type="dxa"/>
            <w:vAlign w:val="bottom"/>
          </w:tcPr>
          <w:p>
            <w:pPr>
              <w:spacing w:after="0"/>
              <w:rPr>
                <w:sz w:val="1"/>
                <w:szCs w:val="1"/>
                <w:color w:val="auto"/>
              </w:rPr>
            </w:pPr>
          </w:p>
        </w:tc>
      </w:tr>
      <w:tr>
        <w:trPr>
          <w:trHeight w:val="220"/>
        </w:trPr>
        <w:tc>
          <w:tcPr>
            <w:tcW w:w="50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7"/>
                <w:szCs w:val="17"/>
                <w:color w:val="auto"/>
              </w:rPr>
              <w:t>Cash included in settlement processing assets</w:t>
            </w:r>
          </w:p>
        </w:tc>
        <w:tc>
          <w:tcPr>
            <w:tcW w:w="3460" w:type="dxa"/>
            <w:vAlign w:val="bottom"/>
            <w:tcBorders>
              <w:bottom w:val="single" w:sz="8" w:color="CCEEFF"/>
            </w:tcBorders>
            <w:gridSpan w:val="2"/>
          </w:tcPr>
          <w:p>
            <w:pPr>
              <w:jc w:val="center"/>
              <w:ind w:right="160"/>
              <w:spacing w:after="0"/>
              <w:rPr>
                <w:sz w:val="20"/>
                <w:szCs w:val="20"/>
                <w:color w:val="auto"/>
              </w:rPr>
            </w:pPr>
            <w:r>
              <w:rPr>
                <w:rFonts w:ascii="Times New Roman" w:cs="Times New Roman" w:eastAsia="Times New Roman" w:hAnsi="Times New Roman"/>
                <w:sz w:val="17"/>
                <w:szCs w:val="17"/>
                <w:color w:val="auto"/>
              </w:rPr>
              <w:t>Restricted cash, current</w:t>
            </w: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26</w:t>
            </w:r>
          </w:p>
        </w:tc>
        <w:tc>
          <w:tcPr>
            <w:tcW w:w="16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240</w:t>
            </w:r>
          </w:p>
        </w:tc>
        <w:tc>
          <w:tcPr>
            <w:tcW w:w="0" w:type="dxa"/>
            <w:vAlign w:val="bottom"/>
          </w:tcPr>
          <w:p>
            <w:pPr>
              <w:spacing w:after="0"/>
              <w:rPr>
                <w:sz w:val="1"/>
                <w:szCs w:val="1"/>
                <w:color w:val="auto"/>
              </w:rPr>
            </w:pPr>
          </w:p>
        </w:tc>
      </w:tr>
      <w:tr>
        <w:trPr>
          <w:trHeight w:val="213"/>
        </w:trPr>
        <w:tc>
          <w:tcPr>
            <w:tcW w:w="5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Total cash, cash equivalents and restricted cash</w:t>
            </w:r>
          </w:p>
        </w:tc>
        <w:tc>
          <w:tcPr>
            <w:tcW w:w="3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825</w:t>
            </w:r>
          </w:p>
        </w:tc>
        <w:tc>
          <w:tcPr>
            <w:tcW w:w="16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ind w:right="294"/>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3,013</w:t>
            </w:r>
          </w:p>
        </w:tc>
        <w:tc>
          <w:tcPr>
            <w:tcW w:w="0" w:type="dxa"/>
            <w:vAlign w:val="bottom"/>
          </w:tcPr>
          <w:p>
            <w:pPr>
              <w:spacing w:after="0"/>
              <w:rPr>
                <w:sz w:val="1"/>
                <w:szCs w:val="1"/>
                <w:color w:val="auto"/>
              </w:rPr>
            </w:pPr>
          </w:p>
        </w:tc>
      </w:tr>
      <w:tr>
        <w:trPr>
          <w:trHeight w:val="213"/>
        </w:trPr>
        <w:tc>
          <w:tcPr>
            <w:tcW w:w="5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Cash, cash equivalents and restricted cash of discontinued operations</w:t>
            </w:r>
          </w:p>
        </w:tc>
        <w:tc>
          <w:tcPr>
            <w:tcW w:w="332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16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2,704</w:t>
            </w:r>
          </w:p>
        </w:tc>
        <w:tc>
          <w:tcPr>
            <w:tcW w:w="0" w:type="dxa"/>
            <w:vAlign w:val="bottom"/>
          </w:tcPr>
          <w:p>
            <w:pPr>
              <w:spacing w:after="0"/>
              <w:rPr>
                <w:sz w:val="1"/>
                <w:szCs w:val="1"/>
                <w:color w:val="auto"/>
              </w:rPr>
            </w:pPr>
          </w:p>
        </w:tc>
      </w:tr>
      <w:tr>
        <w:trPr>
          <w:trHeight w:val="149"/>
        </w:trPr>
        <w:tc>
          <w:tcPr>
            <w:tcW w:w="508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7"/>
                <w:szCs w:val="17"/>
                <w:b w:val="1"/>
                <w:bCs w:val="1"/>
                <w:color w:val="auto"/>
              </w:rPr>
              <w:t>Total cash, cash equivalents and restricted cash of continuing</w:t>
            </w:r>
          </w:p>
        </w:tc>
        <w:tc>
          <w:tcPr>
            <w:tcW w:w="33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80" w:type="dxa"/>
            <w:vAlign w:val="bottom"/>
            <w:vMerge w:val="restart"/>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825</w:t>
            </w:r>
          </w:p>
        </w:tc>
        <w:tc>
          <w:tcPr>
            <w:tcW w:w="160" w:type="dxa"/>
            <w:vAlign w:val="bottom"/>
            <w:shd w:val="clear" w:color="auto" w:fill="CCEEFF"/>
          </w:tcPr>
          <w:p>
            <w:pPr>
              <w:spacing w:after="0"/>
              <w:rPr>
                <w:sz w:val="12"/>
                <w:szCs w:val="12"/>
                <w:color w:val="auto"/>
              </w:rPr>
            </w:pPr>
          </w:p>
        </w:tc>
        <w:tc>
          <w:tcPr>
            <w:tcW w:w="480" w:type="dxa"/>
            <w:vAlign w:val="bottom"/>
            <w:vMerge w:val="restart"/>
            <w:shd w:val="clear" w:color="auto" w:fill="CCEEFF"/>
          </w:tcPr>
          <w:p>
            <w:pPr>
              <w:jc w:val="right"/>
              <w:ind w:right="294"/>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309</w:t>
            </w:r>
          </w:p>
        </w:tc>
        <w:tc>
          <w:tcPr>
            <w:tcW w:w="0" w:type="dxa"/>
            <w:vAlign w:val="bottom"/>
          </w:tcPr>
          <w:p>
            <w:pPr>
              <w:spacing w:after="0"/>
              <w:rPr>
                <w:sz w:val="1"/>
                <w:szCs w:val="1"/>
                <w:color w:val="auto"/>
              </w:rPr>
            </w:pPr>
          </w:p>
        </w:tc>
      </w:tr>
      <w:tr>
        <w:trPr>
          <w:trHeight w:val="130"/>
        </w:trPr>
        <w:tc>
          <w:tcPr>
            <w:tcW w:w="508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operations</w:t>
            </w:r>
          </w:p>
        </w:tc>
        <w:tc>
          <w:tcPr>
            <w:tcW w:w="33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80" w:type="dxa"/>
            <w:vAlign w:val="bottom"/>
            <w:vMerge w:val="continue"/>
            <w:shd w:val="clear" w:color="auto" w:fill="CCEEFF"/>
          </w:tcPr>
          <w:p>
            <w:pPr>
              <w:spacing w:after="0"/>
              <w:rPr>
                <w:sz w:val="11"/>
                <w:szCs w:val="11"/>
                <w:color w:val="auto"/>
              </w:rPr>
            </w:pPr>
          </w:p>
        </w:tc>
        <w:tc>
          <w:tcPr>
            <w:tcW w:w="900" w:type="dxa"/>
            <w:vAlign w:val="bottom"/>
            <w:vMerge w:val="continue"/>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80" w:type="dxa"/>
            <w:vAlign w:val="bottom"/>
            <w:vMerge w:val="continue"/>
            <w:shd w:val="clear" w:color="auto" w:fill="CCEEFF"/>
          </w:tcPr>
          <w:p>
            <w:pPr>
              <w:spacing w:after="0"/>
              <w:rPr>
                <w:sz w:val="11"/>
                <w:szCs w:val="11"/>
                <w:color w:val="auto"/>
              </w:rPr>
            </w:pPr>
          </w:p>
        </w:tc>
        <w:tc>
          <w:tcPr>
            <w:tcW w:w="880" w:type="dxa"/>
            <w:vAlign w:val="bottom"/>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5080" w:type="dxa"/>
            <w:vAlign w:val="bottom"/>
            <w:tcBorders>
              <w:bottom w:val="single" w:sz="8" w:color="CCEEFF"/>
            </w:tcBorders>
            <w:vMerge w:val="continue"/>
            <w:shd w:val="clear" w:color="auto" w:fill="CCEEFF"/>
          </w:tcPr>
          <w:p>
            <w:pPr>
              <w:spacing w:after="0"/>
              <w:rPr>
                <w:sz w:val="8"/>
                <w:szCs w:val="8"/>
                <w:color w:val="auto"/>
              </w:rPr>
            </w:pPr>
          </w:p>
        </w:tc>
        <w:tc>
          <w:tcPr>
            <w:tcW w:w="3320" w:type="dxa"/>
            <w:vAlign w:val="bottom"/>
            <w:tcBorders>
              <w:bottom w:val="single" w:sz="8" w:color="CCEEFF"/>
            </w:tcBorders>
            <w:shd w:val="clear" w:color="auto" w:fill="CCEEFF"/>
          </w:tcPr>
          <w:p>
            <w:pPr>
              <w:spacing w:after="0"/>
              <w:rPr>
                <w:sz w:val="8"/>
                <w:szCs w:val="8"/>
                <w:color w:val="auto"/>
              </w:rPr>
            </w:pPr>
          </w:p>
        </w:tc>
        <w:tc>
          <w:tcPr>
            <w:tcW w:w="140" w:type="dxa"/>
            <w:vAlign w:val="bottom"/>
            <w:tcBorders>
              <w:bottom w:val="single" w:sz="8" w:color="CCEEFF"/>
            </w:tcBorders>
            <w:shd w:val="clear" w:color="auto" w:fill="CCEEFF"/>
          </w:tcPr>
          <w:p>
            <w:pPr>
              <w:spacing w:after="0"/>
              <w:rPr>
                <w:sz w:val="8"/>
                <w:szCs w:val="8"/>
                <w:color w:val="auto"/>
              </w:rPr>
            </w:pPr>
          </w:p>
        </w:tc>
        <w:tc>
          <w:tcPr>
            <w:tcW w:w="280" w:type="dxa"/>
            <w:vAlign w:val="bottom"/>
            <w:tcBorders>
              <w:bottom w:val="single" w:sz="8" w:color="auto"/>
            </w:tcBorders>
            <w:shd w:val="clear" w:color="auto" w:fill="CCEEFF"/>
          </w:tcPr>
          <w:p>
            <w:pPr>
              <w:spacing w:after="0"/>
              <w:rPr>
                <w:sz w:val="8"/>
                <w:szCs w:val="8"/>
                <w:color w:val="auto"/>
              </w:rPr>
            </w:pPr>
          </w:p>
        </w:tc>
        <w:tc>
          <w:tcPr>
            <w:tcW w:w="900" w:type="dxa"/>
            <w:vAlign w:val="bottom"/>
            <w:tcBorders>
              <w:bottom w:val="single" w:sz="8" w:color="auto"/>
            </w:tcBorders>
            <w:shd w:val="clear" w:color="auto" w:fill="CCEEFF"/>
          </w:tcPr>
          <w:p>
            <w:pPr>
              <w:spacing w:after="0"/>
              <w:rPr>
                <w:sz w:val="8"/>
                <w:szCs w:val="8"/>
                <w:color w:val="auto"/>
              </w:rPr>
            </w:pPr>
          </w:p>
        </w:tc>
        <w:tc>
          <w:tcPr>
            <w:tcW w:w="160" w:type="dxa"/>
            <w:vAlign w:val="bottom"/>
            <w:tcBorders>
              <w:bottom w:val="single" w:sz="8" w:color="CCEEFF"/>
            </w:tcBorders>
            <w:shd w:val="clear" w:color="auto" w:fill="CCEEFF"/>
          </w:tcPr>
          <w:p>
            <w:pPr>
              <w:spacing w:after="0"/>
              <w:rPr>
                <w:sz w:val="8"/>
                <w:szCs w:val="8"/>
                <w:color w:val="auto"/>
              </w:rPr>
            </w:pPr>
          </w:p>
        </w:tc>
        <w:tc>
          <w:tcPr>
            <w:tcW w:w="480" w:type="dxa"/>
            <w:vAlign w:val="bottom"/>
            <w:tcBorders>
              <w:bottom w:val="single" w:sz="8" w:color="auto"/>
            </w:tcBorders>
            <w:shd w:val="clear" w:color="auto" w:fill="CCEEFF"/>
          </w:tcPr>
          <w:p>
            <w:pPr>
              <w:spacing w:after="0"/>
              <w:rPr>
                <w:sz w:val="8"/>
                <w:szCs w:val="8"/>
                <w:color w:val="auto"/>
              </w:rPr>
            </w:pPr>
          </w:p>
        </w:tc>
        <w:tc>
          <w:tcPr>
            <w:tcW w:w="880" w:type="dxa"/>
            <w:vAlign w:val="bottom"/>
            <w:tcBorders>
              <w:bottom w:val="single" w:sz="8" w:color="auto"/>
            </w:tcBorders>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5080" w:type="dxa"/>
            <w:vAlign w:val="bottom"/>
            <w:tcBorders>
              <w:top w:val="single" w:sz="8" w:color="CCEEFF"/>
            </w:tcBorders>
          </w:tcPr>
          <w:p>
            <w:pPr>
              <w:spacing w:after="0" w:line="20" w:lineRule="exact"/>
              <w:rPr>
                <w:sz w:val="1"/>
                <w:szCs w:val="1"/>
                <w:color w:val="auto"/>
              </w:rPr>
            </w:pPr>
          </w:p>
        </w:tc>
        <w:tc>
          <w:tcPr>
            <w:tcW w:w="33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Contract Assets and Liabilities </w:t>
      </w:r>
      <w:r>
        <w:rPr>
          <w:rFonts w:ascii="Times New Roman" w:cs="Times New Roman" w:eastAsia="Times New Roman" w:hAnsi="Times New Roman"/>
          <w:sz w:val="17"/>
          <w:szCs w:val="17"/>
          <w:color w:val="auto"/>
        </w:rPr>
        <w:t>The following table presents the net contract liability balances as of September 30, 2024 and December 31, 2023.</w:t>
      </w:r>
    </w:p>
    <w:p>
      <w:pPr>
        <w:spacing w:after="0" w:line="119"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53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48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8"/>
              </w:rPr>
              <w:t>Location in the Condensed</w:t>
            </w:r>
          </w:p>
        </w:tc>
        <w:tc>
          <w:tcPr>
            <w:tcW w:w="160" w:type="dxa"/>
            <w:vAlign w:val="bottom"/>
          </w:tcPr>
          <w:p>
            <w:pPr>
              <w:spacing w:after="0"/>
              <w:rPr>
                <w:sz w:val="13"/>
                <w:szCs w:val="13"/>
                <w:color w:val="auto"/>
              </w:rPr>
            </w:pPr>
          </w:p>
        </w:tc>
        <w:tc>
          <w:tcPr>
            <w:tcW w:w="154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180" w:type="dxa"/>
            <w:vAlign w:val="bottom"/>
          </w:tcPr>
          <w:p>
            <w:pPr>
              <w:spacing w:after="0"/>
              <w:rPr>
                <w:sz w:val="13"/>
                <w:szCs w:val="13"/>
                <w:color w:val="auto"/>
              </w:rPr>
            </w:pPr>
          </w:p>
        </w:tc>
        <w:tc>
          <w:tcPr>
            <w:tcW w:w="1460" w:type="dxa"/>
            <w:vAlign w:val="bottom"/>
            <w:vMerge w:val="restart"/>
          </w:tcPr>
          <w:p>
            <w:pPr>
              <w:jc w:val="right"/>
              <w:ind w:right="199"/>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0" w:type="dxa"/>
            <w:vAlign w:val="bottom"/>
          </w:tcPr>
          <w:p>
            <w:pPr>
              <w:spacing w:after="0"/>
              <w:rPr>
                <w:sz w:val="1"/>
                <w:szCs w:val="1"/>
                <w:color w:val="auto"/>
              </w:rPr>
            </w:pPr>
          </w:p>
        </w:tc>
      </w:tr>
      <w:tr>
        <w:trPr>
          <w:trHeight w:val="188"/>
        </w:trPr>
        <w:tc>
          <w:tcPr>
            <w:tcW w:w="5320" w:type="dxa"/>
            <w:vAlign w:val="bottom"/>
            <w:vMerge w:val="continue"/>
          </w:tcPr>
          <w:p>
            <w:pPr>
              <w:spacing w:after="0"/>
              <w:rPr>
                <w:sz w:val="16"/>
                <w:szCs w:val="16"/>
                <w:color w:val="auto"/>
              </w:rPr>
            </w:pPr>
          </w:p>
        </w:tc>
        <w:tc>
          <w:tcPr>
            <w:tcW w:w="24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8"/>
              </w:rPr>
              <w:t>Consolidated Balance Sheet</w:t>
            </w:r>
          </w:p>
        </w:tc>
        <w:tc>
          <w:tcPr>
            <w:tcW w:w="160" w:type="dxa"/>
            <w:vAlign w:val="bottom"/>
          </w:tcPr>
          <w:p>
            <w:pPr>
              <w:spacing w:after="0"/>
              <w:rPr>
                <w:sz w:val="16"/>
                <w:szCs w:val="16"/>
                <w:color w:val="auto"/>
              </w:rPr>
            </w:pPr>
          </w:p>
        </w:tc>
        <w:tc>
          <w:tcPr>
            <w:tcW w:w="154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4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53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Current portion of contract liabilities</w:t>
            </w:r>
          </w:p>
        </w:tc>
        <w:tc>
          <w:tcPr>
            <w:tcW w:w="23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Contract liabilities</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186</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157</w:t>
            </w:r>
          </w:p>
        </w:tc>
        <w:tc>
          <w:tcPr>
            <w:tcW w:w="0" w:type="dxa"/>
            <w:vAlign w:val="bottom"/>
          </w:tcPr>
          <w:p>
            <w:pPr>
              <w:spacing w:after="0"/>
              <w:rPr>
                <w:sz w:val="1"/>
                <w:szCs w:val="1"/>
                <w:color w:val="auto"/>
              </w:rPr>
            </w:pPr>
          </w:p>
        </w:tc>
      </w:tr>
      <w:tr>
        <w:trPr>
          <w:trHeight w:val="228"/>
        </w:trPr>
        <w:tc>
          <w:tcPr>
            <w:tcW w:w="53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Non-current portion of contract liabilities</w:t>
            </w:r>
          </w:p>
        </w:tc>
        <w:tc>
          <w:tcPr>
            <w:tcW w:w="24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Other liabilities</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13</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w:t>
            </w: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7"/>
          <w:szCs w:val="17"/>
          <w:color w:val="auto"/>
        </w:rPr>
        <w:t>During the nine months ended September 30, 2024, the Company recognized $131 million in revenue that was included in contract liabilities as of December 31, 2023. During the nine months ended September 30, 2023, the Company recognized $159 million in revenue that was included in contract liabilities as of December 31, 2022.</w:t>
      </w:r>
    </w:p>
    <w:p>
      <w:pPr>
        <w:spacing w:after="0" w:line="18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b w:val="1"/>
          <w:bCs w:val="1"/>
          <w:color w:val="auto"/>
        </w:rPr>
        <w:t xml:space="preserve">Remaining Performance Obligations </w:t>
      </w:r>
      <w:r>
        <w:rPr>
          <w:rFonts w:ascii="Times New Roman" w:cs="Times New Roman" w:eastAsia="Times New Roman" w:hAnsi="Times New Roman"/>
          <w:sz w:val="17"/>
          <w:szCs w:val="17"/>
          <w:color w:val="auto"/>
        </w:rPr>
        <w:t>Remaining performance obligations represent the transaction price of orders for which products have not been delivered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or services have not been performed. As of September 30, 2024, the aggregate amount of the transaction price allocated to remaining performance obligations was approximately $946 million. The Company expects to recognize revenue on over approximately three-quarters of the remaining performance obligations over the next 12 months, with the remainder recognized thereafter. The majority of our professional services are expected to be recognized over the next 12 months but this is contingent upon a number of factors, including customers’ needs and schedules.</w:t>
      </w:r>
    </w:p>
    <w:p>
      <w:pPr>
        <w:spacing w:after="0" w:line="197"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The Company has made three elections that affect the value of remaining performance obligations described above. We do not disclose remaining performance obligations for contracts where variable consideration is directly allocated based on usage or when the original expected duration is one year or less. Additionally, we do not disclose remaining performance obligations for contracts where we recognize revenue from the satisfaction of the performance obligation in accordance with the ‘right to invoice’ practical expedient.</w:t>
      </w: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3435" cy="419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3" w:name="page14"/>
    <w:bookmarkEnd w:id="13"/>
    <w:p>
      <w:pPr>
        <w:ind w:left="62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NCR Voyix Corporation</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 (Unaudited)—(Continued)</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7"/>
          <w:szCs w:val="17"/>
          <w:b w:val="1"/>
          <w:bCs w:val="1"/>
          <w:color w:val="auto"/>
        </w:rPr>
        <w:t xml:space="preserve">Capitalized Software </w:t>
      </w:r>
      <w:r>
        <w:rPr>
          <w:rFonts w:ascii="Times New Roman" w:cs="Times New Roman" w:eastAsia="Times New Roman" w:hAnsi="Times New Roman"/>
          <w:sz w:val="17"/>
          <w:szCs w:val="17"/>
          <w:color w:val="auto"/>
        </w:rPr>
        <w:t>Capitalized development costs for internal-use software and software that will be sold, leased or otherwise marketed were $311 million and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$317 million as of September 30, 2024 and December 31, 2023, respectively, presented within Other assets on the Condensed Consolidated Balance Sheets.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Recent Accounting Pronouncements</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Accounting Pronouncements Issued But Not Yet Adopted</w:t>
      </w:r>
    </w:p>
    <w:p>
      <w:pPr>
        <w:spacing w:after="0" w:line="245"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 xml:space="preserve">In November 2023, the FASB issued ASU 2023-07, </w:t>
      </w:r>
      <w:r>
        <w:rPr>
          <w:rFonts w:ascii="Times New Roman" w:cs="Times New Roman" w:eastAsia="Times New Roman" w:hAnsi="Times New Roman"/>
          <w:sz w:val="17"/>
          <w:szCs w:val="17"/>
          <w:i w:val="1"/>
          <w:iCs w:val="1"/>
          <w:color w:val="auto"/>
        </w:rPr>
        <w:t>Segment Reporting (Topic 280): Improvements to Reportable Segment Disclosures</w:t>
      </w:r>
      <w:r>
        <w:rPr>
          <w:rFonts w:ascii="Times New Roman" w:cs="Times New Roman" w:eastAsia="Times New Roman" w:hAnsi="Times New Roman"/>
          <w:sz w:val="17"/>
          <w:szCs w:val="17"/>
          <w:color w:val="auto"/>
        </w:rPr>
        <w:t>. The amendment enhances disclosures of significant segment expenses by requiring disclosure of significant segment expenses regularly provided to the chief operating decision maker (“CODM”), extend certain annual disclosures to interim periods, and permit more than one measure of segment profit or loss to be reported under certain conditions. The amendment is effective for the Company in fiscal years beginning after December 15, 2023, and interim periods within fiscal years beginning after December 15, 2024. Early adoption of the amendment is permitted, including adoption in any interim periods for which financial statements have not been issued. The Company plans to adopt ASU 2023-07 and conform to the applicable disclosure retrospectively when it becomes effective for the Annual Report on Form 10-K for the year ending December 31, 2024. Other than the new disclosure requirements, the adoption of this guidance will not have a significant impact on the Company’s consolidated financial statements.</w:t>
      </w:r>
    </w:p>
    <w:p>
      <w:pPr>
        <w:spacing w:after="0" w:line="199"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 xml:space="preserve">In December 2023, the FASB issued ASU 2023-09, </w:t>
      </w:r>
      <w:r>
        <w:rPr>
          <w:rFonts w:ascii="Times New Roman" w:cs="Times New Roman" w:eastAsia="Times New Roman" w:hAnsi="Times New Roman"/>
          <w:sz w:val="17"/>
          <w:szCs w:val="17"/>
          <w:i w:val="1"/>
          <w:iCs w:val="1"/>
          <w:color w:val="auto"/>
        </w:rPr>
        <w:t>Income Taxes (Topic 740): Improvements to Income Tax Disclosures</w:t>
      </w:r>
      <w:r>
        <w:rPr>
          <w:rFonts w:ascii="Times New Roman" w:cs="Times New Roman" w:eastAsia="Times New Roman" w:hAnsi="Times New Roman"/>
          <w:sz w:val="17"/>
          <w:szCs w:val="17"/>
          <w:color w:val="auto"/>
        </w:rPr>
        <w:t>. This guidance requires disclosure of specific categories in the rate reconciliation and provides additional information for reconciling items that meet a specified quantitative threshold. The guidance is effective for fiscal years beginning after December 15, 2024, with early adoption permitted. The Company is in the process of assessing the impact the adoption of this guidance will have on the Company’s financial statement disclosures.</w:t>
      </w:r>
    </w:p>
    <w:p>
      <w:pPr>
        <w:spacing w:after="0" w:line="193"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 xml:space="preserve">In November 2024, the FASB issued ASU 2024-03, </w:t>
      </w:r>
      <w:r>
        <w:rPr>
          <w:rFonts w:ascii="Times New Roman" w:cs="Times New Roman" w:eastAsia="Times New Roman" w:hAnsi="Times New Roman"/>
          <w:sz w:val="17"/>
          <w:szCs w:val="17"/>
          <w:i w:val="1"/>
          <w:iCs w:val="1"/>
          <w:color w:val="auto"/>
        </w:rPr>
        <w:t>Income Statement – Reporting Comprehensive Income – Expense Disaggregation Disclosures (Topic 220):</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Disaggregation of Income Statement Expenses</w:t>
      </w:r>
      <w:r>
        <w:rPr>
          <w:rFonts w:ascii="Times New Roman" w:cs="Times New Roman" w:eastAsia="Times New Roman" w:hAnsi="Times New Roman"/>
          <w:sz w:val="17"/>
          <w:szCs w:val="17"/>
          <w:color w:val="auto"/>
        </w:rPr>
        <w:t>. This guidance requires additional disclosure of certain amounts included in the expense captions presented on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Statement of Operations as well as disclosures about selling expenses. The ASU is effective on a prospective basis, with the option for retrospective application, for annual periods beginning after December 15, 2026 and interim reporting periods beginning after December 15, 2027. Early adoption is permitted for annual financial statements that have not yet been issued. The Company is in the process of assessing the impact the adoption of this guidance will have on the Company’s financial statement disclosures.</w:t>
      </w:r>
    </w:p>
    <w:p>
      <w:pPr>
        <w:spacing w:after="0" w:line="200"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7"/>
          <w:szCs w:val="17"/>
          <w:color w:val="auto"/>
        </w:rPr>
        <w:t>Although there are other new accounting pronouncements issued by the FASB and not yet adopted by or effective for the Company, the Company does not believe any of these accounting pronouncements will have a material impact on its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3435" cy="419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4" w:name="page15"/>
    <w:bookmarkEnd w:id="14"/>
    <w:p>
      <w:pPr>
        <w:ind w:left="62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NCR Voyix Corporation</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 (Unaudited)—(Continued)</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2. DISCONTINUED OPERATIONS</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Digital Banking Sale</w:t>
      </w:r>
    </w:p>
    <w:p>
      <w:pPr>
        <w:spacing w:after="0" w:line="249"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On September 30, 2024, the Company completed the Digital Banking Sale. Refer to Note 1, “Basis of Presentation and Summary of Significant Accounting Policies” for additional information. The historical results of the Digital Banking businesses have been presented as discontinued operations for the periods presented. The Company’s presentation of discontinued operations excludes general corporate overhead costs that did not meet the requirements to be presented as discontinued operations. The Company recognized a pre-tax gain of approximately $1.5 billion, which was recognized in Net income (loss) from discontinued operations.</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presents the major categories of income (loss) from discontinued operations related to the Digital Banking Sale:</w:t>
      </w:r>
    </w:p>
    <w:p>
      <w:pPr>
        <w:spacing w:after="0" w:line="58"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5780" w:type="dxa"/>
            <w:vAlign w:val="bottom"/>
          </w:tcPr>
          <w:p>
            <w:pPr>
              <w:spacing w:after="0"/>
              <w:rPr>
                <w:sz w:val="15"/>
                <w:szCs w:val="15"/>
                <w:color w:val="auto"/>
              </w:rPr>
            </w:pPr>
          </w:p>
        </w:tc>
        <w:tc>
          <w:tcPr>
            <w:tcW w:w="238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20" w:type="dxa"/>
            <w:vAlign w:val="bottom"/>
            <w:gridSpan w:val="4"/>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23"/>
        </w:trPr>
        <w:tc>
          <w:tcPr>
            <w:tcW w:w="57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8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2"/>
        </w:trPr>
        <w:tc>
          <w:tcPr>
            <w:tcW w:w="5780" w:type="dxa"/>
            <w:vAlign w:val="bottom"/>
            <w:tcBorders>
              <w:bottom w:val="single" w:sz="8" w:color="CCEEFF"/>
            </w:tcBorders>
            <w:vMerge w:val="continue"/>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48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98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4"/>
                <w:szCs w:val="14"/>
                <w:b w:val="1"/>
                <w:bCs w:val="1"/>
                <w:color w:val="auto"/>
              </w:rPr>
              <w:t>2023</w:t>
            </w:r>
          </w:p>
        </w:tc>
        <w:tc>
          <w:tcPr>
            <w:tcW w:w="32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19"/>
        </w:trPr>
        <w:tc>
          <w:tcPr>
            <w:tcW w:w="5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Product revenue</w:t>
            </w:r>
          </w:p>
        </w:tc>
        <w:tc>
          <w:tcPr>
            <w:tcW w:w="820" w:type="dxa"/>
            <w:vAlign w:val="bottom"/>
            <w:shd w:val="clear" w:color="auto" w:fill="CCEEFF"/>
          </w:tcPr>
          <w:p>
            <w:pPr>
              <w:jc w:val="right"/>
              <w:ind w:right="642"/>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15</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799"/>
              <w:spacing w:after="0"/>
              <w:rPr>
                <w:sz w:val="20"/>
                <w:szCs w:val="20"/>
                <w:color w:val="auto"/>
              </w:rPr>
            </w:pPr>
            <w:r>
              <w:rPr>
                <w:rFonts w:ascii="Times New Roman" w:cs="Times New Roman" w:eastAsia="Times New Roman" w:hAnsi="Times New Roman"/>
                <w:sz w:val="17"/>
                <w:szCs w:val="17"/>
                <w:color w:val="auto"/>
                <w:w w:val="93"/>
              </w:rPr>
              <w: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38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w:t>
            </w:r>
          </w:p>
        </w:tc>
        <w:tc>
          <w:tcPr>
            <w:tcW w:w="0" w:type="dxa"/>
            <w:vAlign w:val="bottom"/>
          </w:tcPr>
          <w:p>
            <w:pPr>
              <w:spacing w:after="0"/>
              <w:rPr>
                <w:sz w:val="1"/>
                <w:szCs w:val="1"/>
                <w:color w:val="auto"/>
              </w:rPr>
            </w:pPr>
          </w:p>
        </w:tc>
      </w:tr>
      <w:tr>
        <w:trPr>
          <w:trHeight w:val="220"/>
        </w:trPr>
        <w:tc>
          <w:tcPr>
            <w:tcW w:w="5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Service revenue</w:t>
            </w:r>
          </w:p>
        </w:tc>
        <w:tc>
          <w:tcPr>
            <w:tcW w:w="8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141</w:t>
            </w:r>
          </w:p>
        </w:tc>
        <w:tc>
          <w:tcPr>
            <w:tcW w:w="100" w:type="dxa"/>
            <w:vAlign w:val="bottom"/>
            <w:tcBorders>
              <w:bottom w:val="single" w:sz="8" w:color="CCEEFF"/>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134</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419</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392</w:t>
            </w:r>
          </w:p>
        </w:tc>
        <w:tc>
          <w:tcPr>
            <w:tcW w:w="0" w:type="dxa"/>
            <w:vAlign w:val="bottom"/>
          </w:tcPr>
          <w:p>
            <w:pPr>
              <w:spacing w:after="0"/>
              <w:rPr>
                <w:sz w:val="1"/>
                <w:szCs w:val="1"/>
                <w:color w:val="auto"/>
              </w:rPr>
            </w:pPr>
          </w:p>
        </w:tc>
      </w:tr>
      <w:tr>
        <w:trPr>
          <w:trHeight w:val="213"/>
        </w:trPr>
        <w:tc>
          <w:tcPr>
            <w:tcW w:w="5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revenue</w:t>
            </w:r>
          </w:p>
        </w:tc>
        <w:tc>
          <w:tcPr>
            <w:tcW w:w="82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156</w:t>
            </w:r>
          </w:p>
        </w:tc>
        <w:tc>
          <w:tcPr>
            <w:tcW w:w="100" w:type="dxa"/>
            <w:vAlign w:val="bottom"/>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150</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457</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429</w:t>
            </w:r>
          </w:p>
        </w:tc>
        <w:tc>
          <w:tcPr>
            <w:tcW w:w="0" w:type="dxa"/>
            <w:vAlign w:val="bottom"/>
          </w:tcPr>
          <w:p>
            <w:pPr>
              <w:spacing w:after="0"/>
              <w:rPr>
                <w:sz w:val="1"/>
                <w:szCs w:val="1"/>
                <w:color w:val="auto"/>
              </w:rPr>
            </w:pPr>
          </w:p>
        </w:tc>
      </w:tr>
      <w:tr>
        <w:trPr>
          <w:trHeight w:val="213"/>
        </w:trPr>
        <w:tc>
          <w:tcPr>
            <w:tcW w:w="57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Cost of products</w:t>
            </w:r>
          </w:p>
        </w:tc>
        <w:tc>
          <w:tcPr>
            <w:tcW w:w="8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9</w:t>
            </w: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31</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w:t>
            </w:r>
          </w:p>
        </w:tc>
        <w:tc>
          <w:tcPr>
            <w:tcW w:w="0" w:type="dxa"/>
            <w:vAlign w:val="bottom"/>
          </w:tcPr>
          <w:p>
            <w:pPr>
              <w:spacing w:after="0"/>
              <w:rPr>
                <w:sz w:val="1"/>
                <w:szCs w:val="1"/>
                <w:color w:val="auto"/>
              </w:rPr>
            </w:pPr>
          </w:p>
        </w:tc>
      </w:tr>
      <w:tr>
        <w:trPr>
          <w:trHeight w:val="220"/>
        </w:trPr>
        <w:tc>
          <w:tcPr>
            <w:tcW w:w="5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Cost of services</w:t>
            </w:r>
          </w:p>
        </w:tc>
        <w:tc>
          <w:tcPr>
            <w:tcW w:w="82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65</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221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209</w:t>
            </w:r>
          </w:p>
        </w:tc>
        <w:tc>
          <w:tcPr>
            <w:tcW w:w="0" w:type="dxa"/>
            <w:vAlign w:val="bottom"/>
          </w:tcPr>
          <w:p>
            <w:pPr>
              <w:spacing w:after="0"/>
              <w:rPr>
                <w:sz w:val="1"/>
                <w:szCs w:val="1"/>
                <w:color w:val="auto"/>
              </w:rPr>
            </w:pPr>
          </w:p>
        </w:tc>
      </w:tr>
      <w:tr>
        <w:trPr>
          <w:trHeight w:val="220"/>
        </w:trPr>
        <w:tc>
          <w:tcPr>
            <w:tcW w:w="57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Selling, general and administrative expenses</w:t>
            </w:r>
          </w:p>
        </w:tc>
        <w:tc>
          <w:tcPr>
            <w:tcW w:w="8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39</w:t>
            </w: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84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56</w:t>
            </w:r>
          </w:p>
        </w:tc>
        <w:tc>
          <w:tcPr>
            <w:tcW w:w="0" w:type="dxa"/>
            <w:vAlign w:val="bottom"/>
          </w:tcPr>
          <w:p>
            <w:pPr>
              <w:spacing w:after="0"/>
              <w:rPr>
                <w:sz w:val="1"/>
                <w:szCs w:val="1"/>
                <w:color w:val="auto"/>
              </w:rPr>
            </w:pPr>
          </w:p>
        </w:tc>
      </w:tr>
      <w:tr>
        <w:trPr>
          <w:trHeight w:val="220"/>
        </w:trPr>
        <w:tc>
          <w:tcPr>
            <w:tcW w:w="5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Research and development expenses</w:t>
            </w:r>
          </w:p>
        </w:tc>
        <w:tc>
          <w:tcPr>
            <w:tcW w:w="82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14</w:t>
            </w:r>
          </w:p>
        </w:tc>
        <w:tc>
          <w:tcPr>
            <w:tcW w:w="100" w:type="dxa"/>
            <w:vAlign w:val="bottom"/>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37</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w:t>
            </w:r>
          </w:p>
        </w:tc>
        <w:tc>
          <w:tcPr>
            <w:tcW w:w="0" w:type="dxa"/>
            <w:vAlign w:val="bottom"/>
          </w:tcPr>
          <w:p>
            <w:pPr>
              <w:spacing w:after="0"/>
              <w:rPr>
                <w:sz w:val="1"/>
                <w:szCs w:val="1"/>
                <w:color w:val="auto"/>
              </w:rPr>
            </w:pPr>
          </w:p>
        </w:tc>
      </w:tr>
      <w:tr>
        <w:trPr>
          <w:trHeight w:val="213"/>
        </w:trPr>
        <w:tc>
          <w:tcPr>
            <w:tcW w:w="5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Total operating expenses</w:t>
            </w:r>
          </w:p>
        </w:tc>
        <w:tc>
          <w:tcPr>
            <w:tcW w:w="82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127</w:t>
            </w:r>
          </w:p>
        </w:tc>
        <w:tc>
          <w:tcPr>
            <w:tcW w:w="100" w:type="dxa"/>
            <w:vAlign w:val="bottom"/>
            <w:tcBorders>
              <w:bottom w:val="single" w:sz="8" w:color="CCEEFF"/>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114</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373</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326</w:t>
            </w:r>
          </w:p>
        </w:tc>
        <w:tc>
          <w:tcPr>
            <w:tcW w:w="0" w:type="dxa"/>
            <w:vAlign w:val="bottom"/>
          </w:tcPr>
          <w:p>
            <w:pPr>
              <w:spacing w:after="0"/>
              <w:rPr>
                <w:sz w:val="1"/>
                <w:szCs w:val="1"/>
                <w:color w:val="auto"/>
              </w:rPr>
            </w:pPr>
          </w:p>
        </w:tc>
      </w:tr>
      <w:tr>
        <w:trPr>
          <w:trHeight w:val="213"/>
        </w:trPr>
        <w:tc>
          <w:tcPr>
            <w:tcW w:w="5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Income from discontinued operations</w:t>
            </w:r>
          </w:p>
        </w:tc>
        <w:tc>
          <w:tcPr>
            <w:tcW w:w="8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29</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84</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103</w:t>
            </w:r>
          </w:p>
        </w:tc>
        <w:tc>
          <w:tcPr>
            <w:tcW w:w="0" w:type="dxa"/>
            <w:vAlign w:val="bottom"/>
          </w:tcPr>
          <w:p>
            <w:pPr>
              <w:spacing w:after="0"/>
              <w:rPr>
                <w:sz w:val="1"/>
                <w:szCs w:val="1"/>
                <w:color w:val="auto"/>
              </w:rPr>
            </w:pPr>
          </w:p>
        </w:tc>
      </w:tr>
      <w:tr>
        <w:trPr>
          <w:trHeight w:val="220"/>
        </w:trPr>
        <w:tc>
          <w:tcPr>
            <w:tcW w:w="57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Interest expense</w:t>
            </w:r>
          </w:p>
        </w:tc>
        <w:tc>
          <w:tcPr>
            <w:tcW w:w="820" w:type="dxa"/>
            <w:vAlign w:val="bottom"/>
          </w:tcPr>
          <w:p>
            <w:pPr>
              <w:spacing w:after="0"/>
              <w:rPr>
                <w:sz w:val="19"/>
                <w:szCs w:val="19"/>
                <w:color w:val="auto"/>
              </w:rPr>
            </w:pP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b w:val="1"/>
                <w:bCs w:val="1"/>
                <w:color w:val="auto"/>
              </w:rPr>
              <w:t>—</w:t>
            </w:r>
          </w:p>
        </w:tc>
        <w:tc>
          <w:tcPr>
            <w:tcW w:w="980" w:type="dxa"/>
            <w:vAlign w:val="bottom"/>
          </w:tcPr>
          <w:p>
            <w:pPr>
              <w:spacing w:after="0"/>
              <w:rPr>
                <w:sz w:val="19"/>
                <w:szCs w:val="19"/>
                <w:color w:val="auto"/>
              </w:rPr>
            </w:pPr>
          </w:p>
        </w:tc>
        <w:tc>
          <w:tcPr>
            <w:tcW w:w="4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b w:val="1"/>
                <w:bCs w:val="1"/>
                <w:color w:val="auto"/>
              </w:rPr>
              <w:t>—</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0"/>
        </w:trPr>
        <w:tc>
          <w:tcPr>
            <w:tcW w:w="5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income (expense), net</w:t>
            </w:r>
          </w:p>
        </w:tc>
        <w:tc>
          <w:tcPr>
            <w:tcW w:w="82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(48)</w:t>
            </w:r>
          </w:p>
        </w:tc>
        <w:tc>
          <w:tcPr>
            <w:tcW w:w="100" w:type="dxa"/>
            <w:vAlign w:val="bottom"/>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(48)</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w:t>
            </w:r>
          </w:p>
        </w:tc>
        <w:tc>
          <w:tcPr>
            <w:tcW w:w="0" w:type="dxa"/>
            <w:vAlign w:val="bottom"/>
          </w:tcPr>
          <w:p>
            <w:pPr>
              <w:spacing w:after="0"/>
              <w:rPr>
                <w:sz w:val="1"/>
                <w:szCs w:val="1"/>
                <w:color w:val="auto"/>
              </w:rPr>
            </w:pPr>
          </w:p>
        </w:tc>
      </w:tr>
      <w:tr>
        <w:trPr>
          <w:trHeight w:val="149"/>
        </w:trPr>
        <w:tc>
          <w:tcPr>
            <w:tcW w:w="5780" w:type="dxa"/>
            <w:vAlign w:val="bottom"/>
          </w:tcPr>
          <w:p>
            <w:pPr>
              <w:ind w:left="20"/>
              <w:spacing w:after="0" w:line="149" w:lineRule="exact"/>
              <w:rPr>
                <w:sz w:val="20"/>
                <w:szCs w:val="20"/>
                <w:color w:val="auto"/>
              </w:rPr>
            </w:pPr>
            <w:r>
              <w:rPr>
                <w:rFonts w:ascii="Times New Roman" w:cs="Times New Roman" w:eastAsia="Times New Roman" w:hAnsi="Times New Roman"/>
                <w:sz w:val="17"/>
                <w:szCs w:val="17"/>
                <w:color w:val="auto"/>
              </w:rPr>
              <w:t>Income (loss) from discontinued operations before gain on sale of business and</w:t>
            </w:r>
          </w:p>
        </w:tc>
        <w:tc>
          <w:tcPr>
            <w:tcW w:w="820" w:type="dxa"/>
            <w:vAlign w:val="bottom"/>
          </w:tcPr>
          <w:p>
            <w:pPr>
              <w:spacing w:after="0"/>
              <w:rPr>
                <w:sz w:val="12"/>
                <w:szCs w:val="12"/>
                <w:color w:val="auto"/>
              </w:rPr>
            </w:pPr>
          </w:p>
        </w:tc>
        <w:tc>
          <w:tcPr>
            <w:tcW w:w="480" w:type="dxa"/>
            <w:vAlign w:val="bottom"/>
            <w:vMerge w:val="restart"/>
          </w:tcPr>
          <w:p>
            <w:pPr>
              <w:jc w:val="right"/>
              <w:spacing w:after="0"/>
              <w:rPr>
                <w:sz w:val="20"/>
                <w:szCs w:val="20"/>
                <w:color w:val="auto"/>
              </w:rPr>
            </w:pPr>
            <w:r>
              <w:rPr>
                <w:rFonts w:ascii="Times New Roman" w:cs="Times New Roman" w:eastAsia="Times New Roman" w:hAnsi="Times New Roman"/>
                <w:sz w:val="17"/>
                <w:szCs w:val="17"/>
                <w:b w:val="1"/>
                <w:bCs w:val="1"/>
                <w:color w:val="auto"/>
              </w:rPr>
              <w:t>(19)</w:t>
            </w: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7"/>
                <w:szCs w:val="17"/>
                <w:b w:val="1"/>
                <w:bCs w:val="1"/>
                <w:color w:val="auto"/>
              </w:rPr>
              <w:t>36</w:t>
            </w: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3"/>
        </w:trPr>
        <w:tc>
          <w:tcPr>
            <w:tcW w:w="57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income taxes</w:t>
            </w:r>
          </w:p>
        </w:tc>
        <w:tc>
          <w:tcPr>
            <w:tcW w:w="820" w:type="dxa"/>
            <w:vAlign w:val="bottom"/>
          </w:tcPr>
          <w:p>
            <w:pPr>
              <w:spacing w:after="0"/>
              <w:rPr>
                <w:sz w:val="20"/>
                <w:szCs w:val="20"/>
                <w:color w:val="auto"/>
              </w:rPr>
            </w:pPr>
          </w:p>
        </w:tc>
        <w:tc>
          <w:tcPr>
            <w:tcW w:w="48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98</w:t>
            </w:r>
          </w:p>
        </w:tc>
        <w:tc>
          <w:tcPr>
            <w:tcW w:w="0" w:type="dxa"/>
            <w:vAlign w:val="bottom"/>
          </w:tcPr>
          <w:p>
            <w:pPr>
              <w:spacing w:after="0"/>
              <w:rPr>
                <w:sz w:val="1"/>
                <w:szCs w:val="1"/>
                <w:color w:val="auto"/>
              </w:rPr>
            </w:pPr>
          </w:p>
        </w:tc>
      </w:tr>
      <w:tr>
        <w:trPr>
          <w:trHeight w:val="220"/>
        </w:trPr>
        <w:tc>
          <w:tcPr>
            <w:tcW w:w="5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Gain on sale of business</w:t>
            </w:r>
          </w:p>
        </w:tc>
        <w:tc>
          <w:tcPr>
            <w:tcW w:w="82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1,546</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1,546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3"/>
        </w:trPr>
        <w:tc>
          <w:tcPr>
            <w:tcW w:w="57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Income (loss) from discontinued operations before income taxes</w:t>
            </w:r>
          </w:p>
        </w:tc>
        <w:tc>
          <w:tcPr>
            <w:tcW w:w="82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1,527</w:t>
            </w:r>
          </w:p>
        </w:tc>
        <w:tc>
          <w:tcPr>
            <w:tcW w:w="100" w:type="dxa"/>
            <w:vAlign w:val="bottom"/>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31</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1,582</w:t>
            </w:r>
          </w:p>
        </w:tc>
        <w:tc>
          <w:tcPr>
            <w:tcW w:w="1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98</w:t>
            </w:r>
          </w:p>
        </w:tc>
        <w:tc>
          <w:tcPr>
            <w:tcW w:w="0" w:type="dxa"/>
            <w:vAlign w:val="bottom"/>
          </w:tcPr>
          <w:p>
            <w:pPr>
              <w:spacing w:after="0"/>
              <w:rPr>
                <w:sz w:val="1"/>
                <w:szCs w:val="1"/>
                <w:color w:val="auto"/>
              </w:rPr>
            </w:pPr>
          </w:p>
        </w:tc>
      </w:tr>
      <w:tr>
        <w:trPr>
          <w:trHeight w:val="220"/>
        </w:trPr>
        <w:tc>
          <w:tcPr>
            <w:tcW w:w="5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Income tax expense (benefit)</w:t>
            </w:r>
          </w:p>
        </w:tc>
        <w:tc>
          <w:tcPr>
            <w:tcW w:w="82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395</w:t>
            </w:r>
          </w:p>
        </w:tc>
        <w:tc>
          <w:tcPr>
            <w:tcW w:w="100" w:type="dxa"/>
            <w:vAlign w:val="bottom"/>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401</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0" w:type="dxa"/>
            <w:vAlign w:val="bottom"/>
          </w:tcPr>
          <w:p>
            <w:pPr>
              <w:spacing w:after="0"/>
              <w:rPr>
                <w:sz w:val="1"/>
                <w:szCs w:val="1"/>
                <w:color w:val="auto"/>
              </w:rPr>
            </w:pPr>
          </w:p>
        </w:tc>
      </w:tr>
      <w:tr>
        <w:trPr>
          <w:trHeight w:val="213"/>
        </w:trPr>
        <w:tc>
          <w:tcPr>
            <w:tcW w:w="57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income (loss) from discontinued operations</w:t>
            </w:r>
          </w:p>
        </w:tc>
        <w:tc>
          <w:tcPr>
            <w:tcW w:w="8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1,132</w:t>
            </w: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1,181</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100</w:t>
            </w:r>
          </w:p>
        </w:tc>
        <w:tc>
          <w:tcPr>
            <w:tcW w:w="0" w:type="dxa"/>
            <w:vAlign w:val="bottom"/>
          </w:tcPr>
          <w:p>
            <w:pPr>
              <w:spacing w:after="0"/>
              <w:rPr>
                <w:sz w:val="1"/>
                <w:szCs w:val="1"/>
                <w:color w:val="auto"/>
              </w:rPr>
            </w:pPr>
          </w:p>
        </w:tc>
      </w:tr>
      <w:tr>
        <w:trPr>
          <w:trHeight w:val="220"/>
        </w:trPr>
        <w:tc>
          <w:tcPr>
            <w:tcW w:w="5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income (loss) attributable to noncontrolling interests</w:t>
            </w:r>
          </w:p>
        </w:tc>
        <w:tc>
          <w:tcPr>
            <w:tcW w:w="82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b w:val="1"/>
                <w:bCs w:val="1"/>
                <w:color w:val="auto"/>
              </w:rPr>
              <w:t>—</w:t>
            </w:r>
          </w:p>
        </w:tc>
        <w:tc>
          <w:tcPr>
            <w:tcW w:w="980" w:type="dxa"/>
            <w:vAlign w:val="bottom"/>
            <w:shd w:val="clear" w:color="auto" w:fill="CCEEFF"/>
          </w:tcPr>
          <w:p>
            <w:pPr>
              <w:spacing w:after="0"/>
              <w:rPr>
                <w:sz w:val="19"/>
                <w:szCs w:val="19"/>
                <w:color w:val="auto"/>
              </w:rPr>
            </w:pPr>
          </w:p>
        </w:tc>
        <w:tc>
          <w:tcPr>
            <w:tcW w:w="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b w:val="1"/>
                <w:bCs w:val="1"/>
                <w:color w:val="auto"/>
              </w:rPr>
              <w:t>—</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3"/>
        </w:trPr>
        <w:tc>
          <w:tcPr>
            <w:tcW w:w="57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income (loss) from discontinued operations related to Digital Banking</w:t>
            </w:r>
          </w:p>
        </w:tc>
        <w:tc>
          <w:tcPr>
            <w:tcW w:w="820" w:type="dxa"/>
            <w:vAlign w:val="bottom"/>
            <w:tcBorders>
              <w:top w:val="single" w:sz="8" w:color="auto"/>
              <w:bottom w:val="single" w:sz="8" w:color="auto"/>
            </w:tcBorders>
          </w:tcPr>
          <w:p>
            <w:pPr>
              <w:jc w:val="right"/>
              <w:ind w:right="642"/>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1,132</w:t>
            </w:r>
          </w:p>
        </w:tc>
        <w:tc>
          <w:tcPr>
            <w:tcW w:w="100" w:type="dxa"/>
            <w:vAlign w:val="bottom"/>
          </w:tcPr>
          <w:p>
            <w:pPr>
              <w:spacing w:after="0"/>
              <w:rPr>
                <w:sz w:val="18"/>
                <w:szCs w:val="18"/>
                <w:color w:val="auto"/>
              </w:rPr>
            </w:pPr>
          </w:p>
        </w:tc>
        <w:tc>
          <w:tcPr>
            <w:tcW w:w="980" w:type="dxa"/>
            <w:vAlign w:val="bottom"/>
            <w:tcBorders>
              <w:top w:val="single" w:sz="8" w:color="auto"/>
              <w:bottom w:val="single" w:sz="8" w:color="auto"/>
            </w:tcBorders>
          </w:tcPr>
          <w:p>
            <w:pPr>
              <w:jc w:val="right"/>
              <w:ind w:right="799"/>
              <w:spacing w:after="0"/>
              <w:rPr>
                <w:sz w:val="20"/>
                <w:szCs w:val="20"/>
                <w:color w:val="auto"/>
              </w:rPr>
            </w:pPr>
            <w:r>
              <w:rPr>
                <w:rFonts w:ascii="Times New Roman" w:cs="Times New Roman" w:eastAsia="Times New Roman" w:hAnsi="Times New Roman"/>
                <w:sz w:val="17"/>
                <w:szCs w:val="17"/>
                <w:color w:val="auto"/>
                <w:w w:val="93"/>
              </w:rPr>
              <w:t>$</w:t>
            </w:r>
          </w:p>
        </w:tc>
        <w:tc>
          <w:tcPr>
            <w:tcW w:w="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32</w:t>
            </w:r>
          </w:p>
        </w:tc>
        <w:tc>
          <w:tcPr>
            <w:tcW w:w="10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1,181</w:t>
            </w:r>
          </w:p>
        </w:tc>
        <w:tc>
          <w:tcPr>
            <w:tcW w:w="10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100</w:t>
            </w:r>
          </w:p>
        </w:tc>
        <w:tc>
          <w:tcPr>
            <w:tcW w:w="0" w:type="dxa"/>
            <w:vAlign w:val="bottom"/>
          </w:tcPr>
          <w:p>
            <w:pPr>
              <w:spacing w:after="0"/>
              <w:rPr>
                <w:sz w:val="1"/>
                <w:szCs w:val="1"/>
                <w:color w:val="auto"/>
              </w:rPr>
            </w:pPr>
          </w:p>
        </w:tc>
      </w:tr>
      <w:tr>
        <w:trPr>
          <w:trHeight w:val="20"/>
        </w:trPr>
        <w:tc>
          <w:tcPr>
            <w:tcW w:w="57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3435" cy="419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5" w:name="page16"/>
    <w:bookmarkEnd w:id="15"/>
    <w:p>
      <w:pPr>
        <w:ind w:left="62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9400" w:type="dxa"/>
            <w:vAlign w:val="bottom"/>
          </w:tcPr>
          <w:p>
            <w:pPr>
              <w:ind w:left="4720"/>
              <w:spacing w:after="0"/>
              <w:rPr>
                <w:sz w:val="20"/>
                <w:szCs w:val="20"/>
                <w:color w:val="auto"/>
              </w:rPr>
            </w:pPr>
            <w:r>
              <w:rPr>
                <w:rFonts w:ascii="Times New Roman" w:cs="Times New Roman" w:eastAsia="Times New Roman" w:hAnsi="Times New Roman"/>
                <w:sz w:val="17"/>
                <w:szCs w:val="17"/>
                <w:b w:val="1"/>
                <w:bCs w:val="1"/>
                <w:color w:val="auto"/>
              </w:rPr>
              <w:t>NCR Voyix Corporation</w:t>
            </w:r>
          </w:p>
        </w:tc>
        <w:tc>
          <w:tcPr>
            <w:tcW w:w="220" w:type="dxa"/>
            <w:vAlign w:val="bottom"/>
          </w:tcPr>
          <w:p>
            <w:pPr>
              <w:spacing w:after="0"/>
              <w:rPr>
                <w:sz w:val="17"/>
                <w:szCs w:val="17"/>
                <w:color w:val="auto"/>
              </w:rPr>
            </w:pPr>
          </w:p>
        </w:tc>
        <w:tc>
          <w:tcPr>
            <w:tcW w:w="1620" w:type="dxa"/>
            <w:vAlign w:val="bottom"/>
          </w:tcPr>
          <w:p>
            <w:pPr>
              <w:spacing w:after="0"/>
              <w:rPr>
                <w:sz w:val="17"/>
                <w:szCs w:val="17"/>
                <w:color w:val="auto"/>
              </w:rPr>
            </w:pPr>
          </w:p>
        </w:tc>
      </w:tr>
      <w:tr>
        <w:trPr>
          <w:trHeight w:val="228"/>
        </w:trPr>
        <w:tc>
          <w:tcPr>
            <w:tcW w:w="9400" w:type="dxa"/>
            <w:vAlign w:val="bottom"/>
          </w:tcPr>
          <w:p>
            <w:pPr>
              <w:ind w:left="2600"/>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 (Unaudited)—(Continued)</w:t>
            </w:r>
          </w:p>
        </w:tc>
        <w:tc>
          <w:tcPr>
            <w:tcW w:w="220" w:type="dxa"/>
            <w:vAlign w:val="bottom"/>
          </w:tcPr>
          <w:p>
            <w:pPr>
              <w:spacing w:after="0"/>
              <w:rPr>
                <w:sz w:val="19"/>
                <w:szCs w:val="19"/>
                <w:color w:val="auto"/>
              </w:rPr>
            </w:pPr>
          </w:p>
        </w:tc>
        <w:tc>
          <w:tcPr>
            <w:tcW w:w="1620" w:type="dxa"/>
            <w:vAlign w:val="bottom"/>
          </w:tcPr>
          <w:p>
            <w:pPr>
              <w:spacing w:after="0"/>
              <w:rPr>
                <w:sz w:val="19"/>
                <w:szCs w:val="19"/>
                <w:color w:val="auto"/>
              </w:rPr>
            </w:pPr>
          </w:p>
        </w:tc>
      </w:tr>
      <w:tr>
        <w:trPr>
          <w:trHeight w:val="635"/>
        </w:trPr>
        <w:tc>
          <w:tcPr>
            <w:tcW w:w="9400" w:type="dxa"/>
            <w:vAlign w:val="bottom"/>
          </w:tcPr>
          <w:p>
            <w:pPr>
              <w:spacing w:after="0"/>
              <w:rPr>
                <w:sz w:val="20"/>
                <w:szCs w:val="20"/>
                <w:color w:val="auto"/>
              </w:rPr>
            </w:pPr>
            <w:r>
              <w:rPr>
                <w:rFonts w:ascii="Times New Roman" w:cs="Times New Roman" w:eastAsia="Times New Roman" w:hAnsi="Times New Roman"/>
                <w:sz w:val="17"/>
                <w:szCs w:val="17"/>
                <w:color w:val="auto"/>
              </w:rPr>
              <w:t>The following table presents the major classes of assets and liabilities of discontinued operations related to the Digital Banking Sale:</w:t>
            </w:r>
          </w:p>
        </w:tc>
        <w:tc>
          <w:tcPr>
            <w:tcW w:w="22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197"/>
        </w:trPr>
        <w:tc>
          <w:tcPr>
            <w:tcW w:w="94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20" w:type="dxa"/>
            <w:vAlign w:val="bottom"/>
          </w:tcPr>
          <w:p>
            <w:pPr>
              <w:spacing w:after="0"/>
              <w:rPr>
                <w:sz w:val="17"/>
                <w:szCs w:val="17"/>
                <w:color w:val="auto"/>
              </w:rPr>
            </w:pPr>
          </w:p>
        </w:tc>
        <w:tc>
          <w:tcPr>
            <w:tcW w:w="1620" w:type="dxa"/>
            <w:vAlign w:val="bottom"/>
          </w:tcPr>
          <w:p>
            <w:pPr>
              <w:jc w:val="right"/>
              <w:ind w:right="274"/>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23"/>
        </w:trPr>
        <w:tc>
          <w:tcPr>
            <w:tcW w:w="94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r>
      <w:tr>
        <w:trPr>
          <w:trHeight w:val="200"/>
        </w:trPr>
        <w:tc>
          <w:tcPr>
            <w:tcW w:w="9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Assets</w:t>
            </w:r>
          </w:p>
        </w:tc>
        <w:tc>
          <w:tcPr>
            <w:tcW w:w="220" w:type="dxa"/>
            <w:vAlign w:val="bottom"/>
            <w:shd w:val="clear" w:color="auto" w:fill="CCEEFF"/>
          </w:tcPr>
          <w:p>
            <w:pPr>
              <w:spacing w:after="0"/>
              <w:rPr>
                <w:sz w:val="17"/>
                <w:szCs w:val="17"/>
                <w:color w:val="auto"/>
              </w:rPr>
            </w:pPr>
          </w:p>
        </w:tc>
        <w:tc>
          <w:tcPr>
            <w:tcW w:w="1620" w:type="dxa"/>
            <w:vAlign w:val="bottom"/>
            <w:shd w:val="clear" w:color="auto" w:fill="CCEEFF"/>
          </w:tcPr>
          <w:p>
            <w:pPr>
              <w:spacing w:after="0"/>
              <w:rPr>
                <w:sz w:val="17"/>
                <w:szCs w:val="17"/>
                <w:color w:val="auto"/>
              </w:rPr>
            </w:pPr>
          </w:p>
        </w:tc>
      </w:tr>
      <w:tr>
        <w:trPr>
          <w:trHeight w:val="220"/>
        </w:trPr>
        <w:tc>
          <w:tcPr>
            <w:tcW w:w="94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Current assets</w:t>
            </w:r>
          </w:p>
        </w:tc>
        <w:tc>
          <w:tcPr>
            <w:tcW w:w="220" w:type="dxa"/>
            <w:vAlign w:val="bottom"/>
          </w:tcPr>
          <w:p>
            <w:pPr>
              <w:spacing w:after="0"/>
              <w:rPr>
                <w:sz w:val="19"/>
                <w:szCs w:val="19"/>
                <w:color w:val="auto"/>
              </w:rPr>
            </w:pPr>
          </w:p>
        </w:tc>
        <w:tc>
          <w:tcPr>
            <w:tcW w:w="1620" w:type="dxa"/>
            <w:vAlign w:val="bottom"/>
          </w:tcPr>
          <w:p>
            <w:pPr>
              <w:spacing w:after="0"/>
              <w:rPr>
                <w:sz w:val="19"/>
                <w:szCs w:val="19"/>
                <w:color w:val="auto"/>
              </w:rPr>
            </w:pPr>
          </w:p>
        </w:tc>
      </w:tr>
      <w:tr>
        <w:trPr>
          <w:trHeight w:val="220"/>
        </w:trPr>
        <w:tc>
          <w:tcPr>
            <w:tcW w:w="94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7"/>
                <w:szCs w:val="17"/>
                <w:color w:val="auto"/>
              </w:rPr>
              <w:t>Cash and cash equivalents</w:t>
            </w:r>
          </w:p>
        </w:tc>
        <w:tc>
          <w:tcPr>
            <w:tcW w:w="2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w:t>
            </w:r>
          </w:p>
        </w:tc>
      </w:tr>
      <w:tr>
        <w:trPr>
          <w:trHeight w:val="220"/>
        </w:trPr>
        <w:tc>
          <w:tcPr>
            <w:tcW w:w="940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Accounts receivable, net of allowances</w:t>
            </w:r>
          </w:p>
        </w:tc>
        <w:tc>
          <w:tcPr>
            <w:tcW w:w="22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58</w:t>
            </w:r>
          </w:p>
        </w:tc>
      </w:tr>
      <w:tr>
        <w:trPr>
          <w:trHeight w:val="220"/>
        </w:trPr>
        <w:tc>
          <w:tcPr>
            <w:tcW w:w="94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7"/>
                <w:szCs w:val="17"/>
                <w:color w:val="auto"/>
              </w:rPr>
              <w:t>Prepaid and other current assets</w:t>
            </w:r>
          </w:p>
        </w:tc>
        <w:tc>
          <w:tcPr>
            <w:tcW w:w="22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w:t>
            </w:r>
          </w:p>
        </w:tc>
      </w:tr>
      <w:tr>
        <w:trPr>
          <w:trHeight w:val="213"/>
        </w:trPr>
        <w:tc>
          <w:tcPr>
            <w:tcW w:w="94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 current assets</w:t>
            </w:r>
          </w:p>
        </w:tc>
        <w:tc>
          <w:tcPr>
            <w:tcW w:w="22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69</w:t>
            </w:r>
          </w:p>
        </w:tc>
      </w:tr>
      <w:tr>
        <w:trPr>
          <w:trHeight w:val="220"/>
        </w:trPr>
        <w:tc>
          <w:tcPr>
            <w:tcW w:w="9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Property, plant and equipment, net</w:t>
            </w:r>
          </w:p>
        </w:tc>
        <w:tc>
          <w:tcPr>
            <w:tcW w:w="22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w:t>
            </w:r>
          </w:p>
        </w:tc>
      </w:tr>
      <w:tr>
        <w:trPr>
          <w:trHeight w:val="220"/>
        </w:trPr>
        <w:tc>
          <w:tcPr>
            <w:tcW w:w="94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Goodwill</w:t>
            </w:r>
          </w:p>
        </w:tc>
        <w:tc>
          <w:tcPr>
            <w:tcW w:w="22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521</w:t>
            </w:r>
          </w:p>
        </w:tc>
      </w:tr>
      <w:tr>
        <w:trPr>
          <w:trHeight w:val="220"/>
        </w:trPr>
        <w:tc>
          <w:tcPr>
            <w:tcW w:w="9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Intangibles, net</w:t>
            </w:r>
          </w:p>
        </w:tc>
        <w:tc>
          <w:tcPr>
            <w:tcW w:w="22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168</w:t>
            </w:r>
          </w:p>
        </w:tc>
      </w:tr>
      <w:tr>
        <w:trPr>
          <w:trHeight w:val="220"/>
        </w:trPr>
        <w:tc>
          <w:tcPr>
            <w:tcW w:w="94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Operating lease assets</w:t>
            </w:r>
          </w:p>
        </w:tc>
        <w:tc>
          <w:tcPr>
            <w:tcW w:w="22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w:t>
            </w:r>
          </w:p>
        </w:tc>
      </w:tr>
      <w:tr>
        <w:trPr>
          <w:trHeight w:val="220"/>
        </w:trPr>
        <w:tc>
          <w:tcPr>
            <w:tcW w:w="9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Deferred income taxes</w:t>
            </w:r>
          </w:p>
        </w:tc>
        <w:tc>
          <w:tcPr>
            <w:tcW w:w="22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w:t>
            </w:r>
          </w:p>
        </w:tc>
      </w:tr>
      <w:tr>
        <w:trPr>
          <w:trHeight w:val="220"/>
        </w:trPr>
        <w:tc>
          <w:tcPr>
            <w:tcW w:w="9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Other assets</w:t>
            </w:r>
          </w:p>
        </w:tc>
        <w:tc>
          <w:tcPr>
            <w:tcW w:w="22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183</w:t>
            </w:r>
          </w:p>
        </w:tc>
      </w:tr>
      <w:tr>
        <w:trPr>
          <w:trHeight w:val="213"/>
        </w:trPr>
        <w:tc>
          <w:tcPr>
            <w:tcW w:w="9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Noncurrent assets</w:t>
            </w:r>
          </w:p>
        </w:tc>
        <w:tc>
          <w:tcPr>
            <w:tcW w:w="220" w:type="dxa"/>
            <w:vAlign w:val="bottom"/>
            <w:tcBorders>
              <w:bottom w:val="single" w:sz="8" w:color="auto"/>
            </w:tcBorders>
            <w:shd w:val="clear" w:color="auto" w:fill="CCEEFF"/>
          </w:tcPr>
          <w:p>
            <w:pPr>
              <w:spacing w:after="0"/>
              <w:rPr>
                <w:sz w:val="18"/>
                <w:szCs w:val="18"/>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884</w:t>
            </w:r>
          </w:p>
        </w:tc>
      </w:tr>
      <w:tr>
        <w:trPr>
          <w:trHeight w:val="213"/>
        </w:trPr>
        <w:tc>
          <w:tcPr>
            <w:tcW w:w="940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Total assets of discontinued operations</w:t>
            </w:r>
          </w:p>
        </w:tc>
        <w:tc>
          <w:tcPr>
            <w:tcW w:w="22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953</w:t>
            </w:r>
          </w:p>
        </w:tc>
      </w:tr>
      <w:tr>
        <w:trPr>
          <w:trHeight w:val="20"/>
        </w:trPr>
        <w:tc>
          <w:tcPr>
            <w:tcW w:w="94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r>
      <w:tr>
        <w:trPr>
          <w:trHeight w:val="173"/>
        </w:trPr>
        <w:tc>
          <w:tcPr>
            <w:tcW w:w="94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620" w:type="dxa"/>
            <w:vAlign w:val="bottom"/>
            <w:shd w:val="clear" w:color="auto" w:fill="CCEEFF"/>
          </w:tcPr>
          <w:p>
            <w:pPr>
              <w:spacing w:after="0"/>
              <w:rPr>
                <w:sz w:val="15"/>
                <w:szCs w:val="15"/>
                <w:color w:val="auto"/>
              </w:rPr>
            </w:pPr>
          </w:p>
        </w:tc>
      </w:tr>
      <w:tr>
        <w:trPr>
          <w:trHeight w:val="220"/>
        </w:trPr>
        <w:tc>
          <w:tcPr>
            <w:tcW w:w="940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Liabilities</w:t>
            </w:r>
          </w:p>
        </w:tc>
        <w:tc>
          <w:tcPr>
            <w:tcW w:w="220" w:type="dxa"/>
            <w:vAlign w:val="bottom"/>
          </w:tcPr>
          <w:p>
            <w:pPr>
              <w:spacing w:after="0"/>
              <w:rPr>
                <w:sz w:val="19"/>
                <w:szCs w:val="19"/>
                <w:color w:val="auto"/>
              </w:rPr>
            </w:pPr>
          </w:p>
        </w:tc>
        <w:tc>
          <w:tcPr>
            <w:tcW w:w="1620" w:type="dxa"/>
            <w:vAlign w:val="bottom"/>
          </w:tcPr>
          <w:p>
            <w:pPr>
              <w:spacing w:after="0"/>
              <w:rPr>
                <w:sz w:val="19"/>
                <w:szCs w:val="19"/>
                <w:color w:val="auto"/>
              </w:rPr>
            </w:pPr>
          </w:p>
        </w:tc>
      </w:tr>
      <w:tr>
        <w:trPr>
          <w:trHeight w:val="220"/>
        </w:trPr>
        <w:tc>
          <w:tcPr>
            <w:tcW w:w="9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Current liabilities</w:t>
            </w:r>
          </w:p>
        </w:tc>
        <w:tc>
          <w:tcPr>
            <w:tcW w:w="22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r>
      <w:tr>
        <w:trPr>
          <w:trHeight w:val="220"/>
        </w:trPr>
        <w:tc>
          <w:tcPr>
            <w:tcW w:w="940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Accounts payable</w:t>
            </w:r>
          </w:p>
        </w:tc>
        <w:tc>
          <w:tcPr>
            <w:tcW w:w="22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64</w:t>
            </w:r>
          </w:p>
        </w:tc>
      </w:tr>
      <w:tr>
        <w:trPr>
          <w:trHeight w:val="220"/>
        </w:trPr>
        <w:tc>
          <w:tcPr>
            <w:tcW w:w="94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7"/>
                <w:szCs w:val="17"/>
                <w:color w:val="auto"/>
              </w:rPr>
              <w:t>Payroll and benefits liabilities</w:t>
            </w:r>
          </w:p>
        </w:tc>
        <w:tc>
          <w:tcPr>
            <w:tcW w:w="22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w:t>
            </w:r>
          </w:p>
        </w:tc>
      </w:tr>
      <w:tr>
        <w:trPr>
          <w:trHeight w:val="220"/>
        </w:trPr>
        <w:tc>
          <w:tcPr>
            <w:tcW w:w="940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Contract liabilities</w:t>
            </w:r>
          </w:p>
        </w:tc>
        <w:tc>
          <w:tcPr>
            <w:tcW w:w="22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w:t>
            </w:r>
          </w:p>
        </w:tc>
      </w:tr>
      <w:tr>
        <w:trPr>
          <w:trHeight w:val="220"/>
        </w:trPr>
        <w:tc>
          <w:tcPr>
            <w:tcW w:w="94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7"/>
                <w:szCs w:val="17"/>
                <w:color w:val="auto"/>
              </w:rPr>
              <w:t>Other current liabilities</w:t>
            </w:r>
          </w:p>
        </w:tc>
        <w:tc>
          <w:tcPr>
            <w:tcW w:w="22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w:t>
            </w:r>
          </w:p>
        </w:tc>
      </w:tr>
      <w:tr>
        <w:trPr>
          <w:trHeight w:val="213"/>
        </w:trPr>
        <w:tc>
          <w:tcPr>
            <w:tcW w:w="94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 current liabilities</w:t>
            </w:r>
          </w:p>
        </w:tc>
        <w:tc>
          <w:tcPr>
            <w:tcW w:w="22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120</w:t>
            </w:r>
          </w:p>
        </w:tc>
      </w:tr>
      <w:tr>
        <w:trPr>
          <w:trHeight w:val="220"/>
        </w:trPr>
        <w:tc>
          <w:tcPr>
            <w:tcW w:w="9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Operating lease liabilities</w:t>
            </w:r>
          </w:p>
        </w:tc>
        <w:tc>
          <w:tcPr>
            <w:tcW w:w="22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w:t>
            </w:r>
          </w:p>
        </w:tc>
      </w:tr>
      <w:tr>
        <w:trPr>
          <w:trHeight w:val="220"/>
        </w:trPr>
        <w:tc>
          <w:tcPr>
            <w:tcW w:w="9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Other liabilities</w:t>
            </w:r>
          </w:p>
        </w:tc>
        <w:tc>
          <w:tcPr>
            <w:tcW w:w="22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w:t>
            </w:r>
          </w:p>
        </w:tc>
      </w:tr>
      <w:tr>
        <w:trPr>
          <w:trHeight w:val="213"/>
        </w:trPr>
        <w:tc>
          <w:tcPr>
            <w:tcW w:w="9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Noncurrent liabilities</w:t>
            </w:r>
          </w:p>
        </w:tc>
        <w:tc>
          <w:tcPr>
            <w:tcW w:w="220" w:type="dxa"/>
            <w:vAlign w:val="bottom"/>
            <w:tcBorders>
              <w:bottom w:val="single" w:sz="8" w:color="auto"/>
            </w:tcBorders>
            <w:shd w:val="clear" w:color="auto" w:fill="CCEEFF"/>
          </w:tcPr>
          <w:p>
            <w:pPr>
              <w:spacing w:after="0"/>
              <w:rPr>
                <w:sz w:val="18"/>
                <w:szCs w:val="18"/>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w:t>
            </w:r>
          </w:p>
        </w:tc>
      </w:tr>
      <w:tr>
        <w:trPr>
          <w:trHeight w:val="213"/>
        </w:trPr>
        <w:tc>
          <w:tcPr>
            <w:tcW w:w="940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Total liabilities of discontinued operations</w:t>
            </w:r>
          </w:p>
        </w:tc>
        <w:tc>
          <w:tcPr>
            <w:tcW w:w="22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130</w:t>
            </w:r>
          </w:p>
        </w:tc>
      </w:tr>
      <w:tr>
        <w:trPr>
          <w:trHeight w:val="20"/>
        </w:trPr>
        <w:tc>
          <w:tcPr>
            <w:tcW w:w="94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r>
    </w:tbl>
    <w:p>
      <w:pPr>
        <w:spacing w:after="0" w:line="3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presents selected financial information related to cash flows from discontinued operations related to the Digital Banking Sale:</w:t>
      </w:r>
    </w:p>
    <w:p>
      <w:pPr>
        <w:spacing w:after="0" w:line="58"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76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000" w:type="dxa"/>
            <w:vAlign w:val="bottom"/>
            <w:gridSpan w:val="4"/>
          </w:tcPr>
          <w:p>
            <w:pPr>
              <w:jc w:val="right"/>
              <w:ind w:right="638"/>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23"/>
        </w:trPr>
        <w:tc>
          <w:tcPr>
            <w:tcW w:w="76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4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2"/>
        </w:trPr>
        <w:tc>
          <w:tcPr>
            <w:tcW w:w="7620" w:type="dxa"/>
            <w:vAlign w:val="bottom"/>
            <w:tcBorders>
              <w:bottom w:val="single" w:sz="8" w:color="CCEEFF"/>
            </w:tcBorders>
            <w:vMerge w:val="continue"/>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621"/>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CCEEFF"/>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598"/>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19"/>
        </w:trPr>
        <w:tc>
          <w:tcPr>
            <w:tcW w:w="7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cash provided by (used in) operating activities</w:t>
            </w:r>
          </w:p>
        </w:tc>
        <w:tc>
          <w:tcPr>
            <w:tcW w:w="400" w:type="dxa"/>
            <w:vAlign w:val="bottom"/>
            <w:shd w:val="clear" w:color="auto" w:fill="CCEEFF"/>
          </w:tcPr>
          <w:p>
            <w:pPr>
              <w:jc w:val="right"/>
              <w:ind w:right="21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(299)</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4"/>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170</w:t>
            </w:r>
          </w:p>
        </w:tc>
        <w:tc>
          <w:tcPr>
            <w:tcW w:w="0" w:type="dxa"/>
            <w:vAlign w:val="bottom"/>
          </w:tcPr>
          <w:p>
            <w:pPr>
              <w:spacing w:after="0"/>
              <w:rPr>
                <w:sz w:val="1"/>
                <w:szCs w:val="1"/>
                <w:color w:val="auto"/>
              </w:rPr>
            </w:pPr>
          </w:p>
        </w:tc>
      </w:tr>
      <w:tr>
        <w:trPr>
          <w:trHeight w:val="220"/>
        </w:trPr>
        <w:tc>
          <w:tcPr>
            <w:tcW w:w="76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cash provided by (used in) investing activities</w:t>
            </w:r>
          </w:p>
        </w:tc>
        <w:tc>
          <w:tcPr>
            <w:tcW w:w="4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(57)</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(72)</w:t>
            </w:r>
          </w:p>
        </w:tc>
        <w:tc>
          <w:tcPr>
            <w:tcW w:w="0" w:type="dxa"/>
            <w:vAlign w:val="bottom"/>
          </w:tcPr>
          <w:p>
            <w:pPr>
              <w:spacing w:after="0"/>
              <w:rPr>
                <w:sz w:val="1"/>
                <w:szCs w:val="1"/>
                <w:color w:val="auto"/>
              </w:rPr>
            </w:pPr>
          </w:p>
        </w:tc>
      </w:tr>
      <w:tr>
        <w:trPr>
          <w:trHeight w:val="220"/>
        </w:trPr>
        <w:tc>
          <w:tcPr>
            <w:tcW w:w="7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cash provided by (used in) financing activities</w:t>
            </w:r>
          </w:p>
        </w:tc>
        <w:tc>
          <w:tcPr>
            <w:tcW w:w="40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ind w:left="1020"/>
              <w:spacing w:after="0"/>
              <w:rPr>
                <w:sz w:val="20"/>
                <w:szCs w:val="20"/>
                <w:color w:val="auto"/>
              </w:rPr>
            </w:pPr>
            <w:r>
              <w:rPr>
                <w:rFonts w:ascii="Times New Roman" w:cs="Times New Roman" w:eastAsia="Times New Roman" w:hAnsi="Times New Roman"/>
                <w:sz w:val="17"/>
                <w:szCs w:val="17"/>
                <w:b w:val="1"/>
                <w:bCs w:val="1"/>
                <w:color w:val="auto"/>
              </w:rPr>
              <w:t>—</w:t>
            </w: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bl>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Spin-Off of NCR Atleos</w:t>
      </w:r>
    </w:p>
    <w:p>
      <w:pPr>
        <w:spacing w:after="0" w:line="30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On October 16, 2023, the Company completed the Spin-Off of NCR Atleos into an independent publicly traded company. Refer to Note 1, “Basis of Presentation and Summary of Significant Accounting Policies” for additional information regarding the Spin-Off. The historical results of NCR Atleos have been presented as discontinued operations. The Company’s presentation of discontinued operations excludes general corporate overhead costs that did not meet the requirements to be presented as discontinued operations. The 2023 presentation of discontinued operations has been updated to reflect the results of operations for the countries that transferred to NCR Atleos during 2024 and excludes the countries that have not yet transferred to NCR Atleos as of September 30, 2024. The results of operations for the countries that have not yet transferred will be presented as part of discontinued operations as of the date of their separation. As of December 31, 2023, there were seven countries that had not yet transferred to NCR Atleos. During the nine months ended September 30, 2024, five of these seven delayed countries transferred to NCR Atleos.</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3435" cy="419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6" w:name="page17"/>
    <w:bookmarkEnd w:id="16"/>
    <w:p>
      <w:pPr>
        <w:ind w:left="62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NCR Voyix Corporation</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 (Unaudited)—(Continued)</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presents the major categories of income (loss) from discontinued operations related to the Spin-Off of NCR Atleos:</w:t>
      </w:r>
    </w:p>
    <w:p>
      <w:pPr>
        <w:spacing w:after="0" w:line="58"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57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600" w:type="dxa"/>
            <w:vAlign w:val="bottom"/>
            <w:gridSpan w:val="5"/>
          </w:tcPr>
          <w:p>
            <w:pPr>
              <w:ind w:left="12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20" w:type="dxa"/>
            <w:vAlign w:val="bottom"/>
          </w:tcPr>
          <w:p>
            <w:pPr>
              <w:spacing w:after="0"/>
              <w:rPr>
                <w:sz w:val="15"/>
                <w:szCs w:val="15"/>
                <w:color w:val="auto"/>
              </w:rPr>
            </w:pPr>
          </w:p>
        </w:tc>
        <w:tc>
          <w:tcPr>
            <w:tcW w:w="2460" w:type="dxa"/>
            <w:vAlign w:val="bottom"/>
            <w:gridSpan w:val="4"/>
          </w:tcPr>
          <w:p>
            <w:pPr>
              <w:jc w:val="right"/>
              <w:ind w:right="275"/>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23"/>
        </w:trPr>
        <w:tc>
          <w:tcPr>
            <w:tcW w:w="57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7"/>
        </w:trPr>
        <w:tc>
          <w:tcPr>
            <w:tcW w:w="574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ind w:left="260"/>
              <w:spacing w:after="0" w:line="188" w:lineRule="exact"/>
              <w:rPr>
                <w:sz w:val="20"/>
                <w:szCs w:val="20"/>
                <w:color w:val="auto"/>
              </w:rPr>
            </w:pPr>
            <w:r>
              <w:rPr>
                <w:rFonts w:ascii="Times New Roman" w:cs="Times New Roman" w:eastAsia="Times New Roman" w:hAnsi="Times New Roman"/>
                <w:sz w:val="14"/>
                <w:szCs w:val="14"/>
                <w:b w:val="1"/>
                <w:bCs w:val="1"/>
                <w:color w:val="auto"/>
              </w:rPr>
              <w:t>2024</w:t>
            </w:r>
            <w:r>
              <w:rPr>
                <w:rFonts w:ascii="Times New Roman" w:cs="Times New Roman" w:eastAsia="Times New Roman" w:hAnsi="Times New Roman"/>
                <w:sz w:val="17"/>
                <w:szCs w:val="17"/>
                <w:b w:val="1"/>
                <w:bCs w:val="1"/>
                <w:color w:val="auto"/>
                <w:vertAlign w:val="superscript"/>
              </w:rPr>
              <w:t>(1)</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376"/>
              <w:spacing w:after="0" w:line="188" w:lineRule="exact"/>
              <w:rPr>
                <w:sz w:val="20"/>
                <w:szCs w:val="20"/>
                <w:color w:val="auto"/>
              </w:rPr>
            </w:pPr>
            <w:r>
              <w:rPr>
                <w:rFonts w:ascii="Times New Roman" w:cs="Times New Roman" w:eastAsia="Times New Roman" w:hAnsi="Times New Roman"/>
                <w:sz w:val="14"/>
                <w:szCs w:val="14"/>
                <w:b w:val="1"/>
                <w:bCs w:val="1"/>
                <w:color w:val="auto"/>
              </w:rPr>
              <w:t>2024</w:t>
            </w:r>
            <w:r>
              <w:rPr>
                <w:rFonts w:ascii="Times New Roman" w:cs="Times New Roman" w:eastAsia="Times New Roman" w:hAnsi="Times New Roman"/>
                <w:sz w:val="17"/>
                <w:szCs w:val="17"/>
                <w:b w:val="1"/>
                <w:bCs w:val="1"/>
                <w:color w:val="auto"/>
                <w:vertAlign w:val="superscript"/>
              </w:rPr>
              <w:t>(1)</w:t>
            </w:r>
          </w:p>
        </w:tc>
        <w:tc>
          <w:tcPr>
            <w:tcW w:w="8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13"/>
        </w:trPr>
        <w:tc>
          <w:tcPr>
            <w:tcW w:w="5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Product revenue</w:t>
            </w:r>
          </w:p>
        </w:tc>
        <w:tc>
          <w:tcPr>
            <w:tcW w:w="2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10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7"/>
                <w:szCs w:val="17"/>
                <w:b w:val="1"/>
                <w:bCs w:val="1"/>
                <w:color w:val="auto"/>
              </w:rPr>
              <w:t>—</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247</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745</w:t>
            </w:r>
          </w:p>
        </w:tc>
        <w:tc>
          <w:tcPr>
            <w:tcW w:w="0" w:type="dxa"/>
            <w:vAlign w:val="bottom"/>
          </w:tcPr>
          <w:p>
            <w:pPr>
              <w:spacing w:after="0"/>
              <w:rPr>
                <w:sz w:val="1"/>
                <w:szCs w:val="1"/>
                <w:color w:val="auto"/>
              </w:rPr>
            </w:pPr>
          </w:p>
        </w:tc>
      </w:tr>
      <w:tr>
        <w:trPr>
          <w:trHeight w:val="220"/>
        </w:trPr>
        <w:tc>
          <w:tcPr>
            <w:tcW w:w="57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Service revenue</w:t>
            </w:r>
          </w:p>
        </w:tc>
        <w:tc>
          <w:tcPr>
            <w:tcW w:w="200" w:type="dxa"/>
            <w:vAlign w:val="bottom"/>
          </w:tcPr>
          <w:p>
            <w:pPr>
              <w:spacing w:after="0"/>
              <w:rPr>
                <w:sz w:val="19"/>
                <w:szCs w:val="19"/>
                <w:color w:val="auto"/>
              </w:rPr>
            </w:pPr>
          </w:p>
        </w:tc>
        <w:tc>
          <w:tcPr>
            <w:tcW w:w="1200" w:type="dxa"/>
            <w:vAlign w:val="bottom"/>
            <w:gridSpan w:val="2"/>
          </w:tcPr>
          <w:p>
            <w:pPr>
              <w:ind w:left="860"/>
              <w:spacing w:after="0"/>
              <w:rPr>
                <w:sz w:val="20"/>
                <w:szCs w:val="20"/>
                <w:color w:val="auto"/>
              </w:rPr>
            </w:pPr>
            <w:r>
              <w:rPr>
                <w:rFonts w:ascii="Times New Roman" w:cs="Times New Roman" w:eastAsia="Times New Roman" w:hAnsi="Times New Roman"/>
                <w:sz w:val="17"/>
                <w:szCs w:val="17"/>
                <w:b w:val="1"/>
                <w:bCs w:val="1"/>
                <w:color w:val="auto"/>
              </w:rPr>
              <w:t>—</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811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5</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2,338</w:t>
            </w:r>
          </w:p>
        </w:tc>
        <w:tc>
          <w:tcPr>
            <w:tcW w:w="0" w:type="dxa"/>
            <w:vAlign w:val="bottom"/>
          </w:tcPr>
          <w:p>
            <w:pPr>
              <w:spacing w:after="0"/>
              <w:rPr>
                <w:sz w:val="1"/>
                <w:szCs w:val="1"/>
                <w:color w:val="auto"/>
              </w:rPr>
            </w:pPr>
          </w:p>
        </w:tc>
      </w:tr>
      <w:tr>
        <w:trPr>
          <w:trHeight w:val="213"/>
        </w:trPr>
        <w:tc>
          <w:tcPr>
            <w:tcW w:w="57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revenue</w:t>
            </w: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shd w:val="clear" w:color="auto" w:fill="CCEEFF"/>
          </w:tcPr>
          <w:p>
            <w:pPr>
              <w:ind w:left="860"/>
              <w:spacing w:after="0"/>
              <w:rPr>
                <w:sz w:val="20"/>
                <w:szCs w:val="20"/>
                <w:color w:val="auto"/>
              </w:rPr>
            </w:pPr>
            <w:r>
              <w:rPr>
                <w:rFonts w:ascii="Times New Roman" w:cs="Times New Roman" w:eastAsia="Times New Roman" w:hAnsi="Times New Roman"/>
                <w:sz w:val="17"/>
                <w:szCs w:val="17"/>
                <w:b w:val="1"/>
                <w:bCs w:val="1"/>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1,058</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5</w:t>
            </w:r>
          </w:p>
        </w:tc>
        <w:tc>
          <w:tcPr>
            <w:tcW w:w="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3,083</w:t>
            </w:r>
          </w:p>
        </w:tc>
        <w:tc>
          <w:tcPr>
            <w:tcW w:w="0" w:type="dxa"/>
            <w:vAlign w:val="bottom"/>
          </w:tcPr>
          <w:p>
            <w:pPr>
              <w:spacing w:after="0"/>
              <w:rPr>
                <w:sz w:val="1"/>
                <w:szCs w:val="1"/>
                <w:color w:val="auto"/>
              </w:rPr>
            </w:pPr>
          </w:p>
        </w:tc>
      </w:tr>
      <w:tr>
        <w:trPr>
          <w:trHeight w:val="213"/>
        </w:trPr>
        <w:tc>
          <w:tcPr>
            <w:tcW w:w="57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Cost of products</w:t>
            </w:r>
          </w:p>
        </w:tc>
        <w:tc>
          <w:tcPr>
            <w:tcW w:w="200" w:type="dxa"/>
            <w:vAlign w:val="bottom"/>
          </w:tcPr>
          <w:p>
            <w:pPr>
              <w:spacing w:after="0"/>
              <w:rPr>
                <w:sz w:val="18"/>
                <w:szCs w:val="18"/>
                <w:color w:val="auto"/>
              </w:rPr>
            </w:pPr>
          </w:p>
        </w:tc>
        <w:tc>
          <w:tcPr>
            <w:tcW w:w="1100" w:type="dxa"/>
            <w:vAlign w:val="bottom"/>
          </w:tcPr>
          <w:p>
            <w:pPr>
              <w:ind w:left="860"/>
              <w:spacing w:after="0"/>
              <w:rPr>
                <w:sz w:val="20"/>
                <w:szCs w:val="20"/>
                <w:color w:val="auto"/>
              </w:rPr>
            </w:pPr>
            <w:r>
              <w:rPr>
                <w:rFonts w:ascii="Times New Roman" w:cs="Times New Roman" w:eastAsia="Times New Roman" w:hAnsi="Times New Roman"/>
                <w:sz w:val="17"/>
                <w:szCs w:val="17"/>
                <w:b w:val="1"/>
                <w:bCs w:val="1"/>
                <w:color w:val="auto"/>
              </w:rPr>
              <w:t>—</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598</w:t>
            </w:r>
          </w:p>
        </w:tc>
        <w:tc>
          <w:tcPr>
            <w:tcW w:w="0" w:type="dxa"/>
            <w:vAlign w:val="bottom"/>
          </w:tcPr>
          <w:p>
            <w:pPr>
              <w:spacing w:after="0"/>
              <w:rPr>
                <w:sz w:val="1"/>
                <w:szCs w:val="1"/>
                <w:color w:val="auto"/>
              </w:rPr>
            </w:pPr>
          </w:p>
        </w:tc>
      </w:tr>
      <w:tr>
        <w:trPr>
          <w:trHeight w:val="220"/>
        </w:trPr>
        <w:tc>
          <w:tcPr>
            <w:tcW w:w="5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Cost of services</w:t>
            </w:r>
          </w:p>
        </w:tc>
        <w:tc>
          <w:tcPr>
            <w:tcW w:w="2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7"/>
                <w:szCs w:val="17"/>
                <w:b w:val="1"/>
                <w:bCs w:val="1"/>
                <w:color w:val="auto"/>
              </w:rPr>
              <w:t>—</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4</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1,603</w:t>
            </w:r>
          </w:p>
        </w:tc>
        <w:tc>
          <w:tcPr>
            <w:tcW w:w="0" w:type="dxa"/>
            <w:vAlign w:val="bottom"/>
          </w:tcPr>
          <w:p>
            <w:pPr>
              <w:spacing w:after="0"/>
              <w:rPr>
                <w:sz w:val="1"/>
                <w:szCs w:val="1"/>
                <w:color w:val="auto"/>
              </w:rPr>
            </w:pPr>
          </w:p>
        </w:tc>
      </w:tr>
      <w:tr>
        <w:trPr>
          <w:trHeight w:val="220"/>
        </w:trPr>
        <w:tc>
          <w:tcPr>
            <w:tcW w:w="57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Selling, general and administrative expenses</w:t>
            </w:r>
          </w:p>
        </w:tc>
        <w:tc>
          <w:tcPr>
            <w:tcW w:w="200" w:type="dxa"/>
            <w:vAlign w:val="bottom"/>
          </w:tcPr>
          <w:p>
            <w:pPr>
              <w:spacing w:after="0"/>
              <w:rPr>
                <w:sz w:val="19"/>
                <w:szCs w:val="19"/>
                <w:color w:val="auto"/>
              </w:rPr>
            </w:pPr>
          </w:p>
        </w:tc>
        <w:tc>
          <w:tcPr>
            <w:tcW w:w="1200" w:type="dxa"/>
            <w:vAlign w:val="bottom"/>
            <w:gridSpan w:val="2"/>
          </w:tcPr>
          <w:p>
            <w:pPr>
              <w:ind w:left="860"/>
              <w:spacing w:after="0"/>
              <w:rPr>
                <w:sz w:val="20"/>
                <w:szCs w:val="20"/>
                <w:color w:val="auto"/>
              </w:rPr>
            </w:pPr>
            <w:r>
              <w:rPr>
                <w:rFonts w:ascii="Times New Roman" w:cs="Times New Roman" w:eastAsia="Times New Roman" w:hAnsi="Times New Roman"/>
                <w:sz w:val="17"/>
                <w:szCs w:val="17"/>
                <w:b w:val="1"/>
                <w:bCs w:val="1"/>
                <w:color w:val="auto"/>
              </w:rPr>
              <w:t>—</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1</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484</w:t>
            </w:r>
          </w:p>
        </w:tc>
        <w:tc>
          <w:tcPr>
            <w:tcW w:w="0" w:type="dxa"/>
            <w:vAlign w:val="bottom"/>
          </w:tcPr>
          <w:p>
            <w:pPr>
              <w:spacing w:after="0"/>
              <w:rPr>
                <w:sz w:val="1"/>
                <w:szCs w:val="1"/>
                <w:color w:val="auto"/>
              </w:rPr>
            </w:pPr>
          </w:p>
        </w:tc>
      </w:tr>
      <w:tr>
        <w:trPr>
          <w:trHeight w:val="220"/>
        </w:trPr>
        <w:tc>
          <w:tcPr>
            <w:tcW w:w="5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Research and development expenses</w:t>
            </w:r>
          </w:p>
        </w:tc>
        <w:tc>
          <w:tcPr>
            <w:tcW w:w="2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7"/>
                <w:szCs w:val="17"/>
                <w:b w:val="1"/>
                <w:bCs w:val="1"/>
                <w:color w:val="auto"/>
              </w:rPr>
              <w:t>—</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b w:val="1"/>
                <w:bCs w:val="1"/>
                <w:color w:val="auto"/>
              </w:rPr>
              <w:t>—</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w:t>
            </w:r>
          </w:p>
        </w:tc>
        <w:tc>
          <w:tcPr>
            <w:tcW w:w="0" w:type="dxa"/>
            <w:vAlign w:val="bottom"/>
          </w:tcPr>
          <w:p>
            <w:pPr>
              <w:spacing w:after="0"/>
              <w:rPr>
                <w:sz w:val="1"/>
                <w:szCs w:val="1"/>
                <w:color w:val="auto"/>
              </w:rPr>
            </w:pPr>
          </w:p>
        </w:tc>
      </w:tr>
      <w:tr>
        <w:trPr>
          <w:trHeight w:val="213"/>
        </w:trPr>
        <w:tc>
          <w:tcPr>
            <w:tcW w:w="5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Total operating expenses</w:t>
            </w:r>
          </w:p>
        </w:tc>
        <w:tc>
          <w:tcPr>
            <w:tcW w:w="20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ind w:left="860"/>
              <w:spacing w:after="0"/>
              <w:rPr>
                <w:sz w:val="20"/>
                <w:szCs w:val="20"/>
                <w:color w:val="auto"/>
              </w:rPr>
            </w:pPr>
            <w:r>
              <w:rPr>
                <w:rFonts w:ascii="Times New Roman" w:cs="Times New Roman" w:eastAsia="Times New Roman" w:hAnsi="Times New Roman"/>
                <w:sz w:val="17"/>
                <w:szCs w:val="17"/>
                <w:b w:val="1"/>
                <w:bCs w:val="1"/>
                <w:color w:val="auto"/>
              </w:rPr>
              <w:t>—</w:t>
            </w:r>
          </w:p>
        </w:tc>
        <w:tc>
          <w:tcPr>
            <w:tcW w:w="10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884</w:t>
            </w:r>
          </w:p>
        </w:tc>
        <w:tc>
          <w:tcPr>
            <w:tcW w:w="10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5</w:t>
            </w:r>
          </w:p>
        </w:tc>
        <w:tc>
          <w:tcPr>
            <w:tcW w:w="8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2,731</w:t>
            </w:r>
          </w:p>
        </w:tc>
        <w:tc>
          <w:tcPr>
            <w:tcW w:w="0" w:type="dxa"/>
            <w:vAlign w:val="bottom"/>
          </w:tcPr>
          <w:p>
            <w:pPr>
              <w:spacing w:after="0"/>
              <w:rPr>
                <w:sz w:val="1"/>
                <w:szCs w:val="1"/>
                <w:color w:val="auto"/>
              </w:rPr>
            </w:pPr>
          </w:p>
        </w:tc>
      </w:tr>
      <w:tr>
        <w:trPr>
          <w:trHeight w:val="213"/>
        </w:trPr>
        <w:tc>
          <w:tcPr>
            <w:tcW w:w="5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Income from discontinued operations</w:t>
            </w: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7"/>
                <w:szCs w:val="17"/>
                <w:b w:val="1"/>
                <w:bCs w:val="1"/>
                <w:color w:val="auto"/>
              </w:rPr>
              <w:t>—</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174</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352</w:t>
            </w:r>
          </w:p>
        </w:tc>
        <w:tc>
          <w:tcPr>
            <w:tcW w:w="0" w:type="dxa"/>
            <w:vAlign w:val="bottom"/>
          </w:tcPr>
          <w:p>
            <w:pPr>
              <w:spacing w:after="0"/>
              <w:rPr>
                <w:sz w:val="1"/>
                <w:szCs w:val="1"/>
                <w:color w:val="auto"/>
              </w:rPr>
            </w:pPr>
          </w:p>
        </w:tc>
      </w:tr>
      <w:tr>
        <w:trPr>
          <w:trHeight w:val="220"/>
        </w:trPr>
        <w:tc>
          <w:tcPr>
            <w:tcW w:w="57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Interest expense</w:t>
            </w:r>
          </w:p>
        </w:tc>
        <w:tc>
          <w:tcPr>
            <w:tcW w:w="200" w:type="dxa"/>
            <w:vAlign w:val="bottom"/>
          </w:tcPr>
          <w:p>
            <w:pPr>
              <w:spacing w:after="0"/>
              <w:rPr>
                <w:sz w:val="19"/>
                <w:szCs w:val="19"/>
                <w:color w:val="auto"/>
              </w:rPr>
            </w:pPr>
          </w:p>
        </w:tc>
        <w:tc>
          <w:tcPr>
            <w:tcW w:w="1200" w:type="dxa"/>
            <w:vAlign w:val="bottom"/>
            <w:gridSpan w:val="2"/>
          </w:tcPr>
          <w:p>
            <w:pPr>
              <w:ind w:left="860"/>
              <w:spacing w:after="0"/>
              <w:rPr>
                <w:sz w:val="20"/>
                <w:szCs w:val="20"/>
                <w:color w:val="auto"/>
              </w:rPr>
            </w:pPr>
            <w:r>
              <w:rPr>
                <w:rFonts w:ascii="Times New Roman" w:cs="Times New Roman" w:eastAsia="Times New Roman" w:hAnsi="Times New Roman"/>
                <w:sz w:val="17"/>
                <w:szCs w:val="17"/>
                <w:b w:val="1"/>
                <w:bCs w:val="1"/>
                <w:color w:val="auto"/>
              </w:rPr>
              <w:t>—</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b w:val="1"/>
                <w:bCs w:val="1"/>
                <w:color w:val="auto"/>
              </w:rPr>
              <w:t>—</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0" w:type="dxa"/>
            <w:vAlign w:val="bottom"/>
          </w:tcPr>
          <w:p>
            <w:pPr>
              <w:spacing w:after="0"/>
              <w:rPr>
                <w:sz w:val="1"/>
                <w:szCs w:val="1"/>
                <w:color w:val="auto"/>
              </w:rPr>
            </w:pPr>
          </w:p>
        </w:tc>
      </w:tr>
      <w:tr>
        <w:trPr>
          <w:trHeight w:val="220"/>
        </w:trPr>
        <w:tc>
          <w:tcPr>
            <w:tcW w:w="5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income (expense), net</w:t>
            </w:r>
          </w:p>
        </w:tc>
        <w:tc>
          <w:tcPr>
            <w:tcW w:w="2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7"/>
                <w:szCs w:val="17"/>
                <w:b w:val="1"/>
                <w:bCs w:val="1"/>
                <w:color w:val="auto"/>
              </w:rPr>
              <w:t>—</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b w:val="1"/>
                <w:bCs w:val="1"/>
                <w:color w:val="auto"/>
              </w:rPr>
              <w:t>—</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w:t>
            </w:r>
          </w:p>
        </w:tc>
        <w:tc>
          <w:tcPr>
            <w:tcW w:w="0" w:type="dxa"/>
            <w:vAlign w:val="bottom"/>
          </w:tcPr>
          <w:p>
            <w:pPr>
              <w:spacing w:after="0"/>
              <w:rPr>
                <w:sz w:val="1"/>
                <w:szCs w:val="1"/>
                <w:color w:val="auto"/>
              </w:rPr>
            </w:pPr>
          </w:p>
        </w:tc>
      </w:tr>
      <w:tr>
        <w:trPr>
          <w:trHeight w:val="213"/>
        </w:trPr>
        <w:tc>
          <w:tcPr>
            <w:tcW w:w="57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Income (loss) from discontinued operations before income taxes</w:t>
            </w:r>
          </w:p>
        </w:tc>
        <w:tc>
          <w:tcPr>
            <w:tcW w:w="20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ind w:left="860"/>
              <w:spacing w:after="0"/>
              <w:rPr>
                <w:sz w:val="20"/>
                <w:szCs w:val="20"/>
                <w:color w:val="auto"/>
              </w:rPr>
            </w:pPr>
            <w:r>
              <w:rPr>
                <w:rFonts w:ascii="Times New Roman" w:cs="Times New Roman" w:eastAsia="Times New Roman" w:hAnsi="Times New Roman"/>
                <w:sz w:val="17"/>
                <w:szCs w:val="17"/>
                <w:b w:val="1"/>
                <w:bCs w:val="1"/>
                <w:color w:val="auto"/>
              </w:rPr>
              <w:t>—</w:t>
            </w:r>
          </w:p>
        </w:tc>
        <w:tc>
          <w:tcPr>
            <w:tcW w:w="1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154</w:t>
            </w: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8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333</w:t>
            </w:r>
          </w:p>
        </w:tc>
        <w:tc>
          <w:tcPr>
            <w:tcW w:w="0" w:type="dxa"/>
            <w:vAlign w:val="bottom"/>
          </w:tcPr>
          <w:p>
            <w:pPr>
              <w:spacing w:after="0"/>
              <w:rPr>
                <w:sz w:val="1"/>
                <w:szCs w:val="1"/>
                <w:color w:val="auto"/>
              </w:rPr>
            </w:pPr>
          </w:p>
        </w:tc>
      </w:tr>
      <w:tr>
        <w:trPr>
          <w:trHeight w:val="220"/>
        </w:trPr>
        <w:tc>
          <w:tcPr>
            <w:tcW w:w="5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Income tax expense (benefit)</w:t>
            </w:r>
          </w:p>
        </w:tc>
        <w:tc>
          <w:tcPr>
            <w:tcW w:w="2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7"/>
                <w:szCs w:val="17"/>
                <w:b w:val="1"/>
                <w:bCs w:val="1"/>
                <w:color w:val="auto"/>
              </w:rPr>
              <w:t>—</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b w:val="1"/>
                <w:bCs w:val="1"/>
                <w:color w:val="auto"/>
              </w:rPr>
              <w:t>—</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79</w:t>
            </w:r>
          </w:p>
        </w:tc>
        <w:tc>
          <w:tcPr>
            <w:tcW w:w="0" w:type="dxa"/>
            <w:vAlign w:val="bottom"/>
          </w:tcPr>
          <w:p>
            <w:pPr>
              <w:spacing w:after="0"/>
              <w:rPr>
                <w:sz w:val="1"/>
                <w:szCs w:val="1"/>
                <w:color w:val="auto"/>
              </w:rPr>
            </w:pPr>
          </w:p>
        </w:tc>
      </w:tr>
      <w:tr>
        <w:trPr>
          <w:trHeight w:val="213"/>
        </w:trPr>
        <w:tc>
          <w:tcPr>
            <w:tcW w:w="57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income (loss) from discontinued operations</w:t>
            </w:r>
          </w:p>
        </w:tc>
        <w:tc>
          <w:tcPr>
            <w:tcW w:w="20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ind w:left="860"/>
              <w:spacing w:after="0"/>
              <w:rPr>
                <w:sz w:val="20"/>
                <w:szCs w:val="20"/>
                <w:color w:val="auto"/>
              </w:rPr>
            </w:pPr>
            <w:r>
              <w:rPr>
                <w:rFonts w:ascii="Times New Roman" w:cs="Times New Roman" w:eastAsia="Times New Roman" w:hAnsi="Times New Roman"/>
                <w:sz w:val="17"/>
                <w:szCs w:val="17"/>
                <w:b w:val="1"/>
                <w:bCs w:val="1"/>
                <w:color w:val="auto"/>
              </w:rPr>
              <w:t>—</w:t>
            </w:r>
          </w:p>
        </w:tc>
        <w:tc>
          <w:tcPr>
            <w:tcW w:w="1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106</w:t>
            </w: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8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254</w:t>
            </w:r>
          </w:p>
        </w:tc>
        <w:tc>
          <w:tcPr>
            <w:tcW w:w="0" w:type="dxa"/>
            <w:vAlign w:val="bottom"/>
          </w:tcPr>
          <w:p>
            <w:pPr>
              <w:spacing w:after="0"/>
              <w:rPr>
                <w:sz w:val="1"/>
                <w:szCs w:val="1"/>
                <w:color w:val="auto"/>
              </w:rPr>
            </w:pPr>
          </w:p>
        </w:tc>
      </w:tr>
      <w:tr>
        <w:trPr>
          <w:trHeight w:val="220"/>
        </w:trPr>
        <w:tc>
          <w:tcPr>
            <w:tcW w:w="5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income (loss) attributable to noncontrolling interests</w:t>
            </w:r>
          </w:p>
        </w:tc>
        <w:tc>
          <w:tcPr>
            <w:tcW w:w="2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7"/>
                <w:szCs w:val="17"/>
                <w:b w:val="1"/>
                <w:bCs w:val="1"/>
                <w:color w:val="auto"/>
              </w:rPr>
              <w:t>—</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b w:val="1"/>
                <w:bCs w:val="1"/>
                <w:color w:val="auto"/>
              </w:rPr>
              <w:t>—</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0" w:type="dxa"/>
            <w:vAlign w:val="bottom"/>
          </w:tcPr>
          <w:p>
            <w:pPr>
              <w:spacing w:after="0"/>
              <w:rPr>
                <w:sz w:val="1"/>
                <w:szCs w:val="1"/>
                <w:color w:val="auto"/>
              </w:rPr>
            </w:pPr>
          </w:p>
        </w:tc>
      </w:tr>
      <w:tr>
        <w:trPr>
          <w:trHeight w:val="213"/>
        </w:trPr>
        <w:tc>
          <w:tcPr>
            <w:tcW w:w="57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income (loss) from discontinued operations related to NCR Atleos</w:t>
            </w:r>
          </w:p>
        </w:tc>
        <w:tc>
          <w:tcPr>
            <w:tcW w:w="20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100" w:type="dxa"/>
            <w:vAlign w:val="bottom"/>
            <w:tcBorders>
              <w:top w:val="single" w:sz="8" w:color="auto"/>
              <w:bottom w:val="single" w:sz="8" w:color="auto"/>
            </w:tcBorders>
          </w:tcPr>
          <w:p>
            <w:pPr>
              <w:ind w:left="860"/>
              <w:spacing w:after="0"/>
              <w:rPr>
                <w:sz w:val="20"/>
                <w:szCs w:val="20"/>
                <w:color w:val="auto"/>
              </w:rPr>
            </w:pPr>
            <w:r>
              <w:rPr>
                <w:rFonts w:ascii="Times New Roman" w:cs="Times New Roman" w:eastAsia="Times New Roman" w:hAnsi="Times New Roman"/>
                <w:sz w:val="17"/>
                <w:szCs w:val="17"/>
                <w:b w:val="1"/>
                <w:bCs w:val="1"/>
                <w:color w:val="auto"/>
              </w:rPr>
              <w:t>—</w:t>
            </w:r>
          </w:p>
        </w:tc>
        <w:tc>
          <w:tcPr>
            <w:tcW w:w="10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105</w:t>
            </w:r>
          </w:p>
        </w:tc>
        <w:tc>
          <w:tcPr>
            <w:tcW w:w="10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8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253</w:t>
            </w:r>
          </w:p>
        </w:tc>
        <w:tc>
          <w:tcPr>
            <w:tcW w:w="0" w:type="dxa"/>
            <w:vAlign w:val="bottom"/>
          </w:tcPr>
          <w:p>
            <w:pPr>
              <w:spacing w:after="0"/>
              <w:rPr>
                <w:sz w:val="1"/>
                <w:szCs w:val="1"/>
                <w:color w:val="auto"/>
              </w:rPr>
            </w:pPr>
          </w:p>
        </w:tc>
      </w:tr>
      <w:tr>
        <w:trPr>
          <w:trHeight w:val="20"/>
        </w:trPr>
        <w:tc>
          <w:tcPr>
            <w:tcW w:w="57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vertAlign w:val="superscript"/>
        </w:rPr>
        <w:t>(1)</w:t>
      </w:r>
      <w:r>
        <w:rPr>
          <w:rFonts w:ascii="Times New Roman" w:cs="Times New Roman" w:eastAsia="Times New Roman" w:hAnsi="Times New Roman"/>
          <w:sz w:val="14"/>
          <w:szCs w:val="14"/>
          <w:color w:val="auto"/>
        </w:rPr>
        <w:t>Represents operations of the delayed countries that transferred to NCR Atleos during 2024 through date of separation versus full period of NCR Atleos operations for 2023.</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presents the major classes of assets and liabilities of discontinued operations related to the Spin-Off of NCR Atleos:</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94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20" w:type="dxa"/>
            <w:vAlign w:val="bottom"/>
          </w:tcPr>
          <w:p>
            <w:pPr>
              <w:spacing w:after="0"/>
              <w:rPr>
                <w:sz w:val="15"/>
                <w:szCs w:val="15"/>
                <w:color w:val="auto"/>
              </w:rPr>
            </w:pPr>
          </w:p>
        </w:tc>
        <w:tc>
          <w:tcPr>
            <w:tcW w:w="1620" w:type="dxa"/>
            <w:vAlign w:val="bottom"/>
          </w:tcPr>
          <w:p>
            <w:pPr>
              <w:jc w:val="right"/>
              <w:ind w:right="275"/>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23"/>
        </w:trPr>
        <w:tc>
          <w:tcPr>
            <w:tcW w:w="94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r>
      <w:tr>
        <w:trPr>
          <w:trHeight w:val="200"/>
        </w:trPr>
        <w:tc>
          <w:tcPr>
            <w:tcW w:w="9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Assets</w:t>
            </w:r>
          </w:p>
        </w:tc>
        <w:tc>
          <w:tcPr>
            <w:tcW w:w="220" w:type="dxa"/>
            <w:vAlign w:val="bottom"/>
            <w:shd w:val="clear" w:color="auto" w:fill="CCEEFF"/>
          </w:tcPr>
          <w:p>
            <w:pPr>
              <w:spacing w:after="0"/>
              <w:rPr>
                <w:sz w:val="17"/>
                <w:szCs w:val="17"/>
                <w:color w:val="auto"/>
              </w:rPr>
            </w:pPr>
          </w:p>
        </w:tc>
        <w:tc>
          <w:tcPr>
            <w:tcW w:w="1620" w:type="dxa"/>
            <w:vAlign w:val="bottom"/>
            <w:shd w:val="clear" w:color="auto" w:fill="CCEEFF"/>
          </w:tcPr>
          <w:p>
            <w:pPr>
              <w:spacing w:after="0"/>
              <w:rPr>
                <w:sz w:val="17"/>
                <w:szCs w:val="17"/>
                <w:color w:val="auto"/>
              </w:rPr>
            </w:pPr>
          </w:p>
        </w:tc>
      </w:tr>
      <w:tr>
        <w:trPr>
          <w:trHeight w:val="220"/>
        </w:trPr>
        <w:tc>
          <w:tcPr>
            <w:tcW w:w="94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Current assets</w:t>
            </w:r>
          </w:p>
        </w:tc>
        <w:tc>
          <w:tcPr>
            <w:tcW w:w="220" w:type="dxa"/>
            <w:vAlign w:val="bottom"/>
          </w:tcPr>
          <w:p>
            <w:pPr>
              <w:spacing w:after="0"/>
              <w:rPr>
                <w:sz w:val="19"/>
                <w:szCs w:val="19"/>
                <w:color w:val="auto"/>
              </w:rPr>
            </w:pPr>
          </w:p>
        </w:tc>
        <w:tc>
          <w:tcPr>
            <w:tcW w:w="1620" w:type="dxa"/>
            <w:vAlign w:val="bottom"/>
          </w:tcPr>
          <w:p>
            <w:pPr>
              <w:spacing w:after="0"/>
              <w:rPr>
                <w:sz w:val="19"/>
                <w:szCs w:val="19"/>
                <w:color w:val="auto"/>
              </w:rPr>
            </w:pPr>
          </w:p>
        </w:tc>
      </w:tr>
      <w:tr>
        <w:trPr>
          <w:trHeight w:val="220"/>
        </w:trPr>
        <w:tc>
          <w:tcPr>
            <w:tcW w:w="94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7"/>
                <w:szCs w:val="17"/>
                <w:color w:val="auto"/>
              </w:rPr>
              <w:t>Cash and cash equivalents</w:t>
            </w:r>
          </w:p>
        </w:tc>
        <w:tc>
          <w:tcPr>
            <w:tcW w:w="2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r>
      <w:tr>
        <w:trPr>
          <w:trHeight w:val="220"/>
        </w:trPr>
        <w:tc>
          <w:tcPr>
            <w:tcW w:w="940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Accounts receivable, net of allowances</w:t>
            </w:r>
          </w:p>
        </w:tc>
        <w:tc>
          <w:tcPr>
            <w:tcW w:w="22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w:t>
            </w:r>
          </w:p>
        </w:tc>
      </w:tr>
      <w:tr>
        <w:trPr>
          <w:trHeight w:val="220"/>
        </w:trPr>
        <w:tc>
          <w:tcPr>
            <w:tcW w:w="94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7"/>
                <w:szCs w:val="17"/>
                <w:color w:val="auto"/>
              </w:rPr>
              <w:t>Inventories</w:t>
            </w:r>
          </w:p>
        </w:tc>
        <w:tc>
          <w:tcPr>
            <w:tcW w:w="22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w:t>
            </w:r>
          </w:p>
        </w:tc>
      </w:tr>
      <w:tr>
        <w:trPr>
          <w:trHeight w:val="220"/>
        </w:trPr>
        <w:tc>
          <w:tcPr>
            <w:tcW w:w="940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7"/>
                <w:szCs w:val="17"/>
                <w:color w:val="auto"/>
              </w:rPr>
              <w:t>Prepaid and other current assets</w:t>
            </w:r>
          </w:p>
        </w:tc>
        <w:tc>
          <w:tcPr>
            <w:tcW w:w="22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w:t>
            </w:r>
          </w:p>
        </w:tc>
      </w:tr>
      <w:tr>
        <w:trPr>
          <w:trHeight w:val="213"/>
        </w:trPr>
        <w:tc>
          <w:tcPr>
            <w:tcW w:w="9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current assets</w:t>
            </w:r>
          </w:p>
        </w:tc>
        <w:tc>
          <w:tcPr>
            <w:tcW w:w="22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w:t>
            </w:r>
          </w:p>
        </w:tc>
      </w:tr>
      <w:tr>
        <w:trPr>
          <w:trHeight w:val="220"/>
        </w:trPr>
        <w:tc>
          <w:tcPr>
            <w:tcW w:w="9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Other assets</w:t>
            </w:r>
          </w:p>
        </w:tc>
        <w:tc>
          <w:tcPr>
            <w:tcW w:w="22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w:t>
            </w:r>
          </w:p>
        </w:tc>
      </w:tr>
      <w:tr>
        <w:trPr>
          <w:trHeight w:val="213"/>
        </w:trPr>
        <w:tc>
          <w:tcPr>
            <w:tcW w:w="9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Noncurrent assets</w:t>
            </w:r>
          </w:p>
        </w:tc>
        <w:tc>
          <w:tcPr>
            <w:tcW w:w="220" w:type="dxa"/>
            <w:vAlign w:val="bottom"/>
            <w:tcBorders>
              <w:bottom w:val="single" w:sz="8" w:color="auto"/>
            </w:tcBorders>
            <w:shd w:val="clear" w:color="auto" w:fill="CCEEFF"/>
          </w:tcPr>
          <w:p>
            <w:pPr>
              <w:spacing w:after="0"/>
              <w:rPr>
                <w:sz w:val="18"/>
                <w:szCs w:val="18"/>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w:t>
            </w:r>
          </w:p>
        </w:tc>
      </w:tr>
      <w:tr>
        <w:trPr>
          <w:trHeight w:val="213"/>
        </w:trPr>
        <w:tc>
          <w:tcPr>
            <w:tcW w:w="940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Total assets of discontinued operations</w:t>
            </w:r>
          </w:p>
        </w:tc>
        <w:tc>
          <w:tcPr>
            <w:tcW w:w="22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23</w:t>
            </w:r>
          </w:p>
        </w:tc>
      </w:tr>
      <w:tr>
        <w:trPr>
          <w:trHeight w:val="20"/>
        </w:trPr>
        <w:tc>
          <w:tcPr>
            <w:tcW w:w="94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r>
      <w:tr>
        <w:trPr>
          <w:trHeight w:val="173"/>
        </w:trPr>
        <w:tc>
          <w:tcPr>
            <w:tcW w:w="94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620" w:type="dxa"/>
            <w:vAlign w:val="bottom"/>
            <w:shd w:val="clear" w:color="auto" w:fill="CCEEFF"/>
          </w:tcPr>
          <w:p>
            <w:pPr>
              <w:spacing w:after="0"/>
              <w:rPr>
                <w:sz w:val="15"/>
                <w:szCs w:val="15"/>
                <w:color w:val="auto"/>
              </w:rPr>
            </w:pPr>
          </w:p>
        </w:tc>
      </w:tr>
      <w:tr>
        <w:trPr>
          <w:trHeight w:val="220"/>
        </w:trPr>
        <w:tc>
          <w:tcPr>
            <w:tcW w:w="940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Liabilities</w:t>
            </w:r>
          </w:p>
        </w:tc>
        <w:tc>
          <w:tcPr>
            <w:tcW w:w="220" w:type="dxa"/>
            <w:vAlign w:val="bottom"/>
          </w:tcPr>
          <w:p>
            <w:pPr>
              <w:spacing w:after="0"/>
              <w:rPr>
                <w:sz w:val="19"/>
                <w:szCs w:val="19"/>
                <w:color w:val="auto"/>
              </w:rPr>
            </w:pPr>
          </w:p>
        </w:tc>
        <w:tc>
          <w:tcPr>
            <w:tcW w:w="1620" w:type="dxa"/>
            <w:vAlign w:val="bottom"/>
          </w:tcPr>
          <w:p>
            <w:pPr>
              <w:spacing w:after="0"/>
              <w:rPr>
                <w:sz w:val="19"/>
                <w:szCs w:val="19"/>
                <w:color w:val="auto"/>
              </w:rPr>
            </w:pPr>
          </w:p>
        </w:tc>
      </w:tr>
      <w:tr>
        <w:trPr>
          <w:trHeight w:val="220"/>
        </w:trPr>
        <w:tc>
          <w:tcPr>
            <w:tcW w:w="9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Current liabilities</w:t>
            </w:r>
          </w:p>
        </w:tc>
        <w:tc>
          <w:tcPr>
            <w:tcW w:w="22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r>
      <w:tr>
        <w:trPr>
          <w:trHeight w:val="220"/>
        </w:trPr>
        <w:tc>
          <w:tcPr>
            <w:tcW w:w="940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Accounts payable</w:t>
            </w:r>
          </w:p>
        </w:tc>
        <w:tc>
          <w:tcPr>
            <w:tcW w:w="22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r>
      <w:tr>
        <w:trPr>
          <w:trHeight w:val="220"/>
        </w:trPr>
        <w:tc>
          <w:tcPr>
            <w:tcW w:w="94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7"/>
                <w:szCs w:val="17"/>
                <w:color w:val="auto"/>
              </w:rPr>
              <w:t>Payroll and benefits liabilities</w:t>
            </w:r>
          </w:p>
        </w:tc>
        <w:tc>
          <w:tcPr>
            <w:tcW w:w="22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r>
      <w:tr>
        <w:trPr>
          <w:trHeight w:val="220"/>
        </w:trPr>
        <w:tc>
          <w:tcPr>
            <w:tcW w:w="940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Contract liabilities</w:t>
            </w:r>
          </w:p>
        </w:tc>
        <w:tc>
          <w:tcPr>
            <w:tcW w:w="22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w:t>
            </w:r>
          </w:p>
        </w:tc>
      </w:tr>
      <w:tr>
        <w:trPr>
          <w:trHeight w:val="220"/>
        </w:trPr>
        <w:tc>
          <w:tcPr>
            <w:tcW w:w="94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7"/>
                <w:szCs w:val="17"/>
                <w:color w:val="auto"/>
              </w:rPr>
              <w:t>Other current liabilities</w:t>
            </w:r>
          </w:p>
        </w:tc>
        <w:tc>
          <w:tcPr>
            <w:tcW w:w="22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w:t>
            </w:r>
          </w:p>
        </w:tc>
      </w:tr>
      <w:tr>
        <w:trPr>
          <w:trHeight w:val="213"/>
        </w:trPr>
        <w:tc>
          <w:tcPr>
            <w:tcW w:w="94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 current liabilities</w:t>
            </w:r>
          </w:p>
        </w:tc>
        <w:tc>
          <w:tcPr>
            <w:tcW w:w="22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w:t>
            </w:r>
          </w:p>
        </w:tc>
      </w:tr>
      <w:tr>
        <w:trPr>
          <w:trHeight w:val="220"/>
        </w:trPr>
        <w:tc>
          <w:tcPr>
            <w:tcW w:w="9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Pension and indemnity plan liabilities</w:t>
            </w:r>
          </w:p>
        </w:tc>
        <w:tc>
          <w:tcPr>
            <w:tcW w:w="22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w:t>
            </w:r>
          </w:p>
        </w:tc>
      </w:tr>
      <w:tr>
        <w:trPr>
          <w:trHeight w:val="220"/>
        </w:trPr>
        <w:tc>
          <w:tcPr>
            <w:tcW w:w="9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Other liabilities</w:t>
            </w:r>
          </w:p>
        </w:tc>
        <w:tc>
          <w:tcPr>
            <w:tcW w:w="22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w:t>
            </w:r>
          </w:p>
        </w:tc>
      </w:tr>
      <w:tr>
        <w:trPr>
          <w:trHeight w:val="213"/>
        </w:trPr>
        <w:tc>
          <w:tcPr>
            <w:tcW w:w="9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Noncurrent liabilities</w:t>
            </w:r>
          </w:p>
        </w:tc>
        <w:tc>
          <w:tcPr>
            <w:tcW w:w="220" w:type="dxa"/>
            <w:vAlign w:val="bottom"/>
            <w:tcBorders>
              <w:bottom w:val="single" w:sz="8" w:color="auto"/>
            </w:tcBorders>
            <w:shd w:val="clear" w:color="auto" w:fill="CCEEFF"/>
          </w:tcPr>
          <w:p>
            <w:pPr>
              <w:spacing w:after="0"/>
              <w:rPr>
                <w:sz w:val="18"/>
                <w:szCs w:val="18"/>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w:t>
            </w:r>
          </w:p>
        </w:tc>
      </w:tr>
      <w:tr>
        <w:trPr>
          <w:trHeight w:val="213"/>
        </w:trPr>
        <w:tc>
          <w:tcPr>
            <w:tcW w:w="940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Total liabilities of discontinued operations</w:t>
            </w:r>
          </w:p>
        </w:tc>
        <w:tc>
          <w:tcPr>
            <w:tcW w:w="22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27</w:t>
            </w:r>
          </w:p>
        </w:tc>
      </w:tr>
      <w:tr>
        <w:trPr>
          <w:trHeight w:val="20"/>
        </w:trPr>
        <w:tc>
          <w:tcPr>
            <w:tcW w:w="94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3435" cy="419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7" w:name="page18"/>
    <w:bookmarkEnd w:id="17"/>
    <w:p>
      <w:pPr>
        <w:ind w:left="62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NCR Voyix Corporation</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 (Unaudited)—(Continued)</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presents selected financial information related to cash flows from discontinued operations related to the Spin-off of NCR Atleos:</w:t>
      </w:r>
    </w:p>
    <w:p>
      <w:pPr>
        <w:spacing w:after="0" w:line="58"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76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040" w:type="dxa"/>
            <w:vAlign w:val="bottom"/>
            <w:gridSpan w:val="4"/>
          </w:tcPr>
          <w:p>
            <w:pPr>
              <w:jc w:val="right"/>
              <w:ind w:right="638"/>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23"/>
        </w:trPr>
        <w:tc>
          <w:tcPr>
            <w:tcW w:w="76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3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7"/>
        </w:trPr>
        <w:tc>
          <w:tcPr>
            <w:tcW w:w="7620" w:type="dxa"/>
            <w:vAlign w:val="bottom"/>
            <w:tcBorders>
              <w:bottom w:val="single" w:sz="8" w:color="CCEEFF"/>
            </w:tcBorders>
            <w:vMerge w:val="continue"/>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61"/>
              <w:spacing w:after="0" w:line="188" w:lineRule="exact"/>
              <w:rPr>
                <w:sz w:val="20"/>
                <w:szCs w:val="20"/>
                <w:color w:val="auto"/>
              </w:rPr>
            </w:pPr>
            <w:r>
              <w:rPr>
                <w:rFonts w:ascii="Times New Roman" w:cs="Times New Roman" w:eastAsia="Times New Roman" w:hAnsi="Times New Roman"/>
                <w:sz w:val="14"/>
                <w:szCs w:val="14"/>
                <w:b w:val="1"/>
                <w:bCs w:val="1"/>
                <w:color w:val="auto"/>
              </w:rPr>
              <w:t>2024</w:t>
            </w:r>
            <w:r>
              <w:rPr>
                <w:rFonts w:ascii="Times New Roman" w:cs="Times New Roman" w:eastAsia="Times New Roman" w:hAnsi="Times New Roman"/>
                <w:sz w:val="17"/>
                <w:szCs w:val="17"/>
                <w:b w:val="1"/>
                <w:bCs w:val="1"/>
                <w:color w:val="auto"/>
                <w:vertAlign w:val="superscript"/>
              </w:rPr>
              <w:t>(1)</w:t>
            </w:r>
          </w:p>
        </w:tc>
        <w:tc>
          <w:tcPr>
            <w:tcW w:w="8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98"/>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13"/>
        </w:trPr>
        <w:tc>
          <w:tcPr>
            <w:tcW w:w="7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cash provided by (used in) operating activities</w:t>
            </w:r>
          </w:p>
        </w:tc>
        <w:tc>
          <w:tcPr>
            <w:tcW w:w="360" w:type="dxa"/>
            <w:vAlign w:val="bottom"/>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shd w:val="clear" w:color="auto" w:fill="CCEEFF"/>
          </w:tcPr>
          <w:p>
            <w:pPr>
              <w:ind w:left="106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4"/>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441</w:t>
            </w:r>
          </w:p>
        </w:tc>
        <w:tc>
          <w:tcPr>
            <w:tcW w:w="0" w:type="dxa"/>
            <w:vAlign w:val="bottom"/>
          </w:tcPr>
          <w:p>
            <w:pPr>
              <w:spacing w:after="0"/>
              <w:rPr>
                <w:sz w:val="1"/>
                <w:szCs w:val="1"/>
                <w:color w:val="auto"/>
              </w:rPr>
            </w:pPr>
          </w:p>
        </w:tc>
      </w:tr>
      <w:tr>
        <w:trPr>
          <w:trHeight w:val="220"/>
        </w:trPr>
        <w:tc>
          <w:tcPr>
            <w:tcW w:w="76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cash provided by (used in) investing activities</w:t>
            </w:r>
          </w:p>
        </w:tc>
        <w:tc>
          <w:tcPr>
            <w:tcW w:w="360" w:type="dxa"/>
            <w:vAlign w:val="bottom"/>
          </w:tcPr>
          <w:p>
            <w:pPr>
              <w:spacing w:after="0"/>
              <w:rPr>
                <w:sz w:val="19"/>
                <w:szCs w:val="19"/>
                <w:color w:val="auto"/>
              </w:rPr>
            </w:pPr>
          </w:p>
        </w:tc>
        <w:tc>
          <w:tcPr>
            <w:tcW w:w="1780" w:type="dxa"/>
            <w:vAlign w:val="bottom"/>
            <w:gridSpan w:val="3"/>
          </w:tcPr>
          <w:p>
            <w:pPr>
              <w:ind w:left="1060"/>
              <w:spacing w:after="0"/>
              <w:rPr>
                <w:sz w:val="20"/>
                <w:szCs w:val="20"/>
                <w:color w:val="auto"/>
              </w:rPr>
            </w:pPr>
            <w:r>
              <w:rPr>
                <w:rFonts w:ascii="Times New Roman" w:cs="Times New Roman" w:eastAsia="Times New Roman" w:hAnsi="Times New Roman"/>
                <w:sz w:val="17"/>
                <w:szCs w:val="17"/>
                <w:b w:val="1"/>
                <w:bCs w:val="1"/>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(93)</w:t>
            </w:r>
          </w:p>
        </w:tc>
        <w:tc>
          <w:tcPr>
            <w:tcW w:w="0" w:type="dxa"/>
            <w:vAlign w:val="bottom"/>
          </w:tcPr>
          <w:p>
            <w:pPr>
              <w:spacing w:after="0"/>
              <w:rPr>
                <w:sz w:val="1"/>
                <w:szCs w:val="1"/>
                <w:color w:val="auto"/>
              </w:rPr>
            </w:pPr>
          </w:p>
        </w:tc>
      </w:tr>
      <w:tr>
        <w:trPr>
          <w:trHeight w:val="220"/>
        </w:trPr>
        <w:tc>
          <w:tcPr>
            <w:tcW w:w="7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cash provided by (used in) financing activities</w:t>
            </w:r>
          </w:p>
        </w:tc>
        <w:tc>
          <w:tcPr>
            <w:tcW w:w="360" w:type="dxa"/>
            <w:vAlign w:val="bottom"/>
            <w:shd w:val="clear" w:color="auto" w:fill="CCEEFF"/>
          </w:tcPr>
          <w:p>
            <w:pPr>
              <w:spacing w:after="0"/>
              <w:rPr>
                <w:sz w:val="19"/>
                <w:szCs w:val="19"/>
                <w:color w:val="auto"/>
              </w:rPr>
            </w:pPr>
          </w:p>
        </w:tc>
        <w:tc>
          <w:tcPr>
            <w:tcW w:w="1780" w:type="dxa"/>
            <w:vAlign w:val="bottom"/>
            <w:gridSpan w:val="3"/>
            <w:shd w:val="clear" w:color="auto" w:fill="CCEEFF"/>
          </w:tcPr>
          <w:p>
            <w:pPr>
              <w:ind w:left="1060"/>
              <w:spacing w:after="0"/>
              <w:rPr>
                <w:sz w:val="20"/>
                <w:szCs w:val="20"/>
                <w:color w:val="auto"/>
              </w:rPr>
            </w:pPr>
            <w:r>
              <w:rPr>
                <w:rFonts w:ascii="Times New Roman" w:cs="Times New Roman" w:eastAsia="Times New Roman" w:hAnsi="Times New Roman"/>
                <w:sz w:val="17"/>
                <w:szCs w:val="17"/>
                <w:b w:val="1"/>
                <w:bCs w:val="1"/>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bl>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vertAlign w:val="superscript"/>
        </w:rPr>
        <w:t>(1)</w:t>
      </w:r>
      <w:r>
        <w:rPr>
          <w:rFonts w:ascii="Times New Roman" w:cs="Times New Roman" w:eastAsia="Times New Roman" w:hAnsi="Times New Roman"/>
          <w:sz w:val="14"/>
          <w:szCs w:val="14"/>
          <w:color w:val="auto"/>
        </w:rPr>
        <w:t>Represents operations of the delayed countries that transferred to NCR Atleos during 2024 through date of separation versus full period of NCR Atleos operations for 2023.</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Environmental Matters</w:t>
      </w:r>
    </w:p>
    <w:p>
      <w:pPr>
        <w:spacing w:after="0" w:line="249"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The costs and insurance recoveries relating to certain environmental obligations associated with discontinued operations, including those relating to the Fox River and Kalamazoo River matters, are presented in Income (loss) from discontinued operations, net of tax, in the Consolidated Statements of Operations. Income (loss) from discontinued operations, net of tax, related to environmental matters was a loss of $19 million for the three and nine months ended September 30, 2024 and zero and a loss of $1 million for the three and nine months ended September 30, 2023, respectively. Net cash provided by or used in operating activities of discontinued operations related to environmental obligations was $4 million cash used in operating activities and $1 million cash used in operating activities for the nine months ended September 30, 2024 and 2023, respectively. Refer to Note 10, “Commitments and Contingencies” for further information.</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3. GOODWILL AND PURCHASED INTANGIBLE ASSETS</w:t>
      </w:r>
    </w:p>
    <w:p>
      <w:pPr>
        <w:spacing w:after="0" w:line="245"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7"/>
          <w:szCs w:val="17"/>
          <w:i w:val="1"/>
          <w:iCs w:val="1"/>
          <w:color w:val="auto"/>
        </w:rPr>
        <w:t xml:space="preserve">Goodwill by Segment </w:t>
      </w:r>
      <w:r>
        <w:rPr>
          <w:rFonts w:ascii="Times New Roman" w:cs="Times New Roman" w:eastAsia="Times New Roman" w:hAnsi="Times New Roman"/>
          <w:sz w:val="17"/>
          <w:szCs w:val="17"/>
          <w:color w:val="auto"/>
        </w:rPr>
        <w:t>The carrying amounts of goodwill by segment as of September 30, 2024 and December 31, 2023 are included in the table below. Foreign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currency fluctuations are included within other adjustments</w:t>
      </w:r>
      <w:r>
        <w:rPr>
          <w:rFonts w:ascii="Times New Roman" w:cs="Times New Roman" w:eastAsia="Times New Roman" w:hAnsi="Times New Roman"/>
          <w:sz w:val="13"/>
          <w:szCs w:val="13"/>
          <w:color w:val="auto"/>
        </w:rPr>
        <w:t>.</w:t>
      </w:r>
    </w:p>
    <w:p>
      <w:pPr>
        <w:spacing w:after="0" w:line="62" w:lineRule="exact"/>
        <w:rPr>
          <w:sz w:val="20"/>
          <w:szCs w:val="20"/>
          <w:color w:val="auto"/>
        </w:rPr>
      </w:pPr>
    </w:p>
    <w:tbl>
      <w:tblPr>
        <w:tblLayout w:type="fixed"/>
        <w:tblInd w:w="20" w:type="dxa"/>
        <w:tblCellMar>
          <w:top w:w="0" w:type="dxa"/>
          <w:left w:w="0" w:type="dxa"/>
          <w:bottom w:w="0" w:type="dxa"/>
          <w:right w:w="0" w:type="dxa"/>
        </w:tblCellMar>
      </w:tblPr>
      <w:tr>
        <w:trPr>
          <w:trHeight w:val="183"/>
        </w:trPr>
        <w:tc>
          <w:tcPr>
            <w:tcW w:w="2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2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w w:val="99"/>
              </w:rPr>
              <w:t>September 30, 2024</w:t>
            </w: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2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24"/>
        </w:trPr>
        <w:tc>
          <w:tcPr>
            <w:tcW w:w="21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60" w:type="dxa"/>
            <w:vAlign w:val="bottom"/>
          </w:tcPr>
          <w:p>
            <w:pPr>
              <w:spacing w:after="0"/>
              <w:rPr>
                <w:sz w:val="10"/>
                <w:szCs w:val="10"/>
                <w:color w:val="auto"/>
              </w:rPr>
            </w:pPr>
          </w:p>
        </w:tc>
        <w:tc>
          <w:tcPr>
            <w:tcW w:w="800" w:type="dxa"/>
            <w:vAlign w:val="bottom"/>
            <w:vMerge w:val="restart"/>
          </w:tcPr>
          <w:p>
            <w:pPr>
              <w:jc w:val="right"/>
              <w:ind w:right="118"/>
              <w:spacing w:after="0"/>
              <w:rPr>
                <w:sz w:val="20"/>
                <w:szCs w:val="20"/>
                <w:color w:val="auto"/>
              </w:rPr>
            </w:pPr>
            <w:r>
              <w:rPr>
                <w:rFonts w:ascii="Times New Roman" w:cs="Times New Roman" w:eastAsia="Times New Roman" w:hAnsi="Times New Roman"/>
                <w:sz w:val="14"/>
                <w:szCs w:val="14"/>
                <w:b w:val="1"/>
                <w:bCs w:val="1"/>
                <w:color w:val="auto"/>
              </w:rPr>
              <w:t>Goodwill</w:t>
            </w:r>
          </w:p>
        </w:tc>
        <w:tc>
          <w:tcPr>
            <w:tcW w:w="180" w:type="dxa"/>
            <w:vAlign w:val="bottom"/>
          </w:tcPr>
          <w:p>
            <w:pPr>
              <w:spacing w:after="0"/>
              <w:rPr>
                <w:sz w:val="10"/>
                <w:szCs w:val="10"/>
                <w:color w:val="auto"/>
              </w:rPr>
            </w:pPr>
          </w:p>
        </w:tc>
        <w:tc>
          <w:tcPr>
            <w:tcW w:w="1000" w:type="dxa"/>
            <w:vAlign w:val="bottom"/>
          </w:tcPr>
          <w:p>
            <w:pPr>
              <w:jc w:val="right"/>
              <w:ind w:right="101"/>
              <w:spacing w:after="0" w:line="124"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240" w:type="dxa"/>
            <w:vAlign w:val="bottom"/>
          </w:tcPr>
          <w:p>
            <w:pPr>
              <w:spacing w:after="0"/>
              <w:rPr>
                <w:sz w:val="10"/>
                <w:szCs w:val="10"/>
                <w:color w:val="auto"/>
              </w:rPr>
            </w:pPr>
          </w:p>
        </w:tc>
        <w:tc>
          <w:tcPr>
            <w:tcW w:w="86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20" w:type="dxa"/>
            <w:vAlign w:val="bottom"/>
          </w:tcPr>
          <w:p>
            <w:pPr>
              <w:spacing w:after="0"/>
              <w:rPr>
                <w:sz w:val="10"/>
                <w:szCs w:val="10"/>
                <w:color w:val="auto"/>
              </w:rPr>
            </w:pPr>
          </w:p>
        </w:tc>
        <w:tc>
          <w:tcPr>
            <w:tcW w:w="8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Additions</w:t>
            </w:r>
          </w:p>
        </w:tc>
        <w:tc>
          <w:tcPr>
            <w:tcW w:w="120" w:type="dxa"/>
            <w:vAlign w:val="bottom"/>
          </w:tcPr>
          <w:p>
            <w:pPr>
              <w:spacing w:after="0"/>
              <w:rPr>
                <w:sz w:val="10"/>
                <w:szCs w:val="10"/>
                <w:color w:val="auto"/>
              </w:rPr>
            </w:pPr>
          </w:p>
        </w:tc>
        <w:tc>
          <w:tcPr>
            <w:tcW w:w="102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Impairment</w:t>
            </w:r>
          </w:p>
        </w:tc>
        <w:tc>
          <w:tcPr>
            <w:tcW w:w="140" w:type="dxa"/>
            <w:vAlign w:val="bottom"/>
          </w:tcPr>
          <w:p>
            <w:pPr>
              <w:spacing w:after="0"/>
              <w:rPr>
                <w:sz w:val="10"/>
                <w:szCs w:val="10"/>
                <w:color w:val="auto"/>
              </w:rPr>
            </w:pPr>
          </w:p>
        </w:tc>
        <w:tc>
          <w:tcPr>
            <w:tcW w:w="6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40" w:type="dxa"/>
            <w:vAlign w:val="bottom"/>
          </w:tcPr>
          <w:p>
            <w:pPr>
              <w:spacing w:after="0"/>
              <w:rPr>
                <w:sz w:val="10"/>
                <w:szCs w:val="10"/>
                <w:color w:val="auto"/>
              </w:rPr>
            </w:pPr>
          </w:p>
        </w:tc>
        <w:tc>
          <w:tcPr>
            <w:tcW w:w="740" w:type="dxa"/>
            <w:vAlign w:val="bottom"/>
            <w:vMerge w:val="restart"/>
          </w:tcPr>
          <w:p>
            <w:pPr>
              <w:jc w:val="right"/>
              <w:ind w:right="58"/>
              <w:spacing w:after="0"/>
              <w:rPr>
                <w:sz w:val="20"/>
                <w:szCs w:val="20"/>
                <w:color w:val="auto"/>
              </w:rPr>
            </w:pPr>
            <w:r>
              <w:rPr>
                <w:rFonts w:ascii="Times New Roman" w:cs="Times New Roman" w:eastAsia="Times New Roman" w:hAnsi="Times New Roman"/>
                <w:sz w:val="14"/>
                <w:szCs w:val="14"/>
                <w:b w:val="1"/>
                <w:bCs w:val="1"/>
                <w:color w:val="auto"/>
              </w:rPr>
              <w:t>Goodwill</w:t>
            </w:r>
          </w:p>
        </w:tc>
        <w:tc>
          <w:tcPr>
            <w:tcW w:w="200" w:type="dxa"/>
            <w:vAlign w:val="bottom"/>
          </w:tcPr>
          <w:p>
            <w:pPr>
              <w:spacing w:after="0"/>
              <w:rPr>
                <w:sz w:val="10"/>
                <w:szCs w:val="10"/>
                <w:color w:val="auto"/>
              </w:rPr>
            </w:pPr>
          </w:p>
        </w:tc>
        <w:tc>
          <w:tcPr>
            <w:tcW w:w="1020" w:type="dxa"/>
            <w:vAlign w:val="bottom"/>
          </w:tcPr>
          <w:p>
            <w:pPr>
              <w:jc w:val="right"/>
              <w:ind w:right="121"/>
              <w:spacing w:after="0" w:line="124"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80" w:type="dxa"/>
            <w:vAlign w:val="bottom"/>
          </w:tcPr>
          <w:p>
            <w:pPr>
              <w:spacing w:after="0"/>
              <w:rPr>
                <w:sz w:val="10"/>
                <w:szCs w:val="10"/>
                <w:color w:val="auto"/>
              </w:rPr>
            </w:pPr>
          </w:p>
        </w:tc>
        <w:tc>
          <w:tcPr>
            <w:tcW w:w="680" w:type="dxa"/>
            <w:vAlign w:val="bottom"/>
            <w:vMerge w:val="restart"/>
          </w:tcPr>
          <w:p>
            <w:pPr>
              <w:jc w:val="right"/>
              <w:ind w:right="19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8"/>
        </w:trPr>
        <w:tc>
          <w:tcPr>
            <w:tcW w:w="210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tcPr>
          <w:p>
            <w:pPr>
              <w:jc w:val="right"/>
              <w:ind w:right="141"/>
              <w:spacing w:after="0"/>
              <w:rPr>
                <w:sz w:val="20"/>
                <w:szCs w:val="20"/>
                <w:color w:val="auto"/>
              </w:rPr>
            </w:pPr>
            <w:r>
              <w:rPr>
                <w:rFonts w:ascii="Times New Roman" w:cs="Times New Roman" w:eastAsia="Times New Roman" w:hAnsi="Times New Roman"/>
                <w:sz w:val="14"/>
                <w:szCs w:val="14"/>
                <w:b w:val="1"/>
                <w:bCs w:val="1"/>
                <w:color w:val="auto"/>
              </w:rPr>
              <w:t>Impairment</w:t>
            </w:r>
          </w:p>
        </w:tc>
        <w:tc>
          <w:tcPr>
            <w:tcW w:w="240" w:type="dxa"/>
            <w:vAlign w:val="bottom"/>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jc w:val="right"/>
              <w:ind w:right="161"/>
              <w:spacing w:after="0"/>
              <w:rPr>
                <w:sz w:val="20"/>
                <w:szCs w:val="20"/>
                <w:color w:val="auto"/>
              </w:rPr>
            </w:pPr>
            <w:r>
              <w:rPr>
                <w:rFonts w:ascii="Times New Roman" w:cs="Times New Roman" w:eastAsia="Times New Roman" w:hAnsi="Times New Roman"/>
                <w:sz w:val="14"/>
                <w:szCs w:val="14"/>
                <w:b w:val="1"/>
                <w:bCs w:val="1"/>
                <w:color w:val="auto"/>
              </w:rPr>
              <w:t>Impairment</w:t>
            </w:r>
          </w:p>
        </w:tc>
        <w:tc>
          <w:tcPr>
            <w:tcW w:w="18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21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Retail</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1,081</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w:t>
            </w:r>
          </w:p>
        </w:tc>
        <w:tc>
          <w:tcPr>
            <w:tcW w:w="240" w:type="dxa"/>
            <w:vAlign w:val="bottom"/>
            <w:tcBorders>
              <w:top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1,047</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40" w:type="dxa"/>
            <w:vAlign w:val="bottom"/>
            <w:tcBorders>
              <w:top w:val="single" w:sz="8" w:color="auto"/>
            </w:tcBorders>
            <w:shd w:val="clear" w:color="auto" w:fill="CCEEFF"/>
          </w:tcPr>
          <w:p>
            <w:pPr>
              <w:ind w:left="50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Borders>
              <w:top w:val="single" w:sz="8" w:color="auto"/>
            </w:tcBorders>
            <w:shd w:val="clear" w:color="auto" w:fill="CCEEFF"/>
          </w:tcPr>
          <w:p>
            <w:pPr>
              <w:ind w:left="66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560" w:type="dxa"/>
            <w:vAlign w:val="bottom"/>
            <w:tcBorders>
              <w:top w:val="single" w:sz="8" w:color="auto"/>
            </w:tcBorders>
            <w:shd w:val="clear" w:color="auto" w:fill="CCEEFF"/>
          </w:tcPr>
          <w:p>
            <w:pPr>
              <w:jc w:val="center"/>
              <w:ind w:left="238"/>
              <w:spacing w:after="0"/>
              <w:rPr>
                <w:sz w:val="20"/>
                <w:szCs w:val="20"/>
                <w:color w:val="auto"/>
              </w:rPr>
            </w:pPr>
            <w:r>
              <w:rPr>
                <w:rFonts w:ascii="Times New Roman" w:cs="Times New Roman" w:eastAsia="Times New Roman" w:hAnsi="Times New Roman"/>
                <w:sz w:val="17"/>
                <w:szCs w:val="17"/>
                <w:color w:val="auto"/>
                <w:w w:val="93"/>
              </w:rPr>
              <w:t>3</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1,084</w:t>
            </w: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(34)</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1,050</w:t>
            </w:r>
          </w:p>
        </w:tc>
        <w:tc>
          <w:tcPr>
            <w:tcW w:w="0" w:type="dxa"/>
            <w:vAlign w:val="bottom"/>
          </w:tcPr>
          <w:p>
            <w:pPr>
              <w:spacing w:after="0"/>
              <w:rPr>
                <w:sz w:val="1"/>
                <w:szCs w:val="1"/>
                <w:color w:val="auto"/>
              </w:rPr>
            </w:pPr>
          </w:p>
        </w:tc>
      </w:tr>
      <w:tr>
        <w:trPr>
          <w:trHeight w:val="220"/>
        </w:trPr>
        <w:tc>
          <w:tcPr>
            <w:tcW w:w="21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Restaurants</w:t>
            </w: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495</w:t>
            </w: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w:t>
            </w:r>
          </w:p>
        </w:tc>
        <w:tc>
          <w:tcPr>
            <w:tcW w:w="2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gridSpan w:val="2"/>
          </w:tcPr>
          <w:p>
            <w:pPr>
              <w:ind w:left="50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9"/>
                <w:szCs w:val="19"/>
                <w:color w:val="auto"/>
              </w:rPr>
            </w:pPr>
          </w:p>
        </w:tc>
        <w:tc>
          <w:tcPr>
            <w:tcW w:w="1020" w:type="dxa"/>
            <w:vAlign w:val="bottom"/>
            <w:gridSpan w:val="2"/>
          </w:tcPr>
          <w:p>
            <w:pPr>
              <w:ind w:left="6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9"/>
                <w:szCs w:val="19"/>
                <w:color w:val="auto"/>
              </w:rPr>
            </w:pPr>
          </w:p>
        </w:tc>
        <w:tc>
          <w:tcPr>
            <w:tcW w:w="560" w:type="dxa"/>
            <w:vAlign w:val="bottom"/>
          </w:tcPr>
          <w:p>
            <w:pPr>
              <w:jc w:val="center"/>
              <w:ind w:left="198"/>
              <w:spacing w:after="0"/>
              <w:rPr>
                <w:sz w:val="20"/>
                <w:szCs w:val="20"/>
                <w:color w:val="auto"/>
              </w:rPr>
            </w:pPr>
            <w:r>
              <w:rPr>
                <w:rFonts w:ascii="Times New Roman" w:cs="Times New Roman" w:eastAsia="Times New Roman" w:hAnsi="Times New Roman"/>
                <w:sz w:val="17"/>
                <w:szCs w:val="17"/>
                <w:color w:val="auto"/>
              </w:rPr>
              <w:t>(1)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494</w:t>
            </w: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(23)</w:t>
            </w: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471</w:t>
            </w:r>
          </w:p>
        </w:tc>
        <w:tc>
          <w:tcPr>
            <w:tcW w:w="0" w:type="dxa"/>
            <w:vAlign w:val="bottom"/>
          </w:tcPr>
          <w:p>
            <w:pPr>
              <w:spacing w:after="0"/>
              <w:rPr>
                <w:sz w:val="1"/>
                <w:szCs w:val="1"/>
                <w:color w:val="auto"/>
              </w:rPr>
            </w:pPr>
          </w:p>
        </w:tc>
      </w:tr>
      <w:tr>
        <w:trPr>
          <w:trHeight w:val="238"/>
        </w:trPr>
        <w:tc>
          <w:tcPr>
            <w:tcW w:w="21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Total goodwill</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1,576</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w:t>
            </w:r>
          </w:p>
        </w:tc>
        <w:tc>
          <w:tcPr>
            <w:tcW w:w="240" w:type="dxa"/>
            <w:vAlign w:val="bottom"/>
            <w:tcBorders>
              <w:top w:val="single" w:sz="8" w:color="auto"/>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1,519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40" w:type="dxa"/>
            <w:vAlign w:val="bottom"/>
            <w:tcBorders>
              <w:top w:val="single" w:sz="8" w:color="auto"/>
              <w:bottom w:val="single" w:sz="8" w:color="auto"/>
            </w:tcBorders>
            <w:shd w:val="clear" w:color="auto" w:fill="CCEEFF"/>
          </w:tcPr>
          <w:p>
            <w:pPr>
              <w:ind w:left="50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Borders>
              <w:top w:val="single" w:sz="8" w:color="auto"/>
              <w:bottom w:val="single" w:sz="8" w:color="auto"/>
            </w:tcBorders>
            <w:shd w:val="clear" w:color="auto" w:fill="CCEEFF"/>
          </w:tcPr>
          <w:p>
            <w:pPr>
              <w:ind w:left="66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560" w:type="dxa"/>
            <w:vAlign w:val="bottom"/>
            <w:tcBorders>
              <w:top w:val="single" w:sz="8" w:color="auto"/>
              <w:bottom w:val="single" w:sz="8" w:color="auto"/>
            </w:tcBorders>
            <w:shd w:val="clear" w:color="auto" w:fill="CCEEFF"/>
          </w:tcPr>
          <w:p>
            <w:pPr>
              <w:jc w:val="center"/>
              <w:ind w:left="238"/>
              <w:spacing w:after="0"/>
              <w:rPr>
                <w:sz w:val="20"/>
                <w:szCs w:val="20"/>
                <w:color w:val="auto"/>
              </w:rPr>
            </w:pPr>
            <w:r>
              <w:rPr>
                <w:rFonts w:ascii="Times New Roman" w:cs="Times New Roman" w:eastAsia="Times New Roman" w:hAnsi="Times New Roman"/>
                <w:sz w:val="17"/>
                <w:szCs w:val="17"/>
                <w:color w:val="auto"/>
                <w:w w:val="93"/>
              </w:rPr>
              <w:t>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1,578</w:t>
            </w: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(57)</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1,521</w:t>
            </w:r>
          </w:p>
        </w:tc>
        <w:tc>
          <w:tcPr>
            <w:tcW w:w="0" w:type="dxa"/>
            <w:vAlign w:val="bottom"/>
          </w:tcPr>
          <w:p>
            <w:pPr>
              <w:spacing w:after="0"/>
              <w:rPr>
                <w:sz w:val="1"/>
                <w:szCs w:val="1"/>
                <w:color w:val="auto"/>
              </w:rPr>
            </w:pPr>
          </w:p>
        </w:tc>
      </w:tr>
      <w:tr>
        <w:trPr>
          <w:trHeight w:val="20"/>
        </w:trPr>
        <w:tc>
          <w:tcPr>
            <w:tcW w:w="2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4"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i w:val="1"/>
          <w:iCs w:val="1"/>
          <w:color w:val="auto"/>
        </w:rPr>
        <w:t xml:space="preserve">Identifiable Intangible Assets </w:t>
      </w:r>
      <w:r>
        <w:rPr>
          <w:rFonts w:ascii="Times New Roman" w:cs="Times New Roman" w:eastAsia="Times New Roman" w:hAnsi="Times New Roman"/>
          <w:sz w:val="17"/>
          <w:szCs w:val="17"/>
          <w:color w:val="auto"/>
        </w:rPr>
        <w:t>The Company’s purchased intangible assets, reported in Intangibles, net in the Condensed Consolidated Balance Sheets, were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specifically identified when acquired, and are deemed to have finite lives. The gross carrying amount and accumulated amortization for the Company’s identifiable intangible assets were as set forth in the table below.</w:t>
      </w:r>
    </w:p>
    <w:p>
      <w:pPr>
        <w:spacing w:after="0" w:line="39" w:lineRule="exact"/>
        <w:rPr>
          <w:sz w:val="20"/>
          <w:szCs w:val="20"/>
          <w:color w:val="auto"/>
        </w:rPr>
      </w:pPr>
    </w:p>
    <w:tbl>
      <w:tblPr>
        <w:tblLayout w:type="fixed"/>
        <w:tblInd w:w="20" w:type="dxa"/>
        <w:tblCellMar>
          <w:top w:w="0" w:type="dxa"/>
          <w:left w:w="0" w:type="dxa"/>
          <w:bottom w:w="0" w:type="dxa"/>
          <w:right w:w="0" w:type="dxa"/>
        </w:tblCellMar>
      </w:tblPr>
      <w:tr>
        <w:trPr>
          <w:trHeight w:val="183"/>
        </w:trPr>
        <w:tc>
          <w:tcPr>
            <w:tcW w:w="346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700" w:type="dxa"/>
            <w:vAlign w:val="bottom"/>
            <w:gridSpan w:val="5"/>
          </w:tcPr>
          <w:p>
            <w:pPr>
              <w:ind w:left="640"/>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140" w:type="dxa"/>
            <w:vAlign w:val="bottom"/>
          </w:tcPr>
          <w:p>
            <w:pPr>
              <w:spacing w:after="0"/>
              <w:rPr>
                <w:sz w:val="15"/>
                <w:szCs w:val="15"/>
                <w:color w:val="auto"/>
              </w:rPr>
            </w:pPr>
          </w:p>
        </w:tc>
        <w:tc>
          <w:tcPr>
            <w:tcW w:w="2640" w:type="dxa"/>
            <w:vAlign w:val="bottom"/>
            <w:gridSpan w:val="4"/>
          </w:tcPr>
          <w:p>
            <w:pPr>
              <w:jc w:val="right"/>
              <w:ind w:right="759"/>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0" w:type="dxa"/>
            <w:vAlign w:val="bottom"/>
          </w:tcPr>
          <w:p>
            <w:pPr>
              <w:spacing w:after="0"/>
              <w:rPr>
                <w:sz w:val="1"/>
                <w:szCs w:val="1"/>
                <w:color w:val="auto"/>
              </w:rPr>
            </w:pPr>
          </w:p>
        </w:tc>
      </w:tr>
      <w:tr>
        <w:trPr>
          <w:trHeight w:val="23"/>
        </w:trPr>
        <w:tc>
          <w:tcPr>
            <w:tcW w:w="3460" w:type="dxa"/>
            <w:vAlign w:val="bottom"/>
          </w:tcPr>
          <w:p>
            <w:pPr>
              <w:spacing w:after="0" w:line="20" w:lineRule="exact"/>
              <w:rPr>
                <w:sz w:val="1"/>
                <w:szCs w:val="1"/>
                <w:color w:val="auto"/>
              </w:rPr>
            </w:pPr>
          </w:p>
        </w:tc>
        <w:tc>
          <w:tcPr>
            <w:tcW w:w="2100" w:type="dxa"/>
            <w:vAlign w:val="bottom"/>
            <w:vMerge w:val="restart"/>
          </w:tcPr>
          <w:p>
            <w:pPr>
              <w:jc w:val="center"/>
              <w:ind w:left="441"/>
              <w:spacing w:after="0"/>
              <w:rPr>
                <w:sz w:val="20"/>
                <w:szCs w:val="20"/>
                <w:color w:val="auto"/>
              </w:rPr>
            </w:pPr>
            <w:r>
              <w:rPr>
                <w:rFonts w:ascii="Times New Roman" w:cs="Times New Roman" w:eastAsia="Times New Roman" w:hAnsi="Times New Roman"/>
                <w:sz w:val="14"/>
                <w:szCs w:val="14"/>
                <w:b w:val="1"/>
                <w:bCs w:val="1"/>
                <w:color w:val="auto"/>
                <w:w w:val="97"/>
              </w:rPr>
              <w:t>Amortization</w:t>
            </w: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9"/>
        </w:trPr>
        <w:tc>
          <w:tcPr>
            <w:tcW w:w="3460" w:type="dxa"/>
            <w:vAlign w:val="bottom"/>
          </w:tcPr>
          <w:p>
            <w:pPr>
              <w:spacing w:after="0"/>
              <w:rPr>
                <w:sz w:val="12"/>
                <w:szCs w:val="12"/>
                <w:color w:val="auto"/>
              </w:rPr>
            </w:pPr>
          </w:p>
        </w:tc>
        <w:tc>
          <w:tcPr>
            <w:tcW w:w="210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8"/>
              </w:rPr>
              <w:t>Gross Carrying</w:t>
            </w:r>
          </w:p>
        </w:tc>
        <w:tc>
          <w:tcPr>
            <w:tcW w:w="200" w:type="dxa"/>
            <w:vAlign w:val="bottom"/>
          </w:tcPr>
          <w:p>
            <w:pPr>
              <w:spacing w:after="0"/>
              <w:rPr>
                <w:sz w:val="12"/>
                <w:szCs w:val="12"/>
                <w:color w:val="auto"/>
              </w:rPr>
            </w:pPr>
          </w:p>
        </w:tc>
        <w:tc>
          <w:tcPr>
            <w:tcW w:w="124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40" w:type="dxa"/>
            <w:vAlign w:val="bottom"/>
          </w:tcPr>
          <w:p>
            <w:pPr>
              <w:spacing w:after="0"/>
              <w:rPr>
                <w:sz w:val="12"/>
                <w:szCs w:val="12"/>
                <w:color w:val="auto"/>
              </w:rPr>
            </w:pPr>
          </w:p>
        </w:tc>
        <w:tc>
          <w:tcPr>
            <w:tcW w:w="124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8"/>
              </w:rPr>
              <w:t>Gross Carrying</w:t>
            </w:r>
          </w:p>
        </w:tc>
        <w:tc>
          <w:tcPr>
            <w:tcW w:w="200" w:type="dxa"/>
            <w:vAlign w:val="bottom"/>
          </w:tcPr>
          <w:p>
            <w:pPr>
              <w:spacing w:after="0"/>
              <w:rPr>
                <w:sz w:val="12"/>
                <w:szCs w:val="12"/>
                <w:color w:val="auto"/>
              </w:rPr>
            </w:pPr>
          </w:p>
        </w:tc>
        <w:tc>
          <w:tcPr>
            <w:tcW w:w="1200" w:type="dxa"/>
            <w:vAlign w:val="bottom"/>
            <w:vMerge w:val="restart"/>
          </w:tcPr>
          <w:p>
            <w:pPr>
              <w:jc w:val="right"/>
              <w:ind w:right="239"/>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0" w:type="dxa"/>
            <w:vAlign w:val="bottom"/>
          </w:tcPr>
          <w:p>
            <w:pPr>
              <w:spacing w:after="0"/>
              <w:rPr>
                <w:sz w:val="1"/>
                <w:szCs w:val="1"/>
                <w:color w:val="auto"/>
              </w:rPr>
            </w:pPr>
          </w:p>
        </w:tc>
      </w:tr>
      <w:tr>
        <w:trPr>
          <w:trHeight w:val="143"/>
        </w:trPr>
        <w:tc>
          <w:tcPr>
            <w:tcW w:w="34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100" w:type="dxa"/>
            <w:vAlign w:val="bottom"/>
          </w:tcPr>
          <w:p>
            <w:pPr>
              <w:jc w:val="center"/>
              <w:ind w:left="481"/>
              <w:spacing w:after="0" w:line="143" w:lineRule="exact"/>
              <w:rPr>
                <w:sz w:val="20"/>
                <w:szCs w:val="20"/>
                <w:color w:val="auto"/>
              </w:rPr>
            </w:pPr>
            <w:r>
              <w:rPr>
                <w:rFonts w:ascii="Times New Roman" w:cs="Times New Roman" w:eastAsia="Times New Roman" w:hAnsi="Times New Roman"/>
                <w:sz w:val="14"/>
                <w:szCs w:val="14"/>
                <w:b w:val="1"/>
                <w:bCs w:val="1"/>
                <w:color w:val="auto"/>
                <w:w w:val="95"/>
              </w:rPr>
              <w:t>Period</w:t>
            </w:r>
          </w:p>
        </w:tc>
        <w:tc>
          <w:tcPr>
            <w:tcW w:w="16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2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3460" w:type="dxa"/>
            <w:vAlign w:val="bottom"/>
            <w:vMerge w:val="continue"/>
          </w:tcPr>
          <w:p>
            <w:pPr>
              <w:spacing w:after="0"/>
              <w:rPr>
                <w:sz w:val="16"/>
                <w:szCs w:val="16"/>
                <w:color w:val="auto"/>
              </w:rPr>
            </w:pPr>
          </w:p>
        </w:tc>
        <w:tc>
          <w:tcPr>
            <w:tcW w:w="2100" w:type="dxa"/>
            <w:vAlign w:val="bottom"/>
          </w:tcPr>
          <w:p>
            <w:pPr>
              <w:jc w:val="center"/>
              <w:ind w:left="481"/>
              <w:spacing w:after="0"/>
              <w:rPr>
                <w:sz w:val="20"/>
                <w:szCs w:val="20"/>
                <w:color w:val="auto"/>
              </w:rPr>
            </w:pPr>
            <w:r>
              <w:rPr>
                <w:rFonts w:ascii="Times New Roman" w:cs="Times New Roman" w:eastAsia="Times New Roman" w:hAnsi="Times New Roman"/>
                <w:sz w:val="14"/>
                <w:szCs w:val="14"/>
                <w:b w:val="1"/>
                <w:bCs w:val="1"/>
                <w:color w:val="auto"/>
                <w:w w:val="97"/>
              </w:rPr>
              <w:t>(in Years)</w:t>
            </w:r>
          </w:p>
        </w:tc>
        <w:tc>
          <w:tcPr>
            <w:tcW w:w="160" w:type="dxa"/>
            <w:vAlign w:val="bottom"/>
          </w:tcPr>
          <w:p>
            <w:pPr>
              <w:spacing w:after="0"/>
              <w:rPr>
                <w:sz w:val="16"/>
                <w:szCs w:val="16"/>
                <w:color w:val="auto"/>
              </w:rPr>
            </w:pPr>
          </w:p>
        </w:tc>
        <w:tc>
          <w:tcPr>
            <w:tcW w:w="12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7"/>
              </w:rPr>
              <w:t>Amount</w:t>
            </w:r>
          </w:p>
        </w:tc>
        <w:tc>
          <w:tcPr>
            <w:tcW w:w="200" w:type="dxa"/>
            <w:vAlign w:val="bottom"/>
          </w:tcPr>
          <w:p>
            <w:pPr>
              <w:spacing w:after="0"/>
              <w:rPr>
                <w:sz w:val="16"/>
                <w:szCs w:val="16"/>
                <w:color w:val="auto"/>
              </w:rPr>
            </w:pPr>
          </w:p>
        </w:tc>
        <w:tc>
          <w:tcPr>
            <w:tcW w:w="12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40" w:type="dxa"/>
            <w:vAlign w:val="bottom"/>
          </w:tcPr>
          <w:p>
            <w:pPr>
              <w:spacing w:after="0"/>
              <w:rPr>
                <w:sz w:val="16"/>
                <w:szCs w:val="16"/>
                <w:color w:val="auto"/>
              </w:rPr>
            </w:pPr>
          </w:p>
        </w:tc>
        <w:tc>
          <w:tcPr>
            <w:tcW w:w="12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7"/>
              </w:rPr>
              <w:t>Amount</w:t>
            </w:r>
          </w:p>
        </w:tc>
        <w:tc>
          <w:tcPr>
            <w:tcW w:w="200" w:type="dxa"/>
            <w:vAlign w:val="bottom"/>
          </w:tcPr>
          <w:p>
            <w:pPr>
              <w:spacing w:after="0"/>
              <w:rPr>
                <w:sz w:val="16"/>
                <w:szCs w:val="16"/>
                <w:color w:val="auto"/>
              </w:rPr>
            </w:pPr>
          </w:p>
        </w:tc>
        <w:tc>
          <w:tcPr>
            <w:tcW w:w="1200" w:type="dxa"/>
            <w:vAlign w:val="bottom"/>
          </w:tcPr>
          <w:p>
            <w:pPr>
              <w:jc w:val="right"/>
              <w:ind w:right="219"/>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0" w:type="dxa"/>
            <w:vAlign w:val="bottom"/>
          </w:tcPr>
          <w:p>
            <w:pPr>
              <w:spacing w:after="0"/>
              <w:rPr>
                <w:sz w:val="1"/>
                <w:szCs w:val="1"/>
                <w:color w:val="auto"/>
              </w:rPr>
            </w:pPr>
          </w:p>
        </w:tc>
      </w:tr>
      <w:tr>
        <w:trPr>
          <w:trHeight w:val="206"/>
        </w:trPr>
        <w:tc>
          <w:tcPr>
            <w:tcW w:w="34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Identifiable intangible assets</w:t>
            </w:r>
          </w:p>
        </w:tc>
        <w:tc>
          <w:tcPr>
            <w:tcW w:w="2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34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Reseller &amp; customer relationships</w:t>
            </w:r>
          </w:p>
        </w:tc>
        <w:tc>
          <w:tcPr>
            <w:tcW w:w="2100" w:type="dxa"/>
            <w:vAlign w:val="bottom"/>
          </w:tcPr>
          <w:p>
            <w:pPr>
              <w:jc w:val="center"/>
              <w:ind w:left="461"/>
              <w:spacing w:after="0"/>
              <w:rPr>
                <w:sz w:val="20"/>
                <w:szCs w:val="20"/>
                <w:color w:val="auto"/>
              </w:rPr>
            </w:pPr>
            <w:r>
              <w:rPr>
                <w:rFonts w:ascii="Times New Roman" w:cs="Times New Roman" w:eastAsia="Times New Roman" w:hAnsi="Times New Roman"/>
                <w:sz w:val="17"/>
                <w:szCs w:val="17"/>
                <w:color w:val="auto"/>
              </w:rPr>
              <w:t>1 - 20</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322</w:t>
            </w:r>
          </w:p>
        </w:tc>
        <w:tc>
          <w:tcPr>
            <w:tcW w:w="100" w:type="dxa"/>
            <w:vAlign w:val="bottom"/>
          </w:tcPr>
          <w:p>
            <w:pPr>
              <w:spacing w:after="0"/>
              <w:rPr>
                <w:sz w:val="19"/>
                <w:szCs w:val="19"/>
                <w:color w:val="auto"/>
              </w:rPr>
            </w:pPr>
          </w:p>
        </w:tc>
        <w:tc>
          <w:tcPr>
            <w:tcW w:w="200" w:type="dxa"/>
            <w:vAlign w:val="bottom"/>
          </w:tcPr>
          <w:p>
            <w:pPr>
              <w:jc w:val="right"/>
              <w:ind w:right="1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(265)</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322</w:t>
            </w:r>
          </w:p>
        </w:tc>
        <w:tc>
          <w:tcPr>
            <w:tcW w:w="100" w:type="dxa"/>
            <w:vAlign w:val="bottom"/>
          </w:tcPr>
          <w:p>
            <w:pPr>
              <w:spacing w:after="0"/>
              <w:rPr>
                <w:sz w:val="19"/>
                <w:szCs w:val="19"/>
                <w:color w:val="auto"/>
              </w:rPr>
            </w:pPr>
          </w:p>
        </w:tc>
        <w:tc>
          <w:tcPr>
            <w:tcW w:w="20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(251)</w:t>
            </w:r>
          </w:p>
        </w:tc>
        <w:tc>
          <w:tcPr>
            <w:tcW w:w="0" w:type="dxa"/>
            <w:vAlign w:val="bottom"/>
          </w:tcPr>
          <w:p>
            <w:pPr>
              <w:spacing w:after="0"/>
              <w:rPr>
                <w:sz w:val="1"/>
                <w:szCs w:val="1"/>
                <w:color w:val="auto"/>
              </w:rPr>
            </w:pPr>
          </w:p>
        </w:tc>
      </w:tr>
      <w:tr>
        <w:trPr>
          <w:trHeight w:val="220"/>
        </w:trPr>
        <w:tc>
          <w:tcPr>
            <w:tcW w:w="3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Intellectual property</w:t>
            </w:r>
          </w:p>
        </w:tc>
        <w:tc>
          <w:tcPr>
            <w:tcW w:w="2100" w:type="dxa"/>
            <w:vAlign w:val="bottom"/>
            <w:shd w:val="clear" w:color="auto" w:fill="CCEEFF"/>
          </w:tcPr>
          <w:p>
            <w:pPr>
              <w:jc w:val="center"/>
              <w:ind w:left="461"/>
              <w:spacing w:after="0"/>
              <w:rPr>
                <w:sz w:val="20"/>
                <w:szCs w:val="20"/>
                <w:color w:val="auto"/>
              </w:rPr>
            </w:pPr>
            <w:r>
              <w:rPr>
                <w:rFonts w:ascii="Times New Roman" w:cs="Times New Roman" w:eastAsia="Times New Roman" w:hAnsi="Times New Roman"/>
                <w:sz w:val="17"/>
                <w:szCs w:val="17"/>
                <w:color w:val="auto"/>
              </w:rPr>
              <w:t>2 - 8</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347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(304)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(296)</w:t>
            </w:r>
          </w:p>
        </w:tc>
        <w:tc>
          <w:tcPr>
            <w:tcW w:w="0" w:type="dxa"/>
            <w:vAlign w:val="bottom"/>
          </w:tcPr>
          <w:p>
            <w:pPr>
              <w:spacing w:after="0"/>
              <w:rPr>
                <w:sz w:val="1"/>
                <w:szCs w:val="1"/>
                <w:color w:val="auto"/>
              </w:rPr>
            </w:pPr>
          </w:p>
        </w:tc>
      </w:tr>
      <w:tr>
        <w:trPr>
          <w:trHeight w:val="220"/>
        </w:trPr>
        <w:tc>
          <w:tcPr>
            <w:tcW w:w="34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Customer contracts</w:t>
            </w:r>
          </w:p>
        </w:tc>
        <w:tc>
          <w:tcPr>
            <w:tcW w:w="2100" w:type="dxa"/>
            <w:vAlign w:val="bottom"/>
          </w:tcPr>
          <w:p>
            <w:pPr>
              <w:jc w:val="center"/>
              <w:ind w:left="481"/>
              <w:spacing w:after="0"/>
              <w:rPr>
                <w:sz w:val="20"/>
                <w:szCs w:val="20"/>
                <w:color w:val="auto"/>
              </w:rPr>
            </w:pPr>
            <w:r>
              <w:rPr>
                <w:rFonts w:ascii="Times New Roman" w:cs="Times New Roman" w:eastAsia="Times New Roman" w:hAnsi="Times New Roman"/>
                <w:sz w:val="17"/>
                <w:szCs w:val="17"/>
                <w:color w:val="auto"/>
              </w:rPr>
              <w:t>8</w:t>
            </w:r>
          </w:p>
        </w:tc>
        <w:tc>
          <w:tcPr>
            <w:tcW w:w="16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b w:val="1"/>
                <w:bCs w:val="1"/>
                <w:color w:val="auto"/>
              </w:rPr>
              <w:t>—</w:t>
            </w:r>
          </w:p>
        </w:tc>
        <w:tc>
          <w:tcPr>
            <w:tcW w:w="200" w:type="dxa"/>
            <w:vAlign w:val="bottom"/>
          </w:tcPr>
          <w:p>
            <w:pPr>
              <w:spacing w:after="0"/>
              <w:rPr>
                <w:sz w:val="19"/>
                <w:szCs w:val="19"/>
                <w:color w:val="auto"/>
              </w:rPr>
            </w:pPr>
          </w:p>
        </w:tc>
        <w:tc>
          <w:tcPr>
            <w:tcW w:w="1240" w:type="dxa"/>
            <w:vAlign w:val="bottom"/>
            <w:gridSpan w:val="2"/>
          </w:tcPr>
          <w:p>
            <w:pPr>
              <w:ind w:left="900"/>
              <w:spacing w:after="0"/>
              <w:rPr>
                <w:sz w:val="20"/>
                <w:szCs w:val="20"/>
                <w:color w:val="auto"/>
              </w:rPr>
            </w:pPr>
            <w:r>
              <w:rPr>
                <w:rFonts w:ascii="Times New Roman" w:cs="Times New Roman" w:eastAsia="Times New Roman" w:hAnsi="Times New Roman"/>
                <w:sz w:val="17"/>
                <w:szCs w:val="17"/>
                <w:b w:val="1"/>
                <w:bCs w:val="1"/>
                <w:color w:val="auto"/>
              </w:rPr>
              <w:t>—</w:t>
            </w:r>
          </w:p>
        </w:tc>
        <w:tc>
          <w:tcPr>
            <w:tcW w:w="14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0"/>
        </w:trPr>
        <w:tc>
          <w:tcPr>
            <w:tcW w:w="3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Tradenames</w:t>
            </w:r>
          </w:p>
        </w:tc>
        <w:tc>
          <w:tcPr>
            <w:tcW w:w="2100" w:type="dxa"/>
            <w:vAlign w:val="bottom"/>
            <w:shd w:val="clear" w:color="auto" w:fill="CCEEFF"/>
          </w:tcPr>
          <w:p>
            <w:pPr>
              <w:jc w:val="center"/>
              <w:ind w:left="461"/>
              <w:spacing w:after="0"/>
              <w:rPr>
                <w:sz w:val="20"/>
                <w:szCs w:val="20"/>
                <w:color w:val="auto"/>
              </w:rPr>
            </w:pPr>
            <w:r>
              <w:rPr>
                <w:rFonts w:ascii="Times New Roman" w:cs="Times New Roman" w:eastAsia="Times New Roman" w:hAnsi="Times New Roman"/>
                <w:sz w:val="17"/>
                <w:szCs w:val="17"/>
                <w:color w:val="auto"/>
              </w:rPr>
              <w:t>1 - 10</w:t>
            </w:r>
          </w:p>
        </w:tc>
        <w:tc>
          <w:tcPr>
            <w:tcW w:w="1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64</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(62)</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64</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w:t>
            </w:r>
          </w:p>
        </w:tc>
        <w:tc>
          <w:tcPr>
            <w:tcW w:w="0" w:type="dxa"/>
            <w:vAlign w:val="bottom"/>
          </w:tcPr>
          <w:p>
            <w:pPr>
              <w:spacing w:after="0"/>
              <w:rPr>
                <w:sz w:val="1"/>
                <w:szCs w:val="1"/>
                <w:color w:val="auto"/>
              </w:rPr>
            </w:pPr>
          </w:p>
        </w:tc>
      </w:tr>
      <w:tr>
        <w:trPr>
          <w:trHeight w:val="213"/>
        </w:trPr>
        <w:tc>
          <w:tcPr>
            <w:tcW w:w="346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Total identifiable intangible assets</w:t>
            </w:r>
          </w:p>
        </w:tc>
        <w:tc>
          <w:tcPr>
            <w:tcW w:w="2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733</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(631)</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732</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(609)</w:t>
            </w:r>
          </w:p>
        </w:tc>
        <w:tc>
          <w:tcPr>
            <w:tcW w:w="0" w:type="dxa"/>
            <w:vAlign w:val="bottom"/>
          </w:tcPr>
          <w:p>
            <w:pPr>
              <w:spacing w:after="0"/>
              <w:rPr>
                <w:sz w:val="1"/>
                <w:szCs w:val="1"/>
                <w:color w:val="auto"/>
              </w:rPr>
            </w:pPr>
          </w:p>
        </w:tc>
      </w:tr>
      <w:tr>
        <w:trPr>
          <w:trHeight w:val="20"/>
        </w:trPr>
        <w:tc>
          <w:tcPr>
            <w:tcW w:w="346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Amortization expense related to identifiable intangible assets for the following periods is:</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4040" w:type="dxa"/>
            <w:vAlign w:val="bottom"/>
          </w:tcPr>
          <w:p>
            <w:pPr>
              <w:spacing w:after="0"/>
              <w:rPr>
                <w:sz w:val="15"/>
                <w:szCs w:val="15"/>
                <w:color w:val="auto"/>
              </w:rPr>
            </w:pPr>
          </w:p>
        </w:tc>
        <w:tc>
          <w:tcPr>
            <w:tcW w:w="3120" w:type="dxa"/>
            <w:vAlign w:val="bottom"/>
            <w:gridSpan w:val="4"/>
          </w:tcPr>
          <w:p>
            <w:pPr>
              <w:jc w:val="right"/>
              <w:ind w:right="202"/>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20" w:type="dxa"/>
            <w:vAlign w:val="bottom"/>
            <w:gridSpan w:val="4"/>
          </w:tcPr>
          <w:p>
            <w:pPr>
              <w:ind w:left="76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40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3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2"/>
        </w:trPr>
        <w:tc>
          <w:tcPr>
            <w:tcW w:w="4040" w:type="dxa"/>
            <w:vAlign w:val="bottom"/>
            <w:tcBorders>
              <w:bottom w:val="single" w:sz="8" w:color="CCEEFF"/>
            </w:tcBorders>
            <w:vMerge w:val="continue"/>
          </w:tcPr>
          <w:p>
            <w:pPr>
              <w:spacing w:after="0"/>
              <w:rPr>
                <w:sz w:val="15"/>
                <w:szCs w:val="15"/>
                <w:color w:val="auto"/>
              </w:rPr>
            </w:pPr>
          </w:p>
        </w:tc>
        <w:tc>
          <w:tcPr>
            <w:tcW w:w="1320" w:type="dxa"/>
            <w:vAlign w:val="bottom"/>
            <w:tcBorders>
              <w:bottom w:val="single" w:sz="8" w:color="auto"/>
            </w:tcBorders>
          </w:tcPr>
          <w:p>
            <w:pPr>
              <w:jc w:val="right"/>
              <w:ind w:right="225"/>
              <w:spacing w:after="0"/>
              <w:rPr>
                <w:sz w:val="20"/>
                <w:szCs w:val="20"/>
                <w:color w:val="auto"/>
              </w:rPr>
            </w:pPr>
            <w:r>
              <w:rPr>
                <w:rFonts w:ascii="Times New Roman" w:cs="Times New Roman" w:eastAsia="Times New Roman" w:hAnsi="Times New Roman"/>
                <w:sz w:val="14"/>
                <w:szCs w:val="14"/>
                <w:b w:val="1"/>
                <w:bCs w:val="1"/>
                <w:color w:val="auto"/>
              </w:rPr>
              <w:t>2024</w:t>
            </w:r>
          </w:p>
        </w:tc>
        <w:tc>
          <w:tcPr>
            <w:tcW w:w="44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260" w:type="dxa"/>
            <w:vAlign w:val="bottom"/>
            <w:tcBorders>
              <w:bottom w:val="single" w:sz="8" w:color="auto"/>
            </w:tcBorders>
          </w:tcPr>
          <w:p>
            <w:pPr>
              <w:jc w:val="right"/>
              <w:ind w:right="162"/>
              <w:spacing w:after="0"/>
              <w:rPr>
                <w:sz w:val="20"/>
                <w:szCs w:val="20"/>
                <w:color w:val="auto"/>
              </w:rPr>
            </w:pPr>
            <w:r>
              <w:rPr>
                <w:rFonts w:ascii="Times New Roman" w:cs="Times New Roman" w:eastAsia="Times New Roman" w:hAnsi="Times New Roman"/>
                <w:sz w:val="14"/>
                <w:szCs w:val="14"/>
                <w:b w:val="1"/>
                <w:bCs w:val="1"/>
                <w:color w:val="auto"/>
              </w:rPr>
              <w:t>2023</w:t>
            </w:r>
          </w:p>
        </w:tc>
        <w:tc>
          <w:tcPr>
            <w:tcW w:w="50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260" w:type="dxa"/>
            <w:vAlign w:val="bottom"/>
            <w:tcBorders>
              <w:bottom w:val="single" w:sz="8" w:color="auto"/>
            </w:tcBorders>
          </w:tcPr>
          <w:p>
            <w:pPr>
              <w:ind w:left="740"/>
              <w:spacing w:after="0"/>
              <w:rPr>
                <w:sz w:val="20"/>
                <w:szCs w:val="20"/>
                <w:color w:val="auto"/>
              </w:rPr>
            </w:pPr>
            <w:r>
              <w:rPr>
                <w:rFonts w:ascii="Times New Roman" w:cs="Times New Roman" w:eastAsia="Times New Roman" w:hAnsi="Times New Roman"/>
                <w:sz w:val="14"/>
                <w:szCs w:val="14"/>
                <w:b w:val="1"/>
                <w:bCs w:val="1"/>
                <w:color w:val="auto"/>
              </w:rPr>
              <w:t>2024</w:t>
            </w:r>
          </w:p>
        </w:tc>
        <w:tc>
          <w:tcPr>
            <w:tcW w:w="48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160" w:type="dxa"/>
            <w:vAlign w:val="bottom"/>
            <w:tcBorders>
              <w:bottom w:val="single" w:sz="8" w:color="auto"/>
            </w:tcBorders>
          </w:tcPr>
          <w:p>
            <w:pPr>
              <w:jc w:val="right"/>
              <w:ind w:right="142"/>
              <w:spacing w:after="0"/>
              <w:rPr>
                <w:sz w:val="20"/>
                <w:szCs w:val="20"/>
                <w:color w:val="auto"/>
              </w:rPr>
            </w:pPr>
            <w:r>
              <w:rPr>
                <w:rFonts w:ascii="Times New Roman" w:cs="Times New Roman" w:eastAsia="Times New Roman" w:hAnsi="Times New Roman"/>
                <w:sz w:val="14"/>
                <w:szCs w:val="14"/>
                <w:b w:val="1"/>
                <w:bCs w:val="1"/>
                <w:color w:val="auto"/>
              </w:rPr>
              <w:t>2023</w:t>
            </w:r>
          </w:p>
        </w:tc>
        <w:tc>
          <w:tcPr>
            <w:tcW w:w="4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9"/>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Amortization expense</w:t>
            </w:r>
          </w:p>
        </w:tc>
        <w:tc>
          <w:tcPr>
            <w:tcW w:w="1320" w:type="dxa"/>
            <w:vAlign w:val="bottom"/>
            <w:shd w:val="clear" w:color="auto" w:fill="CCEEFF"/>
          </w:tcPr>
          <w:p>
            <w:pPr>
              <w:jc w:val="right"/>
              <w:ind w:right="1125"/>
              <w:spacing w:after="0"/>
              <w:rPr>
                <w:sz w:val="20"/>
                <w:szCs w:val="20"/>
                <w:color w:val="auto"/>
              </w:rPr>
            </w:pPr>
            <w:r>
              <w:rPr>
                <w:rFonts w:ascii="Times New Roman" w:cs="Times New Roman" w:eastAsia="Times New Roman" w:hAnsi="Times New Roman"/>
                <w:sz w:val="17"/>
                <w:szCs w:val="17"/>
                <w:b w:val="1"/>
                <w:bCs w:val="1"/>
                <w:color w:val="auto"/>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7</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082"/>
              <w:spacing w:after="0"/>
              <w:rPr>
                <w:sz w:val="20"/>
                <w:szCs w:val="20"/>
                <w:color w:val="auto"/>
              </w:rPr>
            </w:pPr>
            <w:r>
              <w:rPr>
                <w:rFonts w:ascii="Times New Roman" w:cs="Times New Roman" w:eastAsia="Times New Roman" w:hAnsi="Times New Roman"/>
                <w:sz w:val="17"/>
                <w:szCs w:val="17"/>
                <w:color w:val="auto"/>
                <w:w w:val="93"/>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085"/>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22</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982"/>
              <w:spacing w:after="0"/>
              <w:rPr>
                <w:sz w:val="20"/>
                <w:szCs w:val="20"/>
                <w:color w:val="auto"/>
              </w:rPr>
            </w:pPr>
            <w:r>
              <w:rPr>
                <w:rFonts w:ascii="Times New Roman" w:cs="Times New Roman" w:eastAsia="Times New Roman" w:hAnsi="Times New Roman"/>
                <w:sz w:val="17"/>
                <w:szCs w:val="17"/>
                <w:color w:val="auto"/>
                <w:w w:val="93"/>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3435" cy="419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8" w:name="page19"/>
    <w:bookmarkEnd w:id="18"/>
    <w:p>
      <w:pPr>
        <w:ind w:left="62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NCR Voyix Corporation</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 (Unaudited)—(Continued)</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estimated aggregate amortization expense for identifiable intangible assets for the following periods is:</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3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200" w:type="dxa"/>
            <w:vAlign w:val="bottom"/>
            <w:gridSpan w:val="6"/>
          </w:tcPr>
          <w:p>
            <w:pPr>
              <w:ind w:left="640"/>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33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00" w:type="dxa"/>
            <w:vAlign w:val="bottom"/>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2"/>
        </w:trPr>
        <w:tc>
          <w:tcPr>
            <w:tcW w:w="3380" w:type="dxa"/>
            <w:vAlign w:val="bottom"/>
            <w:tcBorders>
              <w:bottom w:val="single" w:sz="8" w:color="CCEEFF"/>
            </w:tcBorders>
            <w:vMerge w:val="continue"/>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1260" w:type="dxa"/>
            <w:vAlign w:val="bottom"/>
            <w:tcBorders>
              <w:top w:val="single" w:sz="8" w:color="auto"/>
              <w:bottom w:val="single" w:sz="8" w:color="auto"/>
            </w:tcBorders>
          </w:tcPr>
          <w:p>
            <w:pPr>
              <w:jc w:val="right"/>
              <w:ind w:right="42"/>
              <w:spacing w:after="0"/>
              <w:rPr>
                <w:sz w:val="20"/>
                <w:szCs w:val="20"/>
                <w:color w:val="auto"/>
              </w:rPr>
            </w:pPr>
            <w:r>
              <w:rPr>
                <w:rFonts w:ascii="Times New Roman" w:cs="Times New Roman" w:eastAsia="Times New Roman" w:hAnsi="Times New Roman"/>
                <w:sz w:val="14"/>
                <w:szCs w:val="14"/>
                <w:b w:val="1"/>
                <w:bCs w:val="1"/>
                <w:color w:val="auto"/>
                <w:w w:val="98"/>
              </w:rPr>
              <w:t>Remainder of 2024</w:t>
            </w:r>
          </w:p>
        </w:tc>
        <w:tc>
          <w:tcPr>
            <w:tcW w:w="120" w:type="dxa"/>
            <w:vAlign w:val="bottom"/>
            <w:tcBorders>
              <w:bottom w:val="single" w:sz="8" w:color="CCEEFF"/>
            </w:tcBorders>
          </w:tcPr>
          <w:p>
            <w:pPr>
              <w:spacing w:after="0"/>
              <w:rPr>
                <w:sz w:val="15"/>
                <w:szCs w:val="15"/>
                <w:color w:val="auto"/>
              </w:rPr>
            </w:pPr>
          </w:p>
        </w:tc>
        <w:tc>
          <w:tcPr>
            <w:tcW w:w="280" w:type="dxa"/>
            <w:vAlign w:val="bottom"/>
            <w:tcBorders>
              <w:top w:val="single" w:sz="8" w:color="auto"/>
              <w:bottom w:val="single" w:sz="8" w:color="auto"/>
            </w:tcBorders>
          </w:tcPr>
          <w:p>
            <w:pPr>
              <w:spacing w:after="0"/>
              <w:rPr>
                <w:sz w:val="15"/>
                <w:szCs w:val="15"/>
                <w:color w:val="auto"/>
              </w:rPr>
            </w:pPr>
          </w:p>
        </w:tc>
        <w:tc>
          <w:tcPr>
            <w:tcW w:w="900" w:type="dxa"/>
            <w:vAlign w:val="bottom"/>
            <w:tcBorders>
              <w:top w:val="single" w:sz="8" w:color="auto"/>
              <w:bottom w:val="single" w:sz="8" w:color="auto"/>
            </w:tcBorders>
          </w:tcPr>
          <w:p>
            <w:pPr>
              <w:jc w:val="right"/>
              <w:ind w:right="38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top w:val="single" w:sz="8" w:color="auto"/>
              <w:bottom w:val="single" w:sz="8" w:color="CCEEFF"/>
            </w:tcBorders>
          </w:tcPr>
          <w:p>
            <w:pPr>
              <w:spacing w:after="0"/>
              <w:rPr>
                <w:sz w:val="15"/>
                <w:szCs w:val="15"/>
                <w:color w:val="auto"/>
              </w:rPr>
            </w:pPr>
          </w:p>
        </w:tc>
        <w:tc>
          <w:tcPr>
            <w:tcW w:w="280" w:type="dxa"/>
            <w:vAlign w:val="bottom"/>
            <w:tcBorders>
              <w:top w:val="single" w:sz="8" w:color="auto"/>
              <w:bottom w:val="single" w:sz="8" w:color="auto"/>
            </w:tcBorders>
          </w:tcPr>
          <w:p>
            <w:pPr>
              <w:spacing w:after="0"/>
              <w:rPr>
                <w:sz w:val="15"/>
                <w:szCs w:val="15"/>
                <w:color w:val="auto"/>
              </w:rPr>
            </w:pPr>
          </w:p>
        </w:tc>
        <w:tc>
          <w:tcPr>
            <w:tcW w:w="900" w:type="dxa"/>
            <w:vAlign w:val="bottom"/>
            <w:tcBorders>
              <w:top w:val="single" w:sz="8" w:color="auto"/>
              <w:bottom w:val="single" w:sz="8" w:color="auto"/>
            </w:tcBorders>
          </w:tcPr>
          <w:p>
            <w:pPr>
              <w:jc w:val="right"/>
              <w:ind w:right="385"/>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top w:val="single" w:sz="8" w:color="auto"/>
              <w:bottom w:val="single" w:sz="8" w:color="CCEEFF"/>
            </w:tcBorders>
          </w:tcPr>
          <w:p>
            <w:pPr>
              <w:spacing w:after="0"/>
              <w:rPr>
                <w:sz w:val="15"/>
                <w:szCs w:val="15"/>
                <w:color w:val="auto"/>
              </w:rPr>
            </w:pPr>
          </w:p>
        </w:tc>
        <w:tc>
          <w:tcPr>
            <w:tcW w:w="840" w:type="dxa"/>
            <w:vAlign w:val="bottom"/>
            <w:tcBorders>
              <w:top w:val="single" w:sz="8" w:color="auto"/>
              <w:bottom w:val="single" w:sz="8" w:color="auto"/>
            </w:tcBorders>
          </w:tcPr>
          <w:p>
            <w:pPr>
              <w:jc w:val="right"/>
              <w:ind w:right="42"/>
              <w:spacing w:after="0"/>
              <w:rPr>
                <w:sz w:val="20"/>
                <w:szCs w:val="20"/>
                <w:color w:val="auto"/>
              </w:rPr>
            </w:pPr>
            <w:r>
              <w:rPr>
                <w:rFonts w:ascii="Times New Roman" w:cs="Times New Roman" w:eastAsia="Times New Roman" w:hAnsi="Times New Roman"/>
                <w:sz w:val="14"/>
                <w:szCs w:val="14"/>
                <w:b w:val="1"/>
                <w:bCs w:val="1"/>
                <w:color w:val="auto"/>
              </w:rPr>
              <w:t>2027</w:t>
            </w:r>
          </w:p>
        </w:tc>
        <w:tc>
          <w:tcPr>
            <w:tcW w:w="340" w:type="dxa"/>
            <w:vAlign w:val="bottom"/>
            <w:tcBorders>
              <w:top w:val="single" w:sz="8" w:color="auto"/>
              <w:bottom w:val="single" w:sz="8" w:color="auto"/>
            </w:tcBorders>
          </w:tcPr>
          <w:p>
            <w:pPr>
              <w:spacing w:after="0"/>
              <w:rPr>
                <w:sz w:val="15"/>
                <w:szCs w:val="15"/>
                <w:color w:val="auto"/>
              </w:rPr>
            </w:pPr>
          </w:p>
        </w:tc>
        <w:tc>
          <w:tcPr>
            <w:tcW w:w="100" w:type="dxa"/>
            <w:vAlign w:val="bottom"/>
            <w:tcBorders>
              <w:top w:val="single" w:sz="8" w:color="auto"/>
              <w:bottom w:val="single" w:sz="8" w:color="CCEEFF"/>
            </w:tcBorders>
          </w:tcPr>
          <w:p>
            <w:pPr>
              <w:spacing w:after="0"/>
              <w:rPr>
                <w:sz w:val="15"/>
                <w:szCs w:val="15"/>
                <w:color w:val="auto"/>
              </w:rPr>
            </w:pPr>
          </w:p>
        </w:tc>
        <w:tc>
          <w:tcPr>
            <w:tcW w:w="920" w:type="dxa"/>
            <w:vAlign w:val="bottom"/>
            <w:tcBorders>
              <w:top w:val="single" w:sz="8" w:color="auto"/>
              <w:bottom w:val="single" w:sz="8" w:color="auto"/>
            </w:tcBorders>
          </w:tcPr>
          <w:p>
            <w:pPr>
              <w:jc w:val="right"/>
              <w:ind w:right="82"/>
              <w:spacing w:after="0"/>
              <w:rPr>
                <w:sz w:val="20"/>
                <w:szCs w:val="20"/>
                <w:color w:val="auto"/>
              </w:rPr>
            </w:pPr>
            <w:r>
              <w:rPr>
                <w:rFonts w:ascii="Times New Roman" w:cs="Times New Roman" w:eastAsia="Times New Roman" w:hAnsi="Times New Roman"/>
                <w:sz w:val="14"/>
                <w:szCs w:val="14"/>
                <w:b w:val="1"/>
                <w:bCs w:val="1"/>
                <w:color w:val="auto"/>
              </w:rPr>
              <w:t>2028</w:t>
            </w:r>
          </w:p>
        </w:tc>
        <w:tc>
          <w:tcPr>
            <w:tcW w:w="320" w:type="dxa"/>
            <w:vAlign w:val="bottom"/>
            <w:tcBorders>
              <w:top w:val="single" w:sz="8" w:color="auto"/>
              <w:bottom w:val="single" w:sz="8" w:color="auto"/>
            </w:tcBorders>
          </w:tcPr>
          <w:p>
            <w:pPr>
              <w:spacing w:after="0"/>
              <w:rPr>
                <w:sz w:val="15"/>
                <w:szCs w:val="15"/>
                <w:color w:val="auto"/>
              </w:rPr>
            </w:pPr>
          </w:p>
        </w:tc>
        <w:tc>
          <w:tcPr>
            <w:tcW w:w="100" w:type="dxa"/>
            <w:vAlign w:val="bottom"/>
            <w:tcBorders>
              <w:top w:val="single" w:sz="8" w:color="auto"/>
              <w:bottom w:val="single" w:sz="8" w:color="CCEEFF"/>
            </w:tcBorders>
          </w:tcPr>
          <w:p>
            <w:pPr>
              <w:spacing w:after="0"/>
              <w:rPr>
                <w:sz w:val="15"/>
                <w:szCs w:val="15"/>
                <w:color w:val="auto"/>
              </w:rPr>
            </w:pPr>
          </w:p>
        </w:tc>
        <w:tc>
          <w:tcPr>
            <w:tcW w:w="280" w:type="dxa"/>
            <w:vAlign w:val="bottom"/>
            <w:tcBorders>
              <w:top w:val="single" w:sz="8" w:color="auto"/>
              <w:bottom w:val="single" w:sz="8" w:color="auto"/>
            </w:tcBorders>
          </w:tcPr>
          <w:p>
            <w:pPr>
              <w:spacing w:after="0"/>
              <w:rPr>
                <w:sz w:val="15"/>
                <w:szCs w:val="15"/>
                <w:color w:val="auto"/>
              </w:rPr>
            </w:pPr>
          </w:p>
        </w:tc>
        <w:tc>
          <w:tcPr>
            <w:tcW w:w="920" w:type="dxa"/>
            <w:vAlign w:val="bottom"/>
            <w:tcBorders>
              <w:top w:val="single" w:sz="8" w:color="auto"/>
              <w:bottom w:val="single" w:sz="8" w:color="auto"/>
            </w:tcBorders>
          </w:tcPr>
          <w:p>
            <w:pPr>
              <w:jc w:val="right"/>
              <w:ind w:right="382"/>
              <w:spacing w:after="0"/>
              <w:rPr>
                <w:sz w:val="20"/>
                <w:szCs w:val="20"/>
                <w:color w:val="auto"/>
              </w:rPr>
            </w:pPr>
            <w:r>
              <w:rPr>
                <w:rFonts w:ascii="Times New Roman" w:cs="Times New Roman" w:eastAsia="Times New Roman" w:hAnsi="Times New Roman"/>
                <w:sz w:val="14"/>
                <w:szCs w:val="14"/>
                <w:b w:val="1"/>
                <w:bCs w:val="1"/>
                <w:color w:val="auto"/>
              </w:rPr>
              <w:t>2029</w:t>
            </w:r>
          </w:p>
        </w:tc>
        <w:tc>
          <w:tcPr>
            <w:tcW w:w="0" w:type="dxa"/>
            <w:vAlign w:val="bottom"/>
          </w:tcPr>
          <w:p>
            <w:pPr>
              <w:spacing w:after="0"/>
              <w:rPr>
                <w:sz w:val="1"/>
                <w:szCs w:val="1"/>
                <w:color w:val="auto"/>
              </w:rPr>
            </w:pPr>
          </w:p>
        </w:tc>
      </w:tr>
      <w:tr>
        <w:trPr>
          <w:trHeight w:val="219"/>
        </w:trPr>
        <w:tc>
          <w:tcPr>
            <w:tcW w:w="3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Amortization expense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7"/>
                <w:szCs w:val="17"/>
                <w:color w:val="auto"/>
              </w:rPr>
              <w:t>25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7"/>
                <w:szCs w:val="17"/>
                <w:color w:val="auto"/>
              </w:rPr>
              <w:t>23</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662"/>
              <w:spacing w:after="0"/>
              <w:rPr>
                <w:sz w:val="20"/>
                <w:szCs w:val="20"/>
                <w:color w:val="auto"/>
              </w:rPr>
            </w:pPr>
            <w:r>
              <w:rPr>
                <w:rFonts w:ascii="Times New Roman" w:cs="Times New Roman" w:eastAsia="Times New Roman" w:hAnsi="Times New Roman"/>
                <w:sz w:val="17"/>
                <w:szCs w:val="17"/>
                <w:color w:val="auto"/>
                <w:w w:val="93"/>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742"/>
              <w:spacing w:after="0"/>
              <w:rPr>
                <w:sz w:val="20"/>
                <w:szCs w:val="20"/>
                <w:color w:val="auto"/>
              </w:rPr>
            </w:pPr>
            <w:r>
              <w:rPr>
                <w:rFonts w:ascii="Times New Roman" w:cs="Times New Roman" w:eastAsia="Times New Roman" w:hAnsi="Times New Roman"/>
                <w:sz w:val="17"/>
                <w:szCs w:val="17"/>
                <w:color w:val="auto"/>
                <w:w w:val="93"/>
              </w:rPr>
              <w: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w:t>
            </w:r>
          </w:p>
        </w:tc>
        <w:tc>
          <w:tcPr>
            <w:tcW w:w="0" w:type="dxa"/>
            <w:vAlign w:val="bottom"/>
          </w:tcPr>
          <w:p>
            <w:pPr>
              <w:spacing w:after="0"/>
              <w:rPr>
                <w:sz w:val="1"/>
                <w:szCs w:val="1"/>
                <w:color w:val="auto"/>
              </w:rPr>
            </w:pPr>
          </w:p>
        </w:tc>
      </w:tr>
    </w:tbl>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4. SEGMENT INFORMATION AND CONCENTRATIONS</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Subsequent to the Spin-Off and the Digital Banking Sale, as described in Note 1, “Basis of Presentation and Summary of Significant Accounting Policies”, the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Company manages and reports the following two segments:</w:t>
      </w:r>
    </w:p>
    <w:p>
      <w:pPr>
        <w:spacing w:after="0" w:line="225" w:lineRule="exact"/>
        <w:rPr>
          <w:sz w:val="20"/>
          <w:szCs w:val="20"/>
          <w:color w:val="auto"/>
        </w:rPr>
      </w:pPr>
    </w:p>
    <w:p>
      <w:pPr>
        <w:jc w:val="both"/>
        <w:ind w:left="620" w:hanging="305"/>
        <w:spacing w:after="0" w:line="267" w:lineRule="auto"/>
        <w:tabs>
          <w:tab w:leader="none" w:pos="616" w:val="left"/>
        </w:tabs>
        <w:numPr>
          <w:ilvl w:val="0"/>
          <w:numId w:val="4"/>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 xml:space="preserve">Retail </w:t>
      </w:r>
      <w:r>
        <w:rPr>
          <w:rFonts w:ascii="Times New Roman" w:cs="Times New Roman" w:eastAsia="Times New Roman" w:hAnsi="Times New Roman"/>
          <w:sz w:val="17"/>
          <w:szCs w:val="17"/>
          <w:color w:val="auto"/>
        </w:rPr>
        <w:t>- Our Retail segment is focused on serving retailers of all sizes, from local businesses to some of the most recognized brands in the world. Our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software and solutions connect to a modern technology platform that allows retailers to run their stores like they run their digital channels, improving the experience for their customers. These solutions are designed to improve operational efficiency, sales productivity, customer satisfaction and purchasing decisions; provide secure checkout processes and payment systems; and increase service levels.</w:t>
      </w:r>
    </w:p>
    <w:p>
      <w:pPr>
        <w:spacing w:after="0" w:line="193" w:lineRule="exact"/>
        <w:rPr>
          <w:rFonts w:ascii="Times New Roman" w:cs="Times New Roman" w:eastAsia="Times New Roman" w:hAnsi="Times New Roman"/>
          <w:sz w:val="17"/>
          <w:szCs w:val="17"/>
          <w:i w:val="1"/>
          <w:iCs w:val="1"/>
          <w:color w:val="auto"/>
        </w:rPr>
      </w:pPr>
    </w:p>
    <w:p>
      <w:pPr>
        <w:jc w:val="both"/>
        <w:ind w:left="620" w:hanging="305"/>
        <w:spacing w:after="0" w:line="262" w:lineRule="auto"/>
        <w:tabs>
          <w:tab w:leader="none" w:pos="616"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Restaurants </w:t>
      </w:r>
      <w:r>
        <w:rPr>
          <w:rFonts w:ascii="Times New Roman" w:cs="Times New Roman" w:eastAsia="Times New Roman" w:hAnsi="Times New Roman"/>
          <w:sz w:val="17"/>
          <w:szCs w:val="17"/>
          <w:color w:val="auto"/>
        </w:rPr>
        <w:t>- Our Restaurants segment is focused on serving restaurants and food service establishments of all sizes, ranging from small and medium-sized businesses to some of the world’s top global food service enterprises. Our solution portfolio spans across table-service, quick-service and fast casual industries, providing competitive end-to-end solutions to “run-the-restaurant.” Our solution portfolio offers cloud-based, platform-enabled technology that is designed to improve operational efficiency, increase customer satisfaction, streamline order and transaction processing and reduce operating costs. In addition, we deliver service support, allowing our customers to focus on their core competencies. Our end-to-end services are a strong differentiating factor within the market.</w:t>
      </w:r>
    </w:p>
    <w:p>
      <w:pPr>
        <w:spacing w:after="0" w:line="200"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7"/>
          <w:szCs w:val="17"/>
          <w:color w:val="auto"/>
        </w:rPr>
        <w:t>Corporate and Other includes income and expenses related to corporate functions that are not specifically attributable to any of our two individual reportable segments along with certain non-strategic businesses that are considered immaterial operating segment(s) and certain countries which are expected to transfer to NCR Atleos during the remainder of 2024, as well as commercial agreements with NCR Atleos.</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These segments represent components of the Company for which separate financial information is available that is utilized on a regular basis by the chief operating decision maker in assessing segment performance and in allocating the Company’s resources. Management evaluates the performance of the segments based on revenue and Adjusted EBITDA. Adjusted EBITDA is defined as GAAP net income (loss) from continuing operations attributable to NCR Voyix plus interest expense, net; plus income tax expense (benefit); plus depreciation and amortization; plus stock-based compensation expense; plus other income (expense); plus pension mark-to-market adjustments and other special items, including amortization of acquisition-related intangibles, acquisition-related costs, separation-related costs, cyber ransomware incident recovery costs net of insurance recoveries, fraudulent ACH disbursements costs, net of recoveries, transformation and restructuring charges (which includes integration, severance and other exit and disposal costs), and strategic initiative costs, among others. The special items are considered non-operational or non-recurring in nature, so are excluded from the Adjusted EBITDA metric utilized by our chief operating decision maker in evaluating segment performance and are separately delineated to reconcile back to total reported GAAP net income (loss) from continuing operations attributable to the Company.</w:t>
      </w:r>
    </w:p>
    <w:p>
      <w:pPr>
        <w:spacing w:after="0" w:line="206"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7"/>
          <w:szCs w:val="17"/>
          <w:color w:val="auto"/>
        </w:rPr>
        <w:t>Assets are not allocated to segments, and thus are not included in the assessment of segment performance. Consequently, we do not disclose total assets by reportable segment. The accounting policies used to determine the results of the operating segments are the same as those utilized for the condensed consolidated financial statements as a whole. Intersegment sales and transfers are not material.</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3435" cy="419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9" w:name="page20"/>
    <w:bookmarkEnd w:id="19"/>
    <w:p>
      <w:pPr>
        <w:ind w:left="62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NCR Voyix Corporation</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 (Unaudited)—(Continued)</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presents revenue and Adjusted EBITDA by segment:</w:t>
      </w:r>
    </w:p>
    <w:p>
      <w:pPr>
        <w:spacing w:after="0" w:line="58" w:lineRule="exact"/>
        <w:rPr>
          <w:sz w:val="20"/>
          <w:szCs w:val="20"/>
          <w:color w:val="auto"/>
        </w:rPr>
      </w:pPr>
    </w:p>
    <w:tbl>
      <w:tblPr>
        <w:tblLayout w:type="fixed"/>
        <w:tblInd w:w="20" w:type="dxa"/>
        <w:tblCellMar>
          <w:top w:w="0" w:type="dxa"/>
          <w:left w:w="0" w:type="dxa"/>
          <w:bottom w:w="0" w:type="dxa"/>
          <w:right w:w="0" w:type="dxa"/>
        </w:tblCellMar>
      </w:tblPr>
      <w:tr>
        <w:trPr>
          <w:trHeight w:val="183"/>
        </w:trPr>
        <w:tc>
          <w:tcPr>
            <w:tcW w:w="43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080" w:type="dxa"/>
            <w:vAlign w:val="bottom"/>
            <w:gridSpan w:val="5"/>
          </w:tcPr>
          <w:p>
            <w:pPr>
              <w:ind w:left="28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400" w:type="dxa"/>
            <w:vAlign w:val="bottom"/>
          </w:tcPr>
          <w:p>
            <w:pPr>
              <w:spacing w:after="0"/>
              <w:rPr>
                <w:sz w:val="15"/>
                <w:szCs w:val="15"/>
                <w:color w:val="auto"/>
              </w:rPr>
            </w:pPr>
          </w:p>
        </w:tc>
        <w:tc>
          <w:tcPr>
            <w:tcW w:w="3020" w:type="dxa"/>
            <w:vAlign w:val="bottom"/>
            <w:gridSpan w:val="4"/>
          </w:tcPr>
          <w:p>
            <w:pPr>
              <w:jc w:val="right"/>
              <w:ind w:right="636"/>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23"/>
        </w:trPr>
        <w:tc>
          <w:tcPr>
            <w:tcW w:w="43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4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2"/>
        </w:trPr>
        <w:tc>
          <w:tcPr>
            <w:tcW w:w="4320" w:type="dxa"/>
            <w:vAlign w:val="bottom"/>
            <w:tcBorders>
              <w:bottom w:val="single" w:sz="8" w:color="CCEEFF"/>
            </w:tcBorders>
            <w:vMerge w:val="continue"/>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617"/>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CCEEFF"/>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616"/>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Borders>
              <w:bottom w:val="single" w:sz="8" w:color="CCEEFF"/>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617"/>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616"/>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06"/>
        </w:trPr>
        <w:tc>
          <w:tcPr>
            <w:tcW w:w="4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Revenue by segment</w:t>
            </w:r>
          </w:p>
        </w:tc>
        <w:tc>
          <w:tcPr>
            <w:tcW w:w="4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43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Retail</w:t>
            </w:r>
          </w:p>
        </w:tc>
        <w:tc>
          <w:tcPr>
            <w:tcW w:w="400" w:type="dxa"/>
            <w:vAlign w:val="bottom"/>
          </w:tcPr>
          <w:p>
            <w:pPr>
              <w:jc w:val="right"/>
              <w:ind w:right="194"/>
              <w:spacing w:after="0"/>
              <w:rPr>
                <w:sz w:val="20"/>
                <w:szCs w:val="20"/>
                <w:color w:val="auto"/>
              </w:rPr>
            </w:pPr>
            <w:r>
              <w:rPr>
                <w:rFonts w:ascii="Times New Roman" w:cs="Times New Roman" w:eastAsia="Times New Roman" w:hAnsi="Times New Roman"/>
                <w:sz w:val="17"/>
                <w:szCs w:val="17"/>
                <w:b w:val="1"/>
                <w:bCs w:val="1"/>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487</w:t>
            </w:r>
          </w:p>
        </w:tc>
        <w:tc>
          <w:tcPr>
            <w:tcW w:w="80" w:type="dxa"/>
            <w:vAlign w:val="bottom"/>
          </w:tcPr>
          <w:p>
            <w:pPr>
              <w:spacing w:after="0"/>
              <w:rPr>
                <w:sz w:val="19"/>
                <w:szCs w:val="19"/>
                <w:color w:val="auto"/>
              </w:rPr>
            </w:pPr>
          </w:p>
        </w:tc>
        <w:tc>
          <w:tcPr>
            <w:tcW w:w="400" w:type="dxa"/>
            <w:vAlign w:val="bottom"/>
          </w:tcPr>
          <w:p>
            <w:pPr>
              <w:jc w:val="right"/>
              <w:ind w:right="214"/>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552</w:t>
            </w:r>
          </w:p>
        </w:tc>
        <w:tc>
          <w:tcPr>
            <w:tcW w:w="80" w:type="dxa"/>
            <w:vAlign w:val="bottom"/>
          </w:tcPr>
          <w:p>
            <w:pPr>
              <w:spacing w:after="0"/>
              <w:rPr>
                <w:sz w:val="19"/>
                <w:szCs w:val="19"/>
                <w:color w:val="auto"/>
              </w:rPr>
            </w:pPr>
          </w:p>
        </w:tc>
        <w:tc>
          <w:tcPr>
            <w:tcW w:w="400" w:type="dxa"/>
            <w:vAlign w:val="bottom"/>
          </w:tcPr>
          <w:p>
            <w:pPr>
              <w:jc w:val="right"/>
              <w:ind w:right="21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1,495</w:t>
            </w:r>
          </w:p>
        </w:tc>
        <w:tc>
          <w:tcPr>
            <w:tcW w:w="100" w:type="dxa"/>
            <w:vAlign w:val="bottom"/>
          </w:tcPr>
          <w:p>
            <w:pPr>
              <w:spacing w:after="0"/>
              <w:rPr>
                <w:sz w:val="19"/>
                <w:szCs w:val="19"/>
                <w:color w:val="auto"/>
              </w:rPr>
            </w:pPr>
          </w:p>
        </w:tc>
        <w:tc>
          <w:tcPr>
            <w:tcW w:w="380" w:type="dxa"/>
            <w:vAlign w:val="bottom"/>
          </w:tcPr>
          <w:p>
            <w:pPr>
              <w:jc w:val="right"/>
              <w:ind w:right="194"/>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1,633</w:t>
            </w:r>
          </w:p>
        </w:tc>
        <w:tc>
          <w:tcPr>
            <w:tcW w:w="0" w:type="dxa"/>
            <w:vAlign w:val="bottom"/>
          </w:tcPr>
          <w:p>
            <w:pPr>
              <w:spacing w:after="0"/>
              <w:rPr>
                <w:sz w:val="1"/>
                <w:szCs w:val="1"/>
                <w:color w:val="auto"/>
              </w:rPr>
            </w:pPr>
          </w:p>
        </w:tc>
      </w:tr>
      <w:tr>
        <w:trPr>
          <w:trHeight w:val="220"/>
        </w:trPr>
        <w:tc>
          <w:tcPr>
            <w:tcW w:w="43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Restaurants</w:t>
            </w:r>
          </w:p>
        </w:tc>
        <w:tc>
          <w:tcPr>
            <w:tcW w:w="4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211</w:t>
            </w:r>
          </w:p>
        </w:tc>
        <w:tc>
          <w:tcPr>
            <w:tcW w:w="8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229</w:t>
            </w:r>
          </w:p>
        </w:tc>
        <w:tc>
          <w:tcPr>
            <w:tcW w:w="8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614</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663</w:t>
            </w:r>
          </w:p>
        </w:tc>
        <w:tc>
          <w:tcPr>
            <w:tcW w:w="0" w:type="dxa"/>
            <w:vAlign w:val="bottom"/>
          </w:tcPr>
          <w:p>
            <w:pPr>
              <w:spacing w:after="0"/>
              <w:rPr>
                <w:sz w:val="1"/>
                <w:szCs w:val="1"/>
                <w:color w:val="auto"/>
              </w:rPr>
            </w:pPr>
          </w:p>
        </w:tc>
      </w:tr>
      <w:tr>
        <w:trPr>
          <w:trHeight w:val="213"/>
        </w:trPr>
        <w:tc>
          <w:tcPr>
            <w:tcW w:w="432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Total segment revenue</w:t>
            </w:r>
          </w:p>
        </w:tc>
        <w:tc>
          <w:tcPr>
            <w:tcW w:w="400" w:type="dxa"/>
            <w:vAlign w:val="bottom"/>
          </w:tcPr>
          <w:p>
            <w:pPr>
              <w:jc w:val="right"/>
              <w:ind w:right="194"/>
              <w:spacing w:after="0"/>
              <w:rPr>
                <w:sz w:val="20"/>
                <w:szCs w:val="20"/>
                <w:color w:val="auto"/>
              </w:rPr>
            </w:pPr>
            <w:r>
              <w:rPr>
                <w:rFonts w:ascii="Times New Roman" w:cs="Times New Roman" w:eastAsia="Times New Roman" w:hAnsi="Times New Roman"/>
                <w:sz w:val="17"/>
                <w:szCs w:val="17"/>
                <w:b w:val="1"/>
                <w:bCs w:val="1"/>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698</w:t>
            </w:r>
          </w:p>
        </w:tc>
        <w:tc>
          <w:tcPr>
            <w:tcW w:w="80" w:type="dxa"/>
            <w:vAlign w:val="bottom"/>
          </w:tcPr>
          <w:p>
            <w:pPr>
              <w:spacing w:after="0"/>
              <w:rPr>
                <w:sz w:val="18"/>
                <w:szCs w:val="18"/>
                <w:color w:val="auto"/>
              </w:rPr>
            </w:pPr>
          </w:p>
        </w:tc>
        <w:tc>
          <w:tcPr>
            <w:tcW w:w="400" w:type="dxa"/>
            <w:vAlign w:val="bottom"/>
          </w:tcPr>
          <w:p>
            <w:pPr>
              <w:jc w:val="right"/>
              <w:ind w:right="214"/>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781</w:t>
            </w:r>
          </w:p>
        </w:tc>
        <w:tc>
          <w:tcPr>
            <w:tcW w:w="80" w:type="dxa"/>
            <w:vAlign w:val="bottom"/>
          </w:tcPr>
          <w:p>
            <w:pPr>
              <w:spacing w:after="0"/>
              <w:rPr>
                <w:sz w:val="18"/>
                <w:szCs w:val="18"/>
                <w:color w:val="auto"/>
              </w:rPr>
            </w:pPr>
          </w:p>
        </w:tc>
        <w:tc>
          <w:tcPr>
            <w:tcW w:w="400" w:type="dxa"/>
            <w:vAlign w:val="bottom"/>
          </w:tcPr>
          <w:p>
            <w:pPr>
              <w:jc w:val="right"/>
              <w:ind w:right="21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2,109</w:t>
            </w:r>
          </w:p>
        </w:tc>
        <w:tc>
          <w:tcPr>
            <w:tcW w:w="100" w:type="dxa"/>
            <w:vAlign w:val="bottom"/>
          </w:tcPr>
          <w:p>
            <w:pPr>
              <w:spacing w:after="0"/>
              <w:rPr>
                <w:sz w:val="18"/>
                <w:szCs w:val="18"/>
                <w:color w:val="auto"/>
              </w:rPr>
            </w:pPr>
          </w:p>
        </w:tc>
        <w:tc>
          <w:tcPr>
            <w:tcW w:w="380" w:type="dxa"/>
            <w:vAlign w:val="bottom"/>
          </w:tcPr>
          <w:p>
            <w:pPr>
              <w:jc w:val="right"/>
              <w:ind w:right="194"/>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2,296</w:t>
            </w:r>
          </w:p>
        </w:tc>
        <w:tc>
          <w:tcPr>
            <w:tcW w:w="0" w:type="dxa"/>
            <w:vAlign w:val="bottom"/>
          </w:tcPr>
          <w:p>
            <w:pPr>
              <w:spacing w:after="0"/>
              <w:rPr>
                <w:sz w:val="1"/>
                <w:szCs w:val="1"/>
                <w:color w:val="auto"/>
              </w:rPr>
            </w:pPr>
          </w:p>
        </w:tc>
      </w:tr>
      <w:tr>
        <w:trPr>
          <w:trHeight w:val="220"/>
        </w:trPr>
        <w:tc>
          <w:tcPr>
            <w:tcW w:w="43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Other</w:t>
            </w:r>
          </w:p>
        </w:tc>
        <w:tc>
          <w:tcPr>
            <w:tcW w:w="4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13</w:t>
            </w:r>
          </w:p>
        </w:tc>
        <w:tc>
          <w:tcPr>
            <w:tcW w:w="8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w:t>
            </w:r>
          </w:p>
        </w:tc>
        <w:tc>
          <w:tcPr>
            <w:tcW w:w="8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35</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86</w:t>
            </w:r>
          </w:p>
        </w:tc>
        <w:tc>
          <w:tcPr>
            <w:tcW w:w="0" w:type="dxa"/>
            <w:vAlign w:val="bottom"/>
          </w:tcPr>
          <w:p>
            <w:pPr>
              <w:spacing w:after="0"/>
              <w:rPr>
                <w:sz w:val="1"/>
                <w:szCs w:val="1"/>
                <w:color w:val="auto"/>
              </w:rPr>
            </w:pPr>
          </w:p>
        </w:tc>
      </w:tr>
      <w:tr>
        <w:trPr>
          <w:trHeight w:val="213"/>
        </w:trPr>
        <w:tc>
          <w:tcPr>
            <w:tcW w:w="432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Total revenue</w:t>
            </w:r>
          </w:p>
        </w:tc>
        <w:tc>
          <w:tcPr>
            <w:tcW w:w="400" w:type="dxa"/>
            <w:vAlign w:val="bottom"/>
            <w:tcBorders>
              <w:bottom w:val="single" w:sz="8" w:color="auto"/>
            </w:tcBorders>
          </w:tcPr>
          <w:p>
            <w:pPr>
              <w:jc w:val="right"/>
              <w:ind w:right="194"/>
              <w:spacing w:after="0"/>
              <w:rPr>
                <w:sz w:val="20"/>
                <w:szCs w:val="20"/>
                <w:color w:val="auto"/>
              </w:rPr>
            </w:pPr>
            <w:r>
              <w:rPr>
                <w:rFonts w:ascii="Times New Roman" w:cs="Times New Roman" w:eastAsia="Times New Roman" w:hAnsi="Times New Roman"/>
                <w:sz w:val="17"/>
                <w:szCs w:val="17"/>
                <w:b w:val="1"/>
                <w:bCs w:val="1"/>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711</w:t>
            </w:r>
          </w:p>
        </w:tc>
        <w:tc>
          <w:tcPr>
            <w:tcW w:w="80" w:type="dxa"/>
            <w:vAlign w:val="bottom"/>
          </w:tcPr>
          <w:p>
            <w:pPr>
              <w:spacing w:after="0"/>
              <w:rPr>
                <w:sz w:val="18"/>
                <w:szCs w:val="18"/>
                <w:color w:val="auto"/>
              </w:rPr>
            </w:pPr>
          </w:p>
        </w:tc>
        <w:tc>
          <w:tcPr>
            <w:tcW w:w="400" w:type="dxa"/>
            <w:vAlign w:val="bottom"/>
            <w:tcBorders>
              <w:bottom w:val="single" w:sz="8" w:color="auto"/>
            </w:tcBorders>
          </w:tcPr>
          <w:p>
            <w:pPr>
              <w:jc w:val="right"/>
              <w:ind w:right="214"/>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809</w:t>
            </w:r>
          </w:p>
        </w:tc>
        <w:tc>
          <w:tcPr>
            <w:tcW w:w="80" w:type="dxa"/>
            <w:vAlign w:val="bottom"/>
          </w:tcPr>
          <w:p>
            <w:pPr>
              <w:spacing w:after="0"/>
              <w:rPr>
                <w:sz w:val="18"/>
                <w:szCs w:val="18"/>
                <w:color w:val="auto"/>
              </w:rPr>
            </w:pPr>
          </w:p>
        </w:tc>
        <w:tc>
          <w:tcPr>
            <w:tcW w:w="400" w:type="dxa"/>
            <w:vAlign w:val="bottom"/>
            <w:tcBorders>
              <w:bottom w:val="single" w:sz="8" w:color="auto"/>
            </w:tcBorders>
          </w:tcPr>
          <w:p>
            <w:pPr>
              <w:jc w:val="right"/>
              <w:ind w:right="21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2,144</w:t>
            </w:r>
          </w:p>
        </w:tc>
        <w:tc>
          <w:tcPr>
            <w:tcW w:w="100" w:type="dxa"/>
            <w:vAlign w:val="bottom"/>
          </w:tcPr>
          <w:p>
            <w:pPr>
              <w:spacing w:after="0"/>
              <w:rPr>
                <w:sz w:val="18"/>
                <w:szCs w:val="18"/>
                <w:color w:val="auto"/>
              </w:rPr>
            </w:pPr>
          </w:p>
        </w:tc>
        <w:tc>
          <w:tcPr>
            <w:tcW w:w="380" w:type="dxa"/>
            <w:vAlign w:val="bottom"/>
            <w:tcBorders>
              <w:bottom w:val="single" w:sz="8" w:color="auto"/>
            </w:tcBorders>
          </w:tcPr>
          <w:p>
            <w:pPr>
              <w:jc w:val="right"/>
              <w:ind w:right="194"/>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2,382</w:t>
            </w:r>
          </w:p>
        </w:tc>
        <w:tc>
          <w:tcPr>
            <w:tcW w:w="0" w:type="dxa"/>
            <w:vAlign w:val="bottom"/>
          </w:tcPr>
          <w:p>
            <w:pPr>
              <w:spacing w:after="0"/>
              <w:rPr>
                <w:sz w:val="1"/>
                <w:szCs w:val="1"/>
                <w:color w:val="auto"/>
              </w:rPr>
            </w:pPr>
          </w:p>
        </w:tc>
      </w:tr>
      <w:tr>
        <w:trPr>
          <w:trHeight w:val="20"/>
        </w:trPr>
        <w:tc>
          <w:tcPr>
            <w:tcW w:w="43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43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0"/>
        </w:trPr>
        <w:tc>
          <w:tcPr>
            <w:tcW w:w="432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Adjusted EBITDA by segment</w:t>
            </w:r>
          </w:p>
        </w:tc>
        <w:tc>
          <w:tcPr>
            <w:tcW w:w="4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3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Retail</w:t>
            </w:r>
          </w:p>
        </w:tc>
        <w:tc>
          <w:tcPr>
            <w:tcW w:w="400" w:type="dxa"/>
            <w:vAlign w:val="bottom"/>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b w:val="1"/>
                <w:bCs w:val="1"/>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108</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4"/>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123</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281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321</w:t>
            </w:r>
          </w:p>
        </w:tc>
        <w:tc>
          <w:tcPr>
            <w:tcW w:w="0" w:type="dxa"/>
            <w:vAlign w:val="bottom"/>
          </w:tcPr>
          <w:p>
            <w:pPr>
              <w:spacing w:after="0"/>
              <w:rPr>
                <w:sz w:val="1"/>
                <w:szCs w:val="1"/>
                <w:color w:val="auto"/>
              </w:rPr>
            </w:pPr>
          </w:p>
        </w:tc>
      </w:tr>
      <w:tr>
        <w:trPr>
          <w:trHeight w:val="220"/>
        </w:trPr>
        <w:tc>
          <w:tcPr>
            <w:tcW w:w="43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7"/>
                <w:szCs w:val="17"/>
                <w:color w:val="auto"/>
              </w:rPr>
              <w:t>Restaurants</w:t>
            </w:r>
          </w:p>
        </w:tc>
        <w:tc>
          <w:tcPr>
            <w:tcW w:w="4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66</w:t>
            </w:r>
          </w:p>
        </w:tc>
        <w:tc>
          <w:tcPr>
            <w:tcW w:w="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52</w:t>
            </w:r>
          </w:p>
        </w:tc>
        <w:tc>
          <w:tcPr>
            <w:tcW w:w="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183</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147</w:t>
            </w:r>
          </w:p>
        </w:tc>
        <w:tc>
          <w:tcPr>
            <w:tcW w:w="0" w:type="dxa"/>
            <w:vAlign w:val="bottom"/>
          </w:tcPr>
          <w:p>
            <w:pPr>
              <w:spacing w:after="0"/>
              <w:rPr>
                <w:sz w:val="1"/>
                <w:szCs w:val="1"/>
                <w:color w:val="auto"/>
              </w:rPr>
            </w:pPr>
          </w:p>
        </w:tc>
      </w:tr>
      <w:tr>
        <w:trPr>
          <w:trHeight w:val="238"/>
        </w:trPr>
        <w:tc>
          <w:tcPr>
            <w:tcW w:w="4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Segment Adjusted EBITDA</w:t>
            </w:r>
          </w:p>
        </w:tc>
        <w:tc>
          <w:tcPr>
            <w:tcW w:w="400" w:type="dxa"/>
            <w:vAlign w:val="bottom"/>
            <w:tcBorders>
              <w:bottom w:val="single" w:sz="8" w:color="auto"/>
            </w:tcBorders>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b w:val="1"/>
                <w:bCs w:val="1"/>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174</w:t>
            </w:r>
          </w:p>
        </w:tc>
        <w:tc>
          <w:tcPr>
            <w:tcW w:w="8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214"/>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175</w:t>
            </w:r>
          </w:p>
        </w:tc>
        <w:tc>
          <w:tcPr>
            <w:tcW w:w="8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21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464</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468</w:t>
            </w:r>
          </w:p>
        </w:tc>
        <w:tc>
          <w:tcPr>
            <w:tcW w:w="0" w:type="dxa"/>
            <w:vAlign w:val="bottom"/>
          </w:tcPr>
          <w:p>
            <w:pPr>
              <w:spacing w:after="0"/>
              <w:rPr>
                <w:sz w:val="1"/>
                <w:szCs w:val="1"/>
                <w:color w:val="auto"/>
              </w:rPr>
            </w:pPr>
          </w:p>
        </w:tc>
      </w:tr>
      <w:tr>
        <w:trPr>
          <w:trHeight w:val="20"/>
        </w:trPr>
        <w:tc>
          <w:tcPr>
            <w:tcW w:w="43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reconciles Segment Adjusted EBITDA to Net income (loss) from continuing operations attributable to NCR Voyix:</w:t>
      </w:r>
    </w:p>
    <w:p>
      <w:pPr>
        <w:spacing w:after="0" w:line="213" w:lineRule="exact"/>
        <w:rPr>
          <w:sz w:val="20"/>
          <w:szCs w:val="20"/>
          <w:color w:val="auto"/>
        </w:rPr>
      </w:pPr>
    </w:p>
    <w:tbl>
      <w:tblPr>
        <w:tblLayout w:type="fixed"/>
        <w:tblInd w:w="60" w:type="dxa"/>
        <w:tblCellMar>
          <w:top w:w="0" w:type="dxa"/>
          <w:left w:w="0" w:type="dxa"/>
          <w:bottom w:w="0" w:type="dxa"/>
          <w:right w:w="0" w:type="dxa"/>
        </w:tblCellMar>
      </w:tblPr>
      <w:tr>
        <w:trPr>
          <w:trHeight w:val="183"/>
        </w:trPr>
        <w:tc>
          <w:tcPr>
            <w:tcW w:w="59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480" w:type="dxa"/>
            <w:vAlign w:val="bottom"/>
            <w:gridSpan w:val="5"/>
          </w:tcPr>
          <w:p>
            <w:pPr>
              <w:ind w:left="8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00" w:type="dxa"/>
            <w:vAlign w:val="bottom"/>
          </w:tcPr>
          <w:p>
            <w:pPr>
              <w:spacing w:after="0"/>
              <w:rPr>
                <w:sz w:val="15"/>
                <w:szCs w:val="15"/>
                <w:color w:val="auto"/>
              </w:rPr>
            </w:pPr>
          </w:p>
        </w:tc>
        <w:tc>
          <w:tcPr>
            <w:tcW w:w="2380" w:type="dxa"/>
            <w:vAlign w:val="bottom"/>
            <w:gridSpan w:val="4"/>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23"/>
        </w:trPr>
        <w:tc>
          <w:tcPr>
            <w:tcW w:w="590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9"/>
        </w:trPr>
        <w:tc>
          <w:tcPr>
            <w:tcW w:w="5900" w:type="dxa"/>
            <w:vAlign w:val="bottom"/>
            <w:tcBorders>
              <w:bottom w:val="single" w:sz="8" w:color="CCEEFF"/>
            </w:tcBorders>
            <w:vMerge w:val="continue"/>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395"/>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74"/>
              <w:spacing w:after="0"/>
              <w:rPr>
                <w:sz w:val="20"/>
                <w:szCs w:val="20"/>
                <w:color w:val="auto"/>
              </w:rPr>
            </w:pPr>
            <w:r>
              <w:rPr>
                <w:rFonts w:ascii="Times New Roman" w:cs="Times New Roman" w:eastAsia="Times New Roman" w:hAnsi="Times New Roman"/>
                <w:sz w:val="16"/>
                <w:szCs w:val="16"/>
                <w:b w:val="1"/>
                <w:bCs w:val="1"/>
                <w:color w:val="auto"/>
              </w:rPr>
              <w:t>2023</w:t>
            </w:r>
          </w:p>
        </w:tc>
        <w:tc>
          <w:tcPr>
            <w:tcW w:w="0" w:type="dxa"/>
            <w:vAlign w:val="bottom"/>
          </w:tcPr>
          <w:p>
            <w:pPr>
              <w:spacing w:after="0"/>
              <w:rPr>
                <w:sz w:val="1"/>
                <w:szCs w:val="1"/>
                <w:color w:val="auto"/>
              </w:rPr>
            </w:pPr>
          </w:p>
        </w:tc>
      </w:tr>
      <w:tr>
        <w:trPr>
          <w:trHeight w:val="215"/>
        </w:trPr>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Segment Adjusted EBITDA</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174</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175</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464</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468</w:t>
            </w:r>
          </w:p>
        </w:tc>
        <w:tc>
          <w:tcPr>
            <w:tcW w:w="0" w:type="dxa"/>
            <w:vAlign w:val="bottom"/>
          </w:tcPr>
          <w:p>
            <w:pPr>
              <w:spacing w:after="0"/>
              <w:rPr>
                <w:sz w:val="1"/>
                <w:szCs w:val="1"/>
                <w:color w:val="auto"/>
              </w:rPr>
            </w:pPr>
          </w:p>
        </w:tc>
      </w:tr>
      <w:tr>
        <w:trPr>
          <w:trHeight w:val="220"/>
        </w:trPr>
        <w:tc>
          <w:tcPr>
            <w:tcW w:w="59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Corporate and other income and expenses not allocated to reportable segments</w:t>
            </w: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81</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72</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231</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196</w:t>
            </w:r>
          </w:p>
        </w:tc>
        <w:tc>
          <w:tcPr>
            <w:tcW w:w="0" w:type="dxa"/>
            <w:vAlign w:val="bottom"/>
          </w:tcPr>
          <w:p>
            <w:pPr>
              <w:spacing w:after="0"/>
              <w:rPr>
                <w:sz w:val="1"/>
                <w:szCs w:val="1"/>
                <w:color w:val="auto"/>
              </w:rPr>
            </w:pPr>
          </w:p>
        </w:tc>
      </w:tr>
      <w:tr>
        <w:trPr>
          <w:trHeight w:val="220"/>
        </w:trPr>
        <w:tc>
          <w:tcPr>
            <w:tcW w:w="59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Depreciation and amortization</w:t>
            </w: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53</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153</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140</w:t>
            </w:r>
          </w:p>
        </w:tc>
        <w:tc>
          <w:tcPr>
            <w:tcW w:w="0" w:type="dxa"/>
            <w:vAlign w:val="bottom"/>
          </w:tcPr>
          <w:p>
            <w:pPr>
              <w:spacing w:after="0"/>
              <w:rPr>
                <w:sz w:val="1"/>
                <w:szCs w:val="1"/>
                <w:color w:val="auto"/>
              </w:rPr>
            </w:pPr>
          </w:p>
        </w:tc>
      </w:tr>
      <w:tr>
        <w:trPr>
          <w:trHeight w:val="220"/>
        </w:trPr>
        <w:tc>
          <w:tcPr>
            <w:tcW w:w="59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Acquisition-related amortization of intangibles</w:t>
            </w: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7</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22</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w:t>
            </w:r>
          </w:p>
        </w:tc>
        <w:tc>
          <w:tcPr>
            <w:tcW w:w="0" w:type="dxa"/>
            <w:vAlign w:val="bottom"/>
          </w:tcPr>
          <w:p>
            <w:pPr>
              <w:spacing w:after="0"/>
              <w:rPr>
                <w:sz w:val="1"/>
                <w:szCs w:val="1"/>
                <w:color w:val="auto"/>
              </w:rPr>
            </w:pPr>
          </w:p>
        </w:tc>
      </w:tr>
      <w:tr>
        <w:trPr>
          <w:trHeight w:val="220"/>
        </w:trPr>
        <w:tc>
          <w:tcPr>
            <w:tcW w:w="59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Interest expense</w:t>
            </w: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40</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83</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120</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257</w:t>
            </w:r>
          </w:p>
        </w:tc>
        <w:tc>
          <w:tcPr>
            <w:tcW w:w="0" w:type="dxa"/>
            <w:vAlign w:val="bottom"/>
          </w:tcPr>
          <w:p>
            <w:pPr>
              <w:spacing w:after="0"/>
              <w:rPr>
                <w:sz w:val="1"/>
                <w:szCs w:val="1"/>
                <w:color w:val="auto"/>
              </w:rPr>
            </w:pPr>
          </w:p>
        </w:tc>
      </w:tr>
      <w:tr>
        <w:trPr>
          <w:trHeight w:val="220"/>
        </w:trPr>
        <w:tc>
          <w:tcPr>
            <w:tcW w:w="59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Interest income</w:t>
            </w: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(2)</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(5)</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w:t>
            </w:r>
          </w:p>
        </w:tc>
        <w:tc>
          <w:tcPr>
            <w:tcW w:w="0" w:type="dxa"/>
            <w:vAlign w:val="bottom"/>
          </w:tcPr>
          <w:p>
            <w:pPr>
              <w:spacing w:after="0"/>
              <w:rPr>
                <w:sz w:val="1"/>
                <w:szCs w:val="1"/>
                <w:color w:val="auto"/>
              </w:rPr>
            </w:pPr>
          </w:p>
        </w:tc>
      </w:tr>
      <w:tr>
        <w:trPr>
          <w:trHeight w:val="220"/>
        </w:trPr>
        <w:tc>
          <w:tcPr>
            <w:tcW w:w="59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Acquisition-related costs</w:t>
            </w:r>
          </w:p>
        </w:tc>
        <w:tc>
          <w:tcPr>
            <w:tcW w:w="1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b w:val="1"/>
                <w:bCs w:val="1"/>
                <w:color w:val="auto"/>
              </w:rPr>
              <w:t>—</w:t>
            </w:r>
          </w:p>
        </w:tc>
        <w:tc>
          <w:tcPr>
            <w:tcW w:w="3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b w:val="1"/>
                <w:bCs w:val="1"/>
                <w:color w:val="auto"/>
              </w:rPr>
              <w:t>—</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0" w:type="dxa"/>
            <w:vAlign w:val="bottom"/>
          </w:tcPr>
          <w:p>
            <w:pPr>
              <w:spacing w:after="0"/>
              <w:rPr>
                <w:sz w:val="1"/>
                <w:szCs w:val="1"/>
                <w:color w:val="auto"/>
              </w:rPr>
            </w:pPr>
          </w:p>
        </w:tc>
      </w:tr>
      <w:tr>
        <w:trPr>
          <w:trHeight w:val="220"/>
        </w:trPr>
        <w:tc>
          <w:tcPr>
            <w:tcW w:w="59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Loss (gain) on debt extinguishment</w:t>
            </w: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(8)</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(8)</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0"/>
        </w:trPr>
        <w:tc>
          <w:tcPr>
            <w:tcW w:w="59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Income tax expense (benefit)</w:t>
            </w: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187</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3</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200</w:t>
            </w:r>
          </w:p>
        </w:tc>
        <w:tc>
          <w:tcPr>
            <w:tcW w:w="0" w:type="dxa"/>
            <w:vAlign w:val="bottom"/>
          </w:tcPr>
          <w:p>
            <w:pPr>
              <w:spacing w:after="0"/>
              <w:rPr>
                <w:sz w:val="1"/>
                <w:szCs w:val="1"/>
                <w:color w:val="auto"/>
              </w:rPr>
            </w:pPr>
          </w:p>
        </w:tc>
      </w:tr>
      <w:tr>
        <w:trPr>
          <w:trHeight w:val="220"/>
        </w:trPr>
        <w:tc>
          <w:tcPr>
            <w:tcW w:w="59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Stock-based compensation expense</w:t>
            </w: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9</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32</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65</w:t>
            </w:r>
          </w:p>
        </w:tc>
        <w:tc>
          <w:tcPr>
            <w:tcW w:w="0" w:type="dxa"/>
            <w:vAlign w:val="bottom"/>
          </w:tcPr>
          <w:p>
            <w:pPr>
              <w:spacing w:after="0"/>
              <w:rPr>
                <w:sz w:val="1"/>
                <w:szCs w:val="1"/>
                <w:color w:val="auto"/>
              </w:rPr>
            </w:pPr>
          </w:p>
        </w:tc>
      </w:tr>
      <w:tr>
        <w:trPr>
          <w:trHeight w:val="220"/>
        </w:trPr>
        <w:tc>
          <w:tcPr>
            <w:tcW w:w="5900" w:type="dxa"/>
            <w:vAlign w:val="bottom"/>
            <w:shd w:val="clear" w:color="auto" w:fill="CCEEFF"/>
          </w:tcPr>
          <w:p>
            <w:pPr>
              <w:ind w:left="220"/>
              <w:spacing w:after="0" w:line="221" w:lineRule="exact"/>
              <w:rPr>
                <w:sz w:val="20"/>
                <w:szCs w:val="20"/>
                <w:color w:val="auto"/>
              </w:rPr>
            </w:pPr>
            <w:r>
              <w:rPr>
                <w:rFonts w:ascii="Times New Roman" w:cs="Times New Roman" w:eastAsia="Times New Roman" w:hAnsi="Times New Roman"/>
                <w:sz w:val="17"/>
                <w:szCs w:val="17"/>
                <w:color w:val="auto"/>
              </w:rPr>
              <w:t>Transformation and restructuring costs</w:t>
            </w:r>
            <w:r>
              <w:rPr>
                <w:rFonts w:ascii="Times New Roman" w:cs="Times New Roman" w:eastAsia="Times New Roman" w:hAnsi="Times New Roman"/>
                <w:sz w:val="22"/>
                <w:szCs w:val="22"/>
                <w:color w:val="auto"/>
                <w:vertAlign w:val="superscript"/>
              </w:rPr>
              <w:t>(1)</w:t>
            </w: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16</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90</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w:t>
            </w:r>
          </w:p>
        </w:tc>
        <w:tc>
          <w:tcPr>
            <w:tcW w:w="0" w:type="dxa"/>
            <w:vAlign w:val="bottom"/>
          </w:tcPr>
          <w:p>
            <w:pPr>
              <w:spacing w:after="0"/>
              <w:rPr>
                <w:sz w:val="1"/>
                <w:szCs w:val="1"/>
                <w:color w:val="auto"/>
              </w:rPr>
            </w:pPr>
          </w:p>
        </w:tc>
      </w:tr>
      <w:tr>
        <w:trPr>
          <w:trHeight w:val="220"/>
        </w:trPr>
        <w:tc>
          <w:tcPr>
            <w:tcW w:w="5900" w:type="dxa"/>
            <w:vAlign w:val="bottom"/>
          </w:tcPr>
          <w:p>
            <w:pPr>
              <w:ind w:left="220"/>
              <w:spacing w:after="0" w:line="221" w:lineRule="exact"/>
              <w:rPr>
                <w:sz w:val="20"/>
                <w:szCs w:val="20"/>
                <w:color w:val="auto"/>
              </w:rPr>
            </w:pPr>
            <w:r>
              <w:rPr>
                <w:rFonts w:ascii="Times New Roman" w:cs="Times New Roman" w:eastAsia="Times New Roman" w:hAnsi="Times New Roman"/>
                <w:sz w:val="17"/>
                <w:szCs w:val="17"/>
                <w:color w:val="auto"/>
              </w:rPr>
              <w:t>Separation costs</w:t>
            </w:r>
            <w:r>
              <w:rPr>
                <w:rFonts w:ascii="Times New Roman" w:cs="Times New Roman" w:eastAsia="Times New Roman" w:hAnsi="Times New Roman"/>
                <w:sz w:val="22"/>
                <w:szCs w:val="22"/>
                <w:color w:val="auto"/>
                <w:vertAlign w:val="superscript"/>
              </w:rPr>
              <w:t>(2)</w:t>
            </w: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1</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9</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w:t>
            </w:r>
          </w:p>
        </w:tc>
        <w:tc>
          <w:tcPr>
            <w:tcW w:w="0" w:type="dxa"/>
            <w:vAlign w:val="bottom"/>
          </w:tcPr>
          <w:p>
            <w:pPr>
              <w:spacing w:after="0"/>
              <w:rPr>
                <w:sz w:val="1"/>
                <w:szCs w:val="1"/>
                <w:color w:val="auto"/>
              </w:rPr>
            </w:pPr>
          </w:p>
        </w:tc>
      </w:tr>
      <w:tr>
        <w:trPr>
          <w:trHeight w:val="220"/>
        </w:trPr>
        <w:tc>
          <w:tcPr>
            <w:tcW w:w="59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Loss (gain) on disposal of businesses</w:t>
            </w:r>
          </w:p>
        </w:tc>
        <w:tc>
          <w:tcPr>
            <w:tcW w:w="1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b w:val="1"/>
                <w:bCs w:val="1"/>
                <w:color w:val="auto"/>
              </w:rPr>
              <w:t>—</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(14)</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w:t>
            </w:r>
          </w:p>
        </w:tc>
        <w:tc>
          <w:tcPr>
            <w:tcW w:w="0" w:type="dxa"/>
            <w:vAlign w:val="bottom"/>
          </w:tcPr>
          <w:p>
            <w:pPr>
              <w:spacing w:after="0"/>
              <w:rPr>
                <w:sz w:val="1"/>
                <w:szCs w:val="1"/>
                <w:color w:val="auto"/>
              </w:rPr>
            </w:pPr>
          </w:p>
        </w:tc>
      </w:tr>
      <w:tr>
        <w:trPr>
          <w:trHeight w:val="220"/>
        </w:trPr>
        <w:tc>
          <w:tcPr>
            <w:tcW w:w="5900" w:type="dxa"/>
            <w:vAlign w:val="bottom"/>
          </w:tcPr>
          <w:p>
            <w:pPr>
              <w:ind w:left="220"/>
              <w:spacing w:after="0" w:line="221" w:lineRule="exact"/>
              <w:rPr>
                <w:sz w:val="20"/>
                <w:szCs w:val="20"/>
                <w:color w:val="auto"/>
              </w:rPr>
            </w:pPr>
            <w:r>
              <w:rPr>
                <w:rFonts w:ascii="Times New Roman" w:cs="Times New Roman" w:eastAsia="Times New Roman" w:hAnsi="Times New Roman"/>
                <w:sz w:val="17"/>
                <w:szCs w:val="17"/>
                <w:color w:val="auto"/>
              </w:rPr>
              <w:t>Foreign currency devaluation</w:t>
            </w:r>
            <w:r>
              <w:rPr>
                <w:rFonts w:ascii="Times New Roman" w:cs="Times New Roman" w:eastAsia="Times New Roman" w:hAnsi="Times New Roman"/>
                <w:sz w:val="22"/>
                <w:szCs w:val="22"/>
                <w:color w:val="auto"/>
                <w:vertAlign w:val="superscript"/>
              </w:rPr>
              <w:t>(3)</w:t>
            </w:r>
          </w:p>
        </w:tc>
        <w:tc>
          <w:tcPr>
            <w:tcW w:w="18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b w:val="1"/>
                <w:bCs w:val="1"/>
                <w:color w:val="auto"/>
              </w:rPr>
              <w:t>—</w:t>
            </w:r>
          </w:p>
        </w:tc>
        <w:tc>
          <w:tcPr>
            <w:tcW w:w="30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15</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0"/>
        </w:trPr>
        <w:tc>
          <w:tcPr>
            <w:tcW w:w="5900" w:type="dxa"/>
            <w:vAlign w:val="bottom"/>
            <w:shd w:val="clear" w:color="auto" w:fill="CCEEFF"/>
          </w:tcPr>
          <w:p>
            <w:pPr>
              <w:ind w:left="220"/>
              <w:spacing w:after="0" w:line="221" w:lineRule="exact"/>
              <w:rPr>
                <w:sz w:val="20"/>
                <w:szCs w:val="20"/>
                <w:color w:val="auto"/>
              </w:rPr>
            </w:pPr>
            <w:r>
              <w:rPr>
                <w:rFonts w:ascii="Times New Roman" w:cs="Times New Roman" w:eastAsia="Times New Roman" w:hAnsi="Times New Roman"/>
                <w:sz w:val="17"/>
                <w:szCs w:val="17"/>
                <w:color w:val="auto"/>
              </w:rPr>
              <w:t>Fraudulent ACH disbursements</w:t>
            </w:r>
            <w:r>
              <w:rPr>
                <w:rFonts w:ascii="Times New Roman" w:cs="Times New Roman" w:eastAsia="Times New Roman" w:hAnsi="Times New Roman"/>
                <w:sz w:val="22"/>
                <w:szCs w:val="22"/>
                <w:color w:val="auto"/>
                <w:vertAlign w:val="superscript"/>
              </w:rPr>
              <w:t>(4)</w:t>
            </w: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(2)</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(4)</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w:t>
            </w:r>
          </w:p>
        </w:tc>
        <w:tc>
          <w:tcPr>
            <w:tcW w:w="0" w:type="dxa"/>
            <w:vAlign w:val="bottom"/>
          </w:tcPr>
          <w:p>
            <w:pPr>
              <w:spacing w:after="0"/>
              <w:rPr>
                <w:sz w:val="1"/>
                <w:szCs w:val="1"/>
                <w:color w:val="auto"/>
              </w:rPr>
            </w:pPr>
          </w:p>
        </w:tc>
      </w:tr>
      <w:tr>
        <w:trPr>
          <w:trHeight w:val="220"/>
        </w:trPr>
        <w:tc>
          <w:tcPr>
            <w:tcW w:w="5900" w:type="dxa"/>
            <w:vAlign w:val="bottom"/>
          </w:tcPr>
          <w:p>
            <w:pPr>
              <w:ind w:left="220"/>
              <w:spacing w:after="0" w:line="221" w:lineRule="exact"/>
              <w:rPr>
                <w:sz w:val="20"/>
                <w:szCs w:val="20"/>
                <w:color w:val="auto"/>
              </w:rPr>
            </w:pPr>
            <w:r>
              <w:rPr>
                <w:rFonts w:ascii="Times New Roman" w:cs="Times New Roman" w:eastAsia="Times New Roman" w:hAnsi="Times New Roman"/>
                <w:sz w:val="17"/>
                <w:szCs w:val="17"/>
                <w:color w:val="auto"/>
              </w:rPr>
              <w:t>Cyber ransomware incident recovery costs</w:t>
            </w:r>
            <w:r>
              <w:rPr>
                <w:rFonts w:ascii="Times New Roman" w:cs="Times New Roman" w:eastAsia="Times New Roman" w:hAnsi="Times New Roman"/>
                <w:sz w:val="22"/>
                <w:szCs w:val="22"/>
                <w:color w:val="auto"/>
                <w:vertAlign w:val="superscript"/>
              </w:rPr>
              <w:t>(5)</w:t>
            </w: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(1)</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(5)</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w:t>
            </w:r>
          </w:p>
        </w:tc>
        <w:tc>
          <w:tcPr>
            <w:tcW w:w="0" w:type="dxa"/>
            <w:vAlign w:val="bottom"/>
          </w:tcPr>
          <w:p>
            <w:pPr>
              <w:spacing w:after="0"/>
              <w:rPr>
                <w:sz w:val="1"/>
                <w:szCs w:val="1"/>
                <w:color w:val="auto"/>
              </w:rPr>
            </w:pPr>
          </w:p>
        </w:tc>
      </w:tr>
      <w:tr>
        <w:trPr>
          <w:trHeight w:val="220"/>
        </w:trPr>
        <w:tc>
          <w:tcPr>
            <w:tcW w:w="5900" w:type="dxa"/>
            <w:vAlign w:val="bottom"/>
            <w:shd w:val="clear" w:color="auto" w:fill="CCEEFF"/>
          </w:tcPr>
          <w:p>
            <w:pPr>
              <w:ind w:left="220"/>
              <w:spacing w:after="0" w:line="221" w:lineRule="exact"/>
              <w:rPr>
                <w:sz w:val="20"/>
                <w:szCs w:val="20"/>
                <w:color w:val="auto"/>
              </w:rPr>
            </w:pPr>
            <w:r>
              <w:rPr>
                <w:rFonts w:ascii="Times New Roman" w:cs="Times New Roman" w:eastAsia="Times New Roman" w:hAnsi="Times New Roman"/>
                <w:sz w:val="17"/>
                <w:szCs w:val="17"/>
                <w:color w:val="auto"/>
              </w:rPr>
              <w:t>Strategic initiatives</w:t>
            </w:r>
            <w:r>
              <w:rPr>
                <w:rFonts w:ascii="Times New Roman" w:cs="Times New Roman" w:eastAsia="Times New Roman" w:hAnsi="Times New Roman"/>
                <w:sz w:val="22"/>
                <w:szCs w:val="22"/>
                <w:color w:val="auto"/>
                <w:vertAlign w:val="superscript"/>
              </w:rPr>
              <w:t>(6)</w:t>
            </w: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12</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18</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3"/>
        </w:trPr>
        <w:tc>
          <w:tcPr>
            <w:tcW w:w="590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Net income (loss) from continuing operations attributable to NCR Voyix</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(31)</w:t>
            </w:r>
          </w:p>
        </w:tc>
        <w:tc>
          <w:tcPr>
            <w:tcW w:w="8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(266)</w:t>
            </w:r>
          </w:p>
        </w:tc>
        <w:tc>
          <w:tcPr>
            <w:tcW w:w="8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(193)</w:t>
            </w:r>
          </w:p>
        </w:tc>
        <w:tc>
          <w:tcPr>
            <w:tcW w:w="8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(457)</w:t>
            </w:r>
          </w:p>
        </w:tc>
        <w:tc>
          <w:tcPr>
            <w:tcW w:w="0" w:type="dxa"/>
            <w:vAlign w:val="bottom"/>
          </w:tcPr>
          <w:p>
            <w:pPr>
              <w:spacing w:after="0"/>
              <w:rPr>
                <w:sz w:val="1"/>
                <w:szCs w:val="1"/>
                <w:color w:val="auto"/>
              </w:rPr>
            </w:pPr>
          </w:p>
        </w:tc>
      </w:tr>
      <w:tr>
        <w:trPr>
          <w:trHeight w:val="20"/>
        </w:trPr>
        <w:tc>
          <w:tcPr>
            <w:tcW w:w="59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vertAlign w:val="superscript"/>
        </w:rPr>
        <w:t>(1)</w:t>
      </w:r>
      <w:r>
        <w:rPr>
          <w:rFonts w:ascii="Times New Roman" w:cs="Times New Roman" w:eastAsia="Times New Roman" w:hAnsi="Times New Roman"/>
          <w:sz w:val="16"/>
          <w:szCs w:val="16"/>
          <w:color w:val="auto"/>
        </w:rPr>
        <w:t>Represents integration, severance, and other exit and disposal costs which are considered non-operational in nature.</w:t>
      </w:r>
    </w:p>
    <w:p>
      <w:pPr>
        <w:spacing w:after="0" w:line="210" w:lineRule="auto"/>
        <w:rPr>
          <w:sz w:val="20"/>
          <w:szCs w:val="20"/>
          <w:color w:val="auto"/>
        </w:rPr>
      </w:pPr>
      <w:r>
        <w:rPr>
          <w:rFonts w:ascii="Times New Roman" w:cs="Times New Roman" w:eastAsia="Times New Roman" w:hAnsi="Times New Roman"/>
          <w:sz w:val="20"/>
          <w:szCs w:val="20"/>
          <w:color w:val="auto"/>
          <w:vertAlign w:val="superscript"/>
        </w:rPr>
        <w:t>(2)</w:t>
      </w:r>
      <w:r>
        <w:rPr>
          <w:rFonts w:ascii="Times New Roman" w:cs="Times New Roman" w:eastAsia="Times New Roman" w:hAnsi="Times New Roman"/>
          <w:sz w:val="16"/>
          <w:szCs w:val="16"/>
          <w:color w:val="auto"/>
        </w:rPr>
        <w:t>Represents costs incurred as a result of the Spin-Off. Professional fees to effect the spin-off of NCR Atleos including separation management, organizational design, and legal fees have been classified within discontinued operations during the three and nine months ended September 30, 2023.</w:t>
      </w:r>
    </w:p>
    <w:p>
      <w:pPr>
        <w:spacing w:after="0" w:line="203" w:lineRule="auto"/>
        <w:rPr>
          <w:sz w:val="20"/>
          <w:szCs w:val="20"/>
          <w:color w:val="auto"/>
        </w:rPr>
      </w:pPr>
      <w:r>
        <w:rPr>
          <w:rFonts w:ascii="Times New Roman" w:cs="Times New Roman" w:eastAsia="Times New Roman" w:hAnsi="Times New Roman"/>
          <w:sz w:val="20"/>
          <w:szCs w:val="20"/>
          <w:color w:val="auto"/>
          <w:vertAlign w:val="superscript"/>
        </w:rPr>
        <w:t>(3)</w:t>
      </w:r>
      <w:r>
        <w:rPr>
          <w:rFonts w:ascii="Times New Roman" w:cs="Times New Roman" w:eastAsia="Times New Roman" w:hAnsi="Times New Roman"/>
          <w:sz w:val="16"/>
          <w:szCs w:val="16"/>
          <w:color w:val="auto"/>
        </w:rPr>
        <w:t>Represents gains and losses recognized during the period due to changes in valuation of the Lebanese pound and the Egyptian pound.</w:t>
      </w:r>
    </w:p>
    <w:p>
      <w:pPr>
        <w:spacing w:after="0" w:line="1" w:lineRule="exact"/>
        <w:rPr>
          <w:sz w:val="20"/>
          <w:szCs w:val="20"/>
          <w:color w:val="auto"/>
        </w:rPr>
      </w:pPr>
    </w:p>
    <w:p>
      <w:pPr>
        <w:spacing w:after="0" w:line="210" w:lineRule="auto"/>
        <w:rPr>
          <w:sz w:val="20"/>
          <w:szCs w:val="20"/>
          <w:color w:val="auto"/>
        </w:rPr>
      </w:pPr>
      <w:r>
        <w:rPr>
          <w:rFonts w:ascii="Times New Roman" w:cs="Times New Roman" w:eastAsia="Times New Roman" w:hAnsi="Times New Roman"/>
          <w:sz w:val="20"/>
          <w:szCs w:val="20"/>
          <w:color w:val="auto"/>
          <w:vertAlign w:val="superscript"/>
        </w:rPr>
        <w:t>(4)</w:t>
      </w:r>
      <w:r>
        <w:rPr>
          <w:rFonts w:ascii="Times New Roman" w:cs="Times New Roman" w:eastAsia="Times New Roman" w:hAnsi="Times New Roman"/>
          <w:sz w:val="16"/>
          <w:szCs w:val="16"/>
          <w:color w:val="auto"/>
        </w:rPr>
        <w:t>Represents Company identified fraudulent ACH disbursements from a Company bank account, net of recoveries. Additional details regarding this item are discussed in Note 1, “Basis of Presentation and Summary of Significant Accounting Policies”.</w:t>
      </w:r>
    </w:p>
    <w:p>
      <w:pPr>
        <w:spacing w:after="0" w:line="1" w:lineRule="exact"/>
        <w:rPr>
          <w:sz w:val="20"/>
          <w:szCs w:val="20"/>
          <w:color w:val="auto"/>
        </w:rPr>
      </w:pPr>
    </w:p>
    <w:p>
      <w:pPr>
        <w:spacing w:after="0" w:line="217" w:lineRule="auto"/>
        <w:rPr>
          <w:sz w:val="20"/>
          <w:szCs w:val="20"/>
          <w:color w:val="auto"/>
        </w:rPr>
      </w:pPr>
      <w:r>
        <w:rPr>
          <w:rFonts w:ascii="Times New Roman" w:cs="Times New Roman" w:eastAsia="Times New Roman" w:hAnsi="Times New Roman"/>
          <w:sz w:val="20"/>
          <w:szCs w:val="20"/>
          <w:color w:val="auto"/>
          <w:vertAlign w:val="superscript"/>
        </w:rPr>
        <w:t>(5)</w:t>
      </w:r>
      <w:r>
        <w:rPr>
          <w:rFonts w:ascii="Times New Roman" w:cs="Times New Roman" w:eastAsia="Times New Roman" w:hAnsi="Times New Roman"/>
          <w:sz w:val="16"/>
          <w:szCs w:val="16"/>
          <w:color w:val="auto"/>
        </w:rPr>
        <w:t>Represents expenses to respond to, remediate and investigate the April 13, 2023 cyber ransomware incident, net of insurance recoveries. Additional details regarding this cyber ransomware incident are discussed in Note 1, “Basis of Presentation and Summary of Significant Accounting Policies”.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vertAlign w:val="superscript"/>
        </w:rPr>
        <w:t>(6)</w:t>
      </w:r>
      <w:r>
        <w:rPr>
          <w:rFonts w:ascii="Times New Roman" w:cs="Times New Roman" w:eastAsia="Times New Roman" w:hAnsi="Times New Roman"/>
          <w:sz w:val="16"/>
          <w:szCs w:val="16"/>
          <w:color w:val="auto"/>
        </w:rPr>
        <w:t>Represents professional fees related to strategic initiatives which are considered non-operational in nature.</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3435" cy="419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0" w:name="page21"/>
    <w:bookmarkEnd w:id="20"/>
    <w:p>
      <w:pPr>
        <w:ind w:left="62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NCR Voyix Corporation</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 (Unaudited)—(Continued)</w:t>
      </w:r>
    </w:p>
    <w:p>
      <w:pPr>
        <w:spacing w:after="0" w:line="200" w:lineRule="exact"/>
        <w:rPr>
          <w:sz w:val="20"/>
          <w:szCs w:val="20"/>
          <w:color w:val="auto"/>
        </w:rPr>
      </w:pPr>
    </w:p>
    <w:p>
      <w:pPr>
        <w:spacing w:after="0" w:line="221" w:lineRule="exact"/>
        <w:rPr>
          <w:sz w:val="20"/>
          <w:szCs w:val="20"/>
          <w:color w:val="auto"/>
        </w:rPr>
      </w:pPr>
    </w:p>
    <w:p>
      <w:pPr>
        <w:ind w:right="580"/>
        <w:spacing w:after="0" w:line="282" w:lineRule="auto"/>
        <w:rPr>
          <w:sz w:val="20"/>
          <w:szCs w:val="20"/>
          <w:color w:val="auto"/>
        </w:rPr>
      </w:pPr>
      <w:r>
        <w:rPr>
          <w:rFonts w:ascii="Times New Roman" w:cs="Times New Roman" w:eastAsia="Times New Roman" w:hAnsi="Times New Roman"/>
          <w:sz w:val="17"/>
          <w:szCs w:val="17"/>
          <w:color w:val="auto"/>
        </w:rPr>
        <w:t>Revenue is attributed to the geographic area to which the product is delivered or in which the service is provided. The following table presents revenue by geographic area for the Company:</w:t>
      </w:r>
    </w:p>
    <w:p>
      <w:pPr>
        <w:spacing w:after="0" w:line="1" w:lineRule="exact"/>
        <w:rPr>
          <w:sz w:val="20"/>
          <w:szCs w:val="20"/>
          <w:color w:val="auto"/>
        </w:rPr>
      </w:pPr>
    </w:p>
    <w:tbl>
      <w:tblPr>
        <w:tblLayout w:type="fixed"/>
        <w:tblInd w:w="20" w:type="dxa"/>
        <w:tblCellMar>
          <w:top w:w="0" w:type="dxa"/>
          <w:left w:w="0" w:type="dxa"/>
          <w:bottom w:w="0" w:type="dxa"/>
          <w:right w:w="0" w:type="dxa"/>
        </w:tblCellMar>
      </w:tblPr>
      <w:tr>
        <w:trPr>
          <w:trHeight w:val="183"/>
        </w:trPr>
        <w:tc>
          <w:tcPr>
            <w:tcW w:w="4320" w:type="dxa"/>
            <w:vAlign w:val="bottom"/>
          </w:tcPr>
          <w:p>
            <w:pPr>
              <w:spacing w:after="0"/>
              <w:rPr>
                <w:sz w:val="15"/>
                <w:szCs w:val="15"/>
                <w:color w:val="auto"/>
              </w:rPr>
            </w:pPr>
          </w:p>
        </w:tc>
        <w:tc>
          <w:tcPr>
            <w:tcW w:w="2900" w:type="dxa"/>
            <w:vAlign w:val="bottom"/>
            <w:gridSpan w:val="4"/>
          </w:tcPr>
          <w:p>
            <w:pPr>
              <w:jc w:val="right"/>
              <w:ind w:right="99"/>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020" w:type="dxa"/>
            <w:vAlign w:val="bottom"/>
            <w:gridSpan w:val="4"/>
          </w:tcPr>
          <w:p>
            <w:pPr>
              <w:jc w:val="right"/>
              <w:ind w:right="636"/>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23"/>
        </w:trPr>
        <w:tc>
          <w:tcPr>
            <w:tcW w:w="43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2"/>
        </w:trPr>
        <w:tc>
          <w:tcPr>
            <w:tcW w:w="4320" w:type="dxa"/>
            <w:vAlign w:val="bottom"/>
            <w:tcBorders>
              <w:bottom w:val="single" w:sz="8" w:color="CCEEFF"/>
            </w:tcBorders>
            <w:vMerge w:val="continue"/>
          </w:tcPr>
          <w:p>
            <w:pPr>
              <w:spacing w:after="0"/>
              <w:rPr>
                <w:sz w:val="15"/>
                <w:szCs w:val="15"/>
                <w:color w:val="auto"/>
              </w:rPr>
            </w:pPr>
          </w:p>
        </w:tc>
        <w:tc>
          <w:tcPr>
            <w:tcW w:w="1140" w:type="dxa"/>
            <w:vAlign w:val="bottom"/>
            <w:tcBorders>
              <w:bottom w:val="single" w:sz="8" w:color="auto"/>
            </w:tcBorders>
          </w:tcPr>
          <w:p>
            <w:pPr>
              <w:jc w:val="right"/>
              <w:ind w:right="102"/>
              <w:spacing w:after="0"/>
              <w:rPr>
                <w:sz w:val="20"/>
                <w:szCs w:val="20"/>
                <w:color w:val="auto"/>
              </w:rPr>
            </w:pPr>
            <w:r>
              <w:rPr>
                <w:rFonts w:ascii="Times New Roman" w:cs="Times New Roman" w:eastAsia="Times New Roman" w:hAnsi="Times New Roman"/>
                <w:sz w:val="14"/>
                <w:szCs w:val="14"/>
                <w:b w:val="1"/>
                <w:bCs w:val="1"/>
                <w:color w:val="auto"/>
              </w:rPr>
              <w:t>2024</w:t>
            </w:r>
          </w:p>
        </w:tc>
        <w:tc>
          <w:tcPr>
            <w:tcW w:w="52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16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4"/>
                <w:szCs w:val="14"/>
                <w:b w:val="1"/>
                <w:bCs w:val="1"/>
                <w:color w:val="auto"/>
              </w:rPr>
              <w:t>2023</w:t>
            </w:r>
          </w:p>
        </w:tc>
        <w:tc>
          <w:tcPr>
            <w:tcW w:w="50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61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616"/>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19"/>
        </w:trPr>
        <w:tc>
          <w:tcPr>
            <w:tcW w:w="4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United States</w:t>
            </w:r>
          </w:p>
        </w:tc>
        <w:tc>
          <w:tcPr>
            <w:tcW w:w="1140" w:type="dxa"/>
            <w:vAlign w:val="bottom"/>
            <w:shd w:val="clear" w:color="auto" w:fill="CCEEFF"/>
          </w:tcPr>
          <w:p>
            <w:pPr>
              <w:jc w:val="right"/>
              <w:ind w:right="942"/>
              <w:spacing w:after="0"/>
              <w:rPr>
                <w:sz w:val="20"/>
                <w:szCs w:val="20"/>
                <w:color w:val="auto"/>
              </w:rPr>
            </w:pPr>
            <w:r>
              <w:rPr>
                <w:rFonts w:ascii="Times New Roman" w:cs="Times New Roman" w:eastAsia="Times New Roman" w:hAnsi="Times New Roman"/>
                <w:sz w:val="17"/>
                <w:szCs w:val="17"/>
                <w:b w:val="1"/>
                <w:bCs w:val="1"/>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457</w:t>
            </w:r>
          </w:p>
        </w:tc>
        <w:tc>
          <w:tcPr>
            <w:tcW w:w="8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979"/>
              <w:spacing w:after="0"/>
              <w:rPr>
                <w:sz w:val="20"/>
                <w:szCs w:val="20"/>
                <w:color w:val="auto"/>
              </w:rPr>
            </w:pPr>
            <w:r>
              <w:rPr>
                <w:rFonts w:ascii="Times New Roman" w:cs="Times New Roman" w:eastAsia="Times New Roman" w:hAnsi="Times New Roman"/>
                <w:sz w:val="17"/>
                <w:szCs w:val="17"/>
                <w:color w:val="auto"/>
                <w:w w:val="93"/>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568</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1,363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1,601</w:t>
            </w:r>
          </w:p>
        </w:tc>
        <w:tc>
          <w:tcPr>
            <w:tcW w:w="0" w:type="dxa"/>
            <w:vAlign w:val="bottom"/>
          </w:tcPr>
          <w:p>
            <w:pPr>
              <w:spacing w:after="0"/>
              <w:rPr>
                <w:sz w:val="1"/>
                <w:szCs w:val="1"/>
                <w:color w:val="auto"/>
              </w:rPr>
            </w:pPr>
          </w:p>
        </w:tc>
      </w:tr>
      <w:tr>
        <w:trPr>
          <w:trHeight w:val="220"/>
        </w:trPr>
        <w:tc>
          <w:tcPr>
            <w:tcW w:w="43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Americas (excluding United States)</w:t>
            </w:r>
          </w:p>
        </w:tc>
        <w:tc>
          <w:tcPr>
            <w:tcW w:w="11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50</w:t>
            </w: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53</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173</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161</w:t>
            </w:r>
          </w:p>
        </w:tc>
        <w:tc>
          <w:tcPr>
            <w:tcW w:w="0" w:type="dxa"/>
            <w:vAlign w:val="bottom"/>
          </w:tcPr>
          <w:p>
            <w:pPr>
              <w:spacing w:after="0"/>
              <w:rPr>
                <w:sz w:val="1"/>
                <w:szCs w:val="1"/>
                <w:color w:val="auto"/>
              </w:rPr>
            </w:pPr>
          </w:p>
        </w:tc>
      </w:tr>
      <w:tr>
        <w:trPr>
          <w:trHeight w:val="220"/>
        </w:trPr>
        <w:tc>
          <w:tcPr>
            <w:tcW w:w="4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Europe, Middle East and Africa</w:t>
            </w:r>
          </w:p>
        </w:tc>
        <w:tc>
          <w:tcPr>
            <w:tcW w:w="114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130</w:t>
            </w:r>
          </w:p>
        </w:tc>
        <w:tc>
          <w:tcPr>
            <w:tcW w:w="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117</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377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372</w:t>
            </w:r>
          </w:p>
        </w:tc>
        <w:tc>
          <w:tcPr>
            <w:tcW w:w="0" w:type="dxa"/>
            <w:vAlign w:val="bottom"/>
          </w:tcPr>
          <w:p>
            <w:pPr>
              <w:spacing w:after="0"/>
              <w:rPr>
                <w:sz w:val="1"/>
                <w:szCs w:val="1"/>
                <w:color w:val="auto"/>
              </w:rPr>
            </w:pPr>
          </w:p>
        </w:tc>
      </w:tr>
      <w:tr>
        <w:trPr>
          <w:trHeight w:val="220"/>
        </w:trPr>
        <w:tc>
          <w:tcPr>
            <w:tcW w:w="43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Asia Pacific</w:t>
            </w:r>
          </w:p>
        </w:tc>
        <w:tc>
          <w:tcPr>
            <w:tcW w:w="114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74</w:t>
            </w:r>
          </w:p>
        </w:tc>
        <w:tc>
          <w:tcPr>
            <w:tcW w:w="80" w:type="dxa"/>
            <w:vAlign w:val="bottom"/>
            <w:tcBorders>
              <w:bottom w:val="single" w:sz="8" w:color="CCEEFF"/>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71</w:t>
            </w:r>
          </w:p>
        </w:tc>
        <w:tc>
          <w:tcPr>
            <w:tcW w:w="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231</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248</w:t>
            </w:r>
          </w:p>
        </w:tc>
        <w:tc>
          <w:tcPr>
            <w:tcW w:w="0" w:type="dxa"/>
            <w:vAlign w:val="bottom"/>
          </w:tcPr>
          <w:p>
            <w:pPr>
              <w:spacing w:after="0"/>
              <w:rPr>
                <w:sz w:val="1"/>
                <w:szCs w:val="1"/>
                <w:color w:val="auto"/>
              </w:rPr>
            </w:pPr>
          </w:p>
        </w:tc>
      </w:tr>
      <w:tr>
        <w:trPr>
          <w:trHeight w:val="238"/>
        </w:trPr>
        <w:tc>
          <w:tcPr>
            <w:tcW w:w="4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Total revenue</w:t>
            </w:r>
          </w:p>
        </w:tc>
        <w:tc>
          <w:tcPr>
            <w:tcW w:w="1140" w:type="dxa"/>
            <w:vAlign w:val="bottom"/>
            <w:tcBorders>
              <w:bottom w:val="single" w:sz="8" w:color="auto"/>
            </w:tcBorders>
            <w:shd w:val="clear" w:color="auto" w:fill="CCEEFF"/>
          </w:tcPr>
          <w:p>
            <w:pPr>
              <w:jc w:val="right"/>
              <w:ind w:right="942"/>
              <w:spacing w:after="0"/>
              <w:rPr>
                <w:sz w:val="20"/>
                <w:szCs w:val="20"/>
                <w:color w:val="auto"/>
              </w:rPr>
            </w:pPr>
            <w:r>
              <w:rPr>
                <w:rFonts w:ascii="Times New Roman" w:cs="Times New Roman" w:eastAsia="Times New Roman" w:hAnsi="Times New Roman"/>
                <w:sz w:val="17"/>
                <w:szCs w:val="17"/>
                <w:b w:val="1"/>
                <w:bCs w:val="1"/>
                <w:color w:val="auto"/>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711</w:t>
            </w:r>
          </w:p>
        </w:tc>
        <w:tc>
          <w:tcPr>
            <w:tcW w:w="8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ind w:right="979"/>
              <w:spacing w:after="0"/>
              <w:rPr>
                <w:sz w:val="20"/>
                <w:szCs w:val="20"/>
                <w:color w:val="auto"/>
              </w:rPr>
            </w:pPr>
            <w:r>
              <w:rPr>
                <w:rFonts w:ascii="Times New Roman" w:cs="Times New Roman" w:eastAsia="Times New Roman" w:hAnsi="Times New Roman"/>
                <w:sz w:val="17"/>
                <w:szCs w:val="17"/>
                <w:color w:val="auto"/>
                <w:w w:val="93"/>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809</w:t>
            </w:r>
          </w:p>
        </w:tc>
        <w:tc>
          <w:tcPr>
            <w:tcW w:w="8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21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2,144</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2,382</w:t>
            </w:r>
          </w:p>
        </w:tc>
        <w:tc>
          <w:tcPr>
            <w:tcW w:w="0" w:type="dxa"/>
            <w:vAlign w:val="bottom"/>
          </w:tcPr>
          <w:p>
            <w:pPr>
              <w:spacing w:after="0"/>
              <w:rPr>
                <w:sz w:val="1"/>
                <w:szCs w:val="1"/>
                <w:color w:val="auto"/>
              </w:rPr>
            </w:pPr>
          </w:p>
        </w:tc>
      </w:tr>
      <w:tr>
        <w:trPr>
          <w:trHeight w:val="20"/>
        </w:trPr>
        <w:tc>
          <w:tcPr>
            <w:tcW w:w="43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presents the recurring revenue and all other products and services revenue that is recognized at a point in time for the Company:</w:t>
      </w:r>
    </w:p>
    <w:p>
      <w:pPr>
        <w:spacing w:after="0" w:line="136" w:lineRule="exact"/>
        <w:rPr>
          <w:sz w:val="20"/>
          <w:szCs w:val="20"/>
          <w:color w:val="auto"/>
        </w:rPr>
      </w:pPr>
    </w:p>
    <w:tbl>
      <w:tblPr>
        <w:tblLayout w:type="fixed"/>
        <w:tblInd w:w="20" w:type="dxa"/>
        <w:tblCellMar>
          <w:top w:w="0" w:type="dxa"/>
          <w:left w:w="0" w:type="dxa"/>
          <w:bottom w:w="0" w:type="dxa"/>
          <w:right w:w="0" w:type="dxa"/>
        </w:tblCellMar>
      </w:tblPr>
      <w:tr>
        <w:trPr>
          <w:trHeight w:val="183"/>
        </w:trPr>
        <w:tc>
          <w:tcPr>
            <w:tcW w:w="4320" w:type="dxa"/>
            <w:vAlign w:val="bottom"/>
          </w:tcPr>
          <w:p>
            <w:pPr>
              <w:spacing w:after="0"/>
              <w:rPr>
                <w:sz w:val="15"/>
                <w:szCs w:val="15"/>
                <w:color w:val="auto"/>
              </w:rPr>
            </w:pPr>
          </w:p>
        </w:tc>
        <w:tc>
          <w:tcPr>
            <w:tcW w:w="2900" w:type="dxa"/>
            <w:vAlign w:val="bottom"/>
            <w:gridSpan w:val="4"/>
          </w:tcPr>
          <w:p>
            <w:pPr>
              <w:jc w:val="right"/>
              <w:ind w:right="99"/>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40" w:type="dxa"/>
            <w:vAlign w:val="bottom"/>
            <w:gridSpan w:val="4"/>
          </w:tcPr>
          <w:p>
            <w:pPr>
              <w:jc w:val="right"/>
              <w:ind w:right="59"/>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43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2"/>
        </w:trPr>
        <w:tc>
          <w:tcPr>
            <w:tcW w:w="4320" w:type="dxa"/>
            <w:vAlign w:val="bottom"/>
            <w:tcBorders>
              <w:bottom w:val="single" w:sz="8" w:color="CCEEFF"/>
            </w:tcBorders>
            <w:vMerge w:val="continue"/>
          </w:tcPr>
          <w:p>
            <w:pPr>
              <w:spacing w:after="0"/>
              <w:rPr>
                <w:sz w:val="15"/>
                <w:szCs w:val="15"/>
                <w:color w:val="auto"/>
              </w:rPr>
            </w:pPr>
          </w:p>
        </w:tc>
        <w:tc>
          <w:tcPr>
            <w:tcW w:w="1140" w:type="dxa"/>
            <w:vAlign w:val="bottom"/>
            <w:tcBorders>
              <w:bottom w:val="single" w:sz="8" w:color="auto"/>
            </w:tcBorders>
          </w:tcPr>
          <w:p>
            <w:pPr>
              <w:jc w:val="right"/>
              <w:ind w:right="102"/>
              <w:spacing w:after="0"/>
              <w:rPr>
                <w:sz w:val="20"/>
                <w:szCs w:val="20"/>
                <w:color w:val="auto"/>
              </w:rPr>
            </w:pPr>
            <w:r>
              <w:rPr>
                <w:rFonts w:ascii="Times New Roman" w:cs="Times New Roman" w:eastAsia="Times New Roman" w:hAnsi="Times New Roman"/>
                <w:sz w:val="14"/>
                <w:szCs w:val="14"/>
                <w:b w:val="1"/>
                <w:bCs w:val="1"/>
                <w:color w:val="auto"/>
              </w:rPr>
              <w:t>2024</w:t>
            </w:r>
          </w:p>
        </w:tc>
        <w:tc>
          <w:tcPr>
            <w:tcW w:w="52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16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4"/>
                <w:szCs w:val="14"/>
                <w:b w:val="1"/>
                <w:bCs w:val="1"/>
                <w:color w:val="auto"/>
              </w:rPr>
              <w:t>2023</w:t>
            </w:r>
          </w:p>
        </w:tc>
        <w:tc>
          <w:tcPr>
            <w:tcW w:w="50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080" w:type="dxa"/>
            <w:vAlign w:val="bottom"/>
            <w:tcBorders>
              <w:bottom w:val="single" w:sz="8" w:color="auto"/>
            </w:tcBorders>
          </w:tcPr>
          <w:p>
            <w:pPr>
              <w:jc w:val="right"/>
              <w:ind w:right="42"/>
              <w:spacing w:after="0"/>
              <w:rPr>
                <w:sz w:val="20"/>
                <w:szCs w:val="20"/>
                <w:color w:val="auto"/>
              </w:rPr>
            </w:pPr>
            <w:r>
              <w:rPr>
                <w:rFonts w:ascii="Times New Roman" w:cs="Times New Roman" w:eastAsia="Times New Roman" w:hAnsi="Times New Roman"/>
                <w:sz w:val="14"/>
                <w:szCs w:val="14"/>
                <w:b w:val="1"/>
                <w:bCs w:val="1"/>
                <w:color w:val="auto"/>
              </w:rPr>
              <w:t>2024</w:t>
            </w:r>
          </w:p>
        </w:tc>
        <w:tc>
          <w:tcPr>
            <w:tcW w:w="58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08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4"/>
                <w:szCs w:val="14"/>
                <w:b w:val="1"/>
                <w:bCs w:val="1"/>
                <w:color w:val="auto"/>
              </w:rPr>
              <w:t>2023</w:t>
            </w:r>
          </w:p>
        </w:tc>
        <w:tc>
          <w:tcPr>
            <w:tcW w:w="5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9"/>
        </w:trPr>
        <w:tc>
          <w:tcPr>
            <w:tcW w:w="4320" w:type="dxa"/>
            <w:vAlign w:val="bottom"/>
            <w:shd w:val="clear" w:color="auto" w:fill="CCEEFF"/>
          </w:tcPr>
          <w:p>
            <w:pPr>
              <w:ind w:left="20"/>
              <w:spacing w:after="0" w:line="219" w:lineRule="exact"/>
              <w:rPr>
                <w:sz w:val="20"/>
                <w:szCs w:val="20"/>
                <w:color w:val="auto"/>
              </w:rPr>
            </w:pPr>
            <w:r>
              <w:rPr>
                <w:rFonts w:ascii="Times New Roman" w:cs="Times New Roman" w:eastAsia="Times New Roman" w:hAnsi="Times New Roman"/>
                <w:sz w:val="17"/>
                <w:szCs w:val="17"/>
                <w:color w:val="auto"/>
              </w:rPr>
              <w:t>Recurring revenue</w:t>
            </w:r>
            <w:r>
              <w:rPr>
                <w:rFonts w:ascii="Times New Roman" w:cs="Times New Roman" w:eastAsia="Times New Roman" w:hAnsi="Times New Roman"/>
                <w:sz w:val="22"/>
                <w:szCs w:val="22"/>
                <w:color w:val="auto"/>
                <w:vertAlign w:val="superscript"/>
              </w:rPr>
              <w:t>(1)</w:t>
            </w:r>
          </w:p>
        </w:tc>
        <w:tc>
          <w:tcPr>
            <w:tcW w:w="1140" w:type="dxa"/>
            <w:vAlign w:val="bottom"/>
            <w:shd w:val="clear" w:color="auto" w:fill="CCEEFF"/>
          </w:tcPr>
          <w:p>
            <w:pPr>
              <w:jc w:val="right"/>
              <w:ind w:right="942"/>
              <w:spacing w:after="0"/>
              <w:rPr>
                <w:sz w:val="20"/>
                <w:szCs w:val="20"/>
                <w:color w:val="auto"/>
              </w:rPr>
            </w:pPr>
            <w:r>
              <w:rPr>
                <w:rFonts w:ascii="Times New Roman" w:cs="Times New Roman" w:eastAsia="Times New Roman" w:hAnsi="Times New Roman"/>
                <w:sz w:val="17"/>
                <w:szCs w:val="17"/>
                <w:b w:val="1"/>
                <w:bCs w:val="1"/>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407</w:t>
            </w:r>
          </w:p>
        </w:tc>
        <w:tc>
          <w:tcPr>
            <w:tcW w:w="8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979"/>
              <w:spacing w:after="0"/>
              <w:rPr>
                <w:sz w:val="20"/>
                <w:szCs w:val="20"/>
                <w:color w:val="auto"/>
              </w:rPr>
            </w:pPr>
            <w:r>
              <w:rPr>
                <w:rFonts w:ascii="Times New Roman" w:cs="Times New Roman" w:eastAsia="Times New Roman" w:hAnsi="Times New Roman"/>
                <w:sz w:val="17"/>
                <w:szCs w:val="17"/>
                <w:color w:val="auto"/>
                <w:w w:val="93"/>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409</w:t>
            </w:r>
          </w:p>
        </w:tc>
        <w:tc>
          <w:tcPr>
            <w:tcW w:w="8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902"/>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1,214</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899"/>
              <w:spacing w:after="0"/>
              <w:rPr>
                <w:sz w:val="20"/>
                <w:szCs w:val="20"/>
                <w:color w:val="auto"/>
              </w:rPr>
            </w:pPr>
            <w:r>
              <w:rPr>
                <w:rFonts w:ascii="Times New Roman" w:cs="Times New Roman" w:eastAsia="Times New Roman" w:hAnsi="Times New Roman"/>
                <w:sz w:val="17"/>
                <w:szCs w:val="17"/>
                <w:color w:val="auto"/>
                <w:w w:val="93"/>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1,216</w:t>
            </w:r>
          </w:p>
        </w:tc>
        <w:tc>
          <w:tcPr>
            <w:tcW w:w="0" w:type="dxa"/>
            <w:vAlign w:val="bottom"/>
          </w:tcPr>
          <w:p>
            <w:pPr>
              <w:spacing w:after="0"/>
              <w:rPr>
                <w:sz w:val="1"/>
                <w:szCs w:val="1"/>
                <w:color w:val="auto"/>
              </w:rPr>
            </w:pPr>
          </w:p>
        </w:tc>
      </w:tr>
      <w:tr>
        <w:trPr>
          <w:trHeight w:val="220"/>
        </w:trPr>
        <w:tc>
          <w:tcPr>
            <w:tcW w:w="43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All other products and services</w:t>
            </w:r>
          </w:p>
        </w:tc>
        <w:tc>
          <w:tcPr>
            <w:tcW w:w="114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304</w:t>
            </w:r>
          </w:p>
        </w:tc>
        <w:tc>
          <w:tcPr>
            <w:tcW w:w="80" w:type="dxa"/>
            <w:vAlign w:val="bottom"/>
            <w:tcBorders>
              <w:bottom w:val="single" w:sz="8" w:color="CCEEFF"/>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400</w:t>
            </w:r>
          </w:p>
        </w:tc>
        <w:tc>
          <w:tcPr>
            <w:tcW w:w="80" w:type="dxa"/>
            <w:vAlign w:val="bottom"/>
            <w:tcBorders>
              <w:bottom w:val="single" w:sz="8" w:color="CCEEFF"/>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930</w:t>
            </w:r>
          </w:p>
        </w:tc>
        <w:tc>
          <w:tcPr>
            <w:tcW w:w="100" w:type="dxa"/>
            <w:vAlign w:val="bottom"/>
            <w:tcBorders>
              <w:bottom w:val="single" w:sz="8" w:color="CCEEFF"/>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1,166</w:t>
            </w:r>
          </w:p>
        </w:tc>
        <w:tc>
          <w:tcPr>
            <w:tcW w:w="0" w:type="dxa"/>
            <w:vAlign w:val="bottom"/>
          </w:tcPr>
          <w:p>
            <w:pPr>
              <w:spacing w:after="0"/>
              <w:rPr>
                <w:sz w:val="1"/>
                <w:szCs w:val="1"/>
                <w:color w:val="auto"/>
              </w:rPr>
            </w:pPr>
          </w:p>
        </w:tc>
      </w:tr>
      <w:tr>
        <w:trPr>
          <w:trHeight w:val="238"/>
        </w:trPr>
        <w:tc>
          <w:tcPr>
            <w:tcW w:w="4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Total revenue</w:t>
            </w:r>
          </w:p>
        </w:tc>
        <w:tc>
          <w:tcPr>
            <w:tcW w:w="1140" w:type="dxa"/>
            <w:vAlign w:val="bottom"/>
            <w:tcBorders>
              <w:bottom w:val="single" w:sz="8" w:color="auto"/>
            </w:tcBorders>
            <w:shd w:val="clear" w:color="auto" w:fill="CCEEFF"/>
          </w:tcPr>
          <w:p>
            <w:pPr>
              <w:jc w:val="right"/>
              <w:ind w:right="942"/>
              <w:spacing w:after="0"/>
              <w:rPr>
                <w:sz w:val="20"/>
                <w:szCs w:val="20"/>
                <w:color w:val="auto"/>
              </w:rPr>
            </w:pPr>
            <w:r>
              <w:rPr>
                <w:rFonts w:ascii="Times New Roman" w:cs="Times New Roman" w:eastAsia="Times New Roman" w:hAnsi="Times New Roman"/>
                <w:sz w:val="17"/>
                <w:szCs w:val="17"/>
                <w:b w:val="1"/>
                <w:bCs w:val="1"/>
                <w:color w:val="auto"/>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711</w:t>
            </w:r>
          </w:p>
        </w:tc>
        <w:tc>
          <w:tcPr>
            <w:tcW w:w="8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ind w:right="979"/>
              <w:spacing w:after="0"/>
              <w:rPr>
                <w:sz w:val="20"/>
                <w:szCs w:val="20"/>
                <w:color w:val="auto"/>
              </w:rPr>
            </w:pPr>
            <w:r>
              <w:rPr>
                <w:rFonts w:ascii="Times New Roman" w:cs="Times New Roman" w:eastAsia="Times New Roman" w:hAnsi="Times New Roman"/>
                <w:sz w:val="17"/>
                <w:szCs w:val="17"/>
                <w:color w:val="auto"/>
                <w:w w:val="93"/>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809</w:t>
            </w:r>
          </w:p>
        </w:tc>
        <w:tc>
          <w:tcPr>
            <w:tcW w:w="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ind w:right="902"/>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2,144</w:t>
            </w:r>
          </w:p>
        </w:tc>
        <w:tc>
          <w:tcPr>
            <w:tcW w:w="10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ind w:right="899"/>
              <w:spacing w:after="0"/>
              <w:rPr>
                <w:sz w:val="20"/>
                <w:szCs w:val="20"/>
                <w:color w:val="auto"/>
              </w:rPr>
            </w:pPr>
            <w:r>
              <w:rPr>
                <w:rFonts w:ascii="Times New Roman" w:cs="Times New Roman" w:eastAsia="Times New Roman" w:hAnsi="Times New Roman"/>
                <w:sz w:val="17"/>
                <w:szCs w:val="17"/>
                <w:color w:val="auto"/>
                <w:w w:val="93"/>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2,382</w:t>
            </w:r>
          </w:p>
        </w:tc>
        <w:tc>
          <w:tcPr>
            <w:tcW w:w="0" w:type="dxa"/>
            <w:vAlign w:val="bottom"/>
          </w:tcPr>
          <w:p>
            <w:pPr>
              <w:spacing w:after="0"/>
              <w:rPr>
                <w:sz w:val="1"/>
                <w:szCs w:val="1"/>
                <w:color w:val="auto"/>
              </w:rPr>
            </w:pPr>
          </w:p>
        </w:tc>
      </w:tr>
      <w:tr>
        <w:trPr>
          <w:trHeight w:val="20"/>
        </w:trPr>
        <w:tc>
          <w:tcPr>
            <w:tcW w:w="43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8" w:lineRule="exact"/>
        <w:rPr>
          <w:sz w:val="20"/>
          <w:szCs w:val="20"/>
          <w:color w:val="auto"/>
        </w:rPr>
      </w:pPr>
    </w:p>
    <w:p>
      <w:pPr>
        <w:ind w:left="540" w:hanging="225"/>
        <w:spacing w:after="0" w:line="289" w:lineRule="auto"/>
        <w:tabs>
          <w:tab w:leader="none" w:pos="450" w:val="left"/>
        </w:tabs>
        <w:numPr>
          <w:ilvl w:val="1"/>
          <w:numId w:val="5"/>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Recurring revenue includes all revenue streams from contracts where there is a predictable revenue pattern that will occur at regular intervals with a relatively high degree of certainty. This includes hardware and software maintenance revenue, cloud revenue, payment processing revenue, and certain professional services arrangements, as well as term-based software license arrangements that include customer termination rights.</w:t>
      </w:r>
    </w:p>
    <w:p>
      <w:pPr>
        <w:spacing w:after="0" w:line="189" w:lineRule="exact"/>
        <w:rPr>
          <w:rFonts w:ascii="Times New Roman" w:cs="Times New Roman" w:eastAsia="Times New Roman" w:hAnsi="Times New Roman"/>
          <w:sz w:val="17"/>
          <w:szCs w:val="17"/>
          <w:color w:val="auto"/>
          <w:vertAlign w:val="superscript"/>
        </w:rPr>
      </w:pPr>
    </w:p>
    <w:p>
      <w:pPr>
        <w:ind w:left="180" w:hanging="176"/>
        <w:spacing w:after="0"/>
        <w:tabs>
          <w:tab w:leader="none" w:pos="180" w:val="left"/>
        </w:tabs>
        <w:numPr>
          <w:ilvl w:val="0"/>
          <w:numId w:val="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DEBT OBLIGATIONS</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summarizes the Company’s short-term borrowings and long-term debt:</w:t>
      </w:r>
    </w:p>
    <w:p>
      <w:pPr>
        <w:spacing w:after="0" w:line="123" w:lineRule="exact"/>
        <w:rPr>
          <w:sz w:val="20"/>
          <w:szCs w:val="20"/>
          <w:color w:val="auto"/>
        </w:rPr>
      </w:pPr>
    </w:p>
    <w:tbl>
      <w:tblPr>
        <w:tblLayout w:type="fixed"/>
        <w:tblInd w:w="400" w:type="dxa"/>
        <w:tblCellMar>
          <w:top w:w="0" w:type="dxa"/>
          <w:left w:w="0" w:type="dxa"/>
          <w:bottom w:w="0" w:type="dxa"/>
          <w:right w:w="0" w:type="dxa"/>
        </w:tblCellMar>
      </w:tblPr>
      <w:tr>
        <w:trPr>
          <w:trHeight w:val="183"/>
        </w:trPr>
        <w:tc>
          <w:tcPr>
            <w:tcW w:w="4420" w:type="dxa"/>
            <w:vAlign w:val="bottom"/>
          </w:tcPr>
          <w:p>
            <w:pPr>
              <w:spacing w:after="0"/>
              <w:rPr>
                <w:sz w:val="15"/>
                <w:szCs w:val="15"/>
                <w:color w:val="auto"/>
              </w:rPr>
            </w:pPr>
          </w:p>
        </w:tc>
        <w:tc>
          <w:tcPr>
            <w:tcW w:w="3080" w:type="dxa"/>
            <w:vAlign w:val="bottom"/>
            <w:gridSpan w:val="5"/>
          </w:tcPr>
          <w:p>
            <w:pPr>
              <w:ind w:left="900"/>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2960" w:type="dxa"/>
            <w:vAlign w:val="bottom"/>
            <w:gridSpan w:val="4"/>
          </w:tcPr>
          <w:p>
            <w:pPr>
              <w:ind w:left="92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0" w:type="dxa"/>
            <w:vAlign w:val="bottom"/>
          </w:tcPr>
          <w:p>
            <w:pPr>
              <w:spacing w:after="0"/>
              <w:rPr>
                <w:sz w:val="1"/>
                <w:szCs w:val="1"/>
                <w:color w:val="auto"/>
              </w:rPr>
            </w:pPr>
          </w:p>
        </w:tc>
      </w:tr>
      <w:tr>
        <w:trPr>
          <w:trHeight w:val="23"/>
        </w:trPr>
        <w:tc>
          <w:tcPr>
            <w:tcW w:w="44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24"/>
        </w:trPr>
        <w:tc>
          <w:tcPr>
            <w:tcW w:w="44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millions, except percentages</w:t>
            </w:r>
          </w:p>
        </w:tc>
        <w:tc>
          <w:tcPr>
            <w:tcW w:w="9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46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440" w:type="dxa"/>
            <w:vAlign w:val="bottom"/>
            <w:tcBorders>
              <w:top w:val="single" w:sz="8" w:color="auto"/>
            </w:tcBorders>
          </w:tcPr>
          <w:p>
            <w:pPr>
              <w:jc w:val="center"/>
              <w:spacing w:after="0" w:line="124" w:lineRule="exact"/>
              <w:rPr>
                <w:sz w:val="20"/>
                <w:szCs w:val="20"/>
                <w:color w:val="auto"/>
              </w:rPr>
            </w:pPr>
            <w:r>
              <w:rPr>
                <w:rFonts w:ascii="Times New Roman" w:cs="Times New Roman" w:eastAsia="Times New Roman" w:hAnsi="Times New Roman"/>
                <w:sz w:val="14"/>
                <w:szCs w:val="14"/>
                <w:b w:val="1"/>
                <w:bCs w:val="1"/>
                <w:color w:val="auto"/>
                <w:w w:val="96"/>
              </w:rPr>
              <w:t>Weighted-Average</w:t>
            </w:r>
          </w:p>
        </w:tc>
        <w:tc>
          <w:tcPr>
            <w:tcW w:w="100" w:type="dxa"/>
            <w:vAlign w:val="bottom"/>
          </w:tcPr>
          <w:p>
            <w:pPr>
              <w:spacing w:after="0"/>
              <w:rPr>
                <w:sz w:val="10"/>
                <w:szCs w:val="10"/>
                <w:color w:val="auto"/>
              </w:rPr>
            </w:pPr>
          </w:p>
        </w:tc>
        <w:tc>
          <w:tcPr>
            <w:tcW w:w="9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46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440" w:type="dxa"/>
            <w:vAlign w:val="bottom"/>
            <w:tcBorders>
              <w:top w:val="single" w:sz="8" w:color="auto"/>
            </w:tcBorders>
          </w:tcPr>
          <w:p>
            <w:pPr>
              <w:jc w:val="center"/>
              <w:spacing w:after="0" w:line="124" w:lineRule="exact"/>
              <w:rPr>
                <w:sz w:val="20"/>
                <w:szCs w:val="20"/>
                <w:color w:val="auto"/>
              </w:rPr>
            </w:pPr>
            <w:r>
              <w:rPr>
                <w:rFonts w:ascii="Times New Roman" w:cs="Times New Roman" w:eastAsia="Times New Roman" w:hAnsi="Times New Roman"/>
                <w:sz w:val="14"/>
                <w:szCs w:val="14"/>
                <w:b w:val="1"/>
                <w:bCs w:val="1"/>
                <w:color w:val="auto"/>
                <w:w w:val="96"/>
              </w:rPr>
              <w:t>Weighted-Average</w:t>
            </w:r>
          </w:p>
        </w:tc>
        <w:tc>
          <w:tcPr>
            <w:tcW w:w="0" w:type="dxa"/>
            <w:vAlign w:val="bottom"/>
          </w:tcPr>
          <w:p>
            <w:pPr>
              <w:spacing w:after="0"/>
              <w:rPr>
                <w:sz w:val="1"/>
                <w:szCs w:val="1"/>
                <w:color w:val="auto"/>
              </w:rPr>
            </w:pPr>
          </w:p>
        </w:tc>
      </w:tr>
      <w:tr>
        <w:trPr>
          <w:trHeight w:val="188"/>
        </w:trPr>
        <w:tc>
          <w:tcPr>
            <w:tcW w:w="4420" w:type="dxa"/>
            <w:vAlign w:val="bottom"/>
            <w:vMerge w:val="continue"/>
          </w:tcPr>
          <w:p>
            <w:pPr>
              <w:spacing w:after="0"/>
              <w:rPr>
                <w:sz w:val="16"/>
                <w:szCs w:val="16"/>
                <w:color w:val="auto"/>
              </w:rPr>
            </w:pPr>
          </w:p>
        </w:tc>
        <w:tc>
          <w:tcPr>
            <w:tcW w:w="960" w:type="dxa"/>
            <w:vAlign w:val="bottom"/>
            <w:vMerge w:val="continue"/>
          </w:tcPr>
          <w:p>
            <w:pPr>
              <w:spacing w:after="0"/>
              <w:rPr>
                <w:sz w:val="16"/>
                <w:szCs w:val="16"/>
                <w:color w:val="auto"/>
              </w:rPr>
            </w:pP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Interest Rate</w:t>
            </w:r>
          </w:p>
        </w:tc>
        <w:tc>
          <w:tcPr>
            <w:tcW w:w="960" w:type="dxa"/>
            <w:vAlign w:val="bottom"/>
            <w:vMerge w:val="continue"/>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Interest Rate</w:t>
            </w:r>
          </w:p>
        </w:tc>
        <w:tc>
          <w:tcPr>
            <w:tcW w:w="0" w:type="dxa"/>
            <w:vAlign w:val="bottom"/>
          </w:tcPr>
          <w:p>
            <w:pPr>
              <w:spacing w:after="0"/>
              <w:rPr>
                <w:sz w:val="1"/>
                <w:szCs w:val="1"/>
                <w:color w:val="auto"/>
              </w:rPr>
            </w:pPr>
          </w:p>
        </w:tc>
      </w:tr>
      <w:tr>
        <w:trPr>
          <w:trHeight w:val="205"/>
        </w:trPr>
        <w:tc>
          <w:tcPr>
            <w:tcW w:w="44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b w:val="1"/>
                <w:bCs w:val="1"/>
                <w:i w:val="1"/>
                <w:iCs w:val="1"/>
                <w:color w:val="auto"/>
              </w:rPr>
              <w:t>Short-Term Borrowings</w:t>
            </w:r>
          </w:p>
        </w:tc>
        <w:tc>
          <w:tcPr>
            <w:tcW w:w="96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4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4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4420" w:type="dxa"/>
            <w:vAlign w:val="bottom"/>
            <w:tcBorders>
              <w:bottom w:val="single" w:sz="8" w:color="CCEEFF"/>
            </w:tcBorders>
          </w:tcPr>
          <w:p>
            <w:pPr>
              <w:spacing w:after="0" w:line="221" w:lineRule="exact"/>
              <w:rPr>
                <w:sz w:val="20"/>
                <w:szCs w:val="20"/>
                <w:color w:val="auto"/>
              </w:rPr>
            </w:pPr>
            <w:r>
              <w:rPr>
                <w:rFonts w:ascii="Times New Roman" w:cs="Times New Roman" w:eastAsia="Times New Roman" w:hAnsi="Times New Roman"/>
                <w:sz w:val="17"/>
                <w:szCs w:val="17"/>
                <w:color w:val="auto"/>
              </w:rPr>
              <w:t>Current portion of Senior Secured Credit Facility</w:t>
            </w:r>
            <w:r>
              <w:rPr>
                <w:rFonts w:ascii="Times New Roman" w:cs="Times New Roman" w:eastAsia="Times New Roman" w:hAnsi="Times New Roman"/>
                <w:sz w:val="22"/>
                <w:szCs w:val="22"/>
                <w:color w:val="auto"/>
                <w:vertAlign w:val="superscript"/>
              </w:rPr>
              <w:t>(1)</w:t>
            </w:r>
          </w:p>
        </w:tc>
        <w:tc>
          <w:tcPr>
            <w:tcW w:w="960" w:type="dxa"/>
            <w:vAlign w:val="bottom"/>
            <w:tcBorders>
              <w:bottom w:val="single" w:sz="8" w:color="auto"/>
            </w:tcBorders>
          </w:tcPr>
          <w:p>
            <w:pPr>
              <w:jc w:val="right"/>
              <w:ind w:right="779"/>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120" w:type="dxa"/>
            <w:vAlign w:val="bottom"/>
            <w:tcBorders>
              <w:bottom w:val="single" w:sz="8" w:color="CCEEFF"/>
            </w:tcBorders>
          </w:tcPr>
          <w:p>
            <w:pPr>
              <w:spacing w:after="0"/>
              <w:rPr>
                <w:sz w:val="19"/>
                <w:szCs w:val="19"/>
                <w:color w:val="auto"/>
              </w:rPr>
            </w:pPr>
          </w:p>
        </w:tc>
        <w:tc>
          <w:tcPr>
            <w:tcW w:w="1540" w:type="dxa"/>
            <w:vAlign w:val="bottom"/>
            <w:tcBorders>
              <w:bottom w:val="single" w:sz="8" w:color="CCEEFF"/>
            </w:tcBorders>
            <w:gridSpan w:val="2"/>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w:t>
            </w:r>
          </w:p>
        </w:tc>
        <w:tc>
          <w:tcPr>
            <w:tcW w:w="960" w:type="dxa"/>
            <w:vAlign w:val="bottom"/>
            <w:tcBorders>
              <w:bottom w:val="single" w:sz="8" w:color="auto"/>
            </w:tcBorders>
          </w:tcPr>
          <w:p>
            <w:pPr>
              <w:jc w:val="right"/>
              <w:ind w:right="779"/>
              <w:spacing w:after="0"/>
              <w:rPr>
                <w:sz w:val="20"/>
                <w:szCs w:val="20"/>
                <w:color w:val="auto"/>
              </w:rPr>
            </w:pPr>
            <w:r>
              <w:rPr>
                <w:rFonts w:ascii="Times New Roman" w:cs="Times New Roman" w:eastAsia="Times New Roman" w:hAnsi="Times New Roman"/>
                <w:sz w:val="17"/>
                <w:szCs w:val="17"/>
                <w:color w:val="auto"/>
                <w:w w:val="93"/>
              </w:rPr>
              <w:t>$</w:t>
            </w: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w:t>
            </w:r>
          </w:p>
        </w:tc>
        <w:tc>
          <w:tcPr>
            <w:tcW w:w="1540" w:type="dxa"/>
            <w:vAlign w:val="bottom"/>
            <w:tcBorders>
              <w:bottom w:val="single" w:sz="8" w:color="CCEEFF"/>
            </w:tcBorders>
            <w:gridSpan w:val="2"/>
          </w:tcPr>
          <w:p>
            <w:pPr>
              <w:jc w:val="center"/>
              <w:ind w:left="14"/>
              <w:spacing w:after="0"/>
              <w:rPr>
                <w:sz w:val="20"/>
                <w:szCs w:val="20"/>
                <w:color w:val="auto"/>
              </w:rPr>
            </w:pPr>
            <w:r>
              <w:rPr>
                <w:rFonts w:ascii="Times New Roman" w:cs="Times New Roman" w:eastAsia="Times New Roman" w:hAnsi="Times New Roman"/>
                <w:sz w:val="17"/>
                <w:szCs w:val="17"/>
                <w:color w:val="auto"/>
              </w:rPr>
              <w:t>8.46%</w:t>
            </w:r>
          </w:p>
        </w:tc>
        <w:tc>
          <w:tcPr>
            <w:tcW w:w="0" w:type="dxa"/>
            <w:vAlign w:val="bottom"/>
          </w:tcPr>
          <w:p>
            <w:pPr>
              <w:spacing w:after="0"/>
              <w:rPr>
                <w:sz w:val="1"/>
                <w:szCs w:val="1"/>
                <w:color w:val="auto"/>
              </w:rPr>
            </w:pPr>
          </w:p>
        </w:tc>
      </w:tr>
      <w:tr>
        <w:trPr>
          <w:trHeight w:val="213"/>
        </w:trPr>
        <w:tc>
          <w:tcPr>
            <w:tcW w:w="44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7"/>
                <w:szCs w:val="17"/>
                <w:color w:val="auto"/>
              </w:rPr>
              <w:t>Total short-term borrowings</w:t>
            </w:r>
          </w:p>
        </w:tc>
        <w:tc>
          <w:tcPr>
            <w:tcW w:w="960" w:type="dxa"/>
            <w:vAlign w:val="bottom"/>
            <w:tcBorders>
              <w:bottom w:val="single" w:sz="8" w:color="auto"/>
            </w:tcBorders>
            <w:shd w:val="clear" w:color="auto" w:fill="CCEEFF"/>
          </w:tcPr>
          <w:p>
            <w:pPr>
              <w:jc w:val="right"/>
              <w:ind w:right="779"/>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12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779"/>
              <w:spacing w:after="0"/>
              <w:rPr>
                <w:sz w:val="20"/>
                <w:szCs w:val="20"/>
                <w:color w:val="auto"/>
              </w:rPr>
            </w:pPr>
            <w:r>
              <w:rPr>
                <w:rFonts w:ascii="Times New Roman" w:cs="Times New Roman" w:eastAsia="Times New Roman" w:hAnsi="Times New Roman"/>
                <w:sz w:val="17"/>
                <w:szCs w:val="17"/>
                <w:color w:val="auto"/>
                <w:w w:val="93"/>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w:t>
            </w: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4420" w:type="dxa"/>
            <w:vAlign w:val="bottom"/>
          </w:tcPr>
          <w:p>
            <w:pPr>
              <w:spacing w:after="0"/>
              <w:rPr>
                <w:sz w:val="20"/>
                <w:szCs w:val="20"/>
                <w:color w:val="auto"/>
              </w:rPr>
            </w:pPr>
            <w:r>
              <w:rPr>
                <w:rFonts w:ascii="Times New Roman" w:cs="Times New Roman" w:eastAsia="Times New Roman" w:hAnsi="Times New Roman"/>
                <w:sz w:val="17"/>
                <w:szCs w:val="17"/>
                <w:b w:val="1"/>
                <w:bCs w:val="1"/>
                <w:i w:val="1"/>
                <w:iCs w:val="1"/>
                <w:color w:val="auto"/>
              </w:rPr>
              <w:t>Long-Term Debt</w:t>
            </w:r>
          </w:p>
        </w:tc>
        <w:tc>
          <w:tcPr>
            <w:tcW w:w="9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44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Senior Secured Credit Facility:</w:t>
            </w:r>
          </w:p>
        </w:tc>
        <w:tc>
          <w:tcPr>
            <w:tcW w:w="96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420" w:type="dxa"/>
            <w:vAlign w:val="bottom"/>
          </w:tcPr>
          <w:p>
            <w:pPr>
              <w:ind w:left="260"/>
              <w:spacing w:after="0" w:line="221" w:lineRule="exact"/>
              <w:rPr>
                <w:sz w:val="20"/>
                <w:szCs w:val="20"/>
                <w:color w:val="auto"/>
              </w:rPr>
            </w:pPr>
            <w:r>
              <w:rPr>
                <w:rFonts w:ascii="Times New Roman" w:cs="Times New Roman" w:eastAsia="Times New Roman" w:hAnsi="Times New Roman"/>
                <w:sz w:val="17"/>
                <w:szCs w:val="17"/>
                <w:color w:val="auto"/>
              </w:rPr>
              <w:t>Term loan facility</w:t>
            </w:r>
            <w:r>
              <w:rPr>
                <w:rFonts w:ascii="Times New Roman" w:cs="Times New Roman" w:eastAsia="Times New Roman" w:hAnsi="Times New Roman"/>
                <w:sz w:val="22"/>
                <w:szCs w:val="22"/>
                <w:color w:val="auto"/>
                <w:vertAlign w:val="superscript"/>
              </w:rPr>
              <w:t>(1)</w:t>
            </w:r>
          </w:p>
        </w:tc>
        <w:tc>
          <w:tcPr>
            <w:tcW w:w="960" w:type="dxa"/>
            <w:vAlign w:val="bottom"/>
          </w:tcPr>
          <w:p>
            <w:pPr>
              <w:jc w:val="right"/>
              <w:ind w:right="779"/>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120" w:type="dxa"/>
            <w:vAlign w:val="bottom"/>
          </w:tcPr>
          <w:p>
            <w:pPr>
              <w:spacing w:after="0"/>
              <w:rPr>
                <w:sz w:val="19"/>
                <w:szCs w:val="19"/>
                <w:color w:val="auto"/>
              </w:rPr>
            </w:pPr>
          </w:p>
        </w:tc>
        <w:tc>
          <w:tcPr>
            <w:tcW w:w="154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w:t>
            </w:r>
          </w:p>
        </w:tc>
        <w:tc>
          <w:tcPr>
            <w:tcW w:w="960" w:type="dxa"/>
            <w:vAlign w:val="bottom"/>
          </w:tcPr>
          <w:p>
            <w:pPr>
              <w:jc w:val="right"/>
              <w:ind w:right="779"/>
              <w:spacing w:after="0"/>
              <w:rPr>
                <w:sz w:val="20"/>
                <w:szCs w:val="20"/>
                <w:color w:val="auto"/>
              </w:rPr>
            </w:pPr>
            <w:r>
              <w:rPr>
                <w:rFonts w:ascii="Times New Roman" w:cs="Times New Roman" w:eastAsia="Times New Roman" w:hAnsi="Times New Roman"/>
                <w:sz w:val="17"/>
                <w:szCs w:val="17"/>
                <w:color w:val="auto"/>
                <w:w w:val="93"/>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185</w:t>
            </w:r>
          </w:p>
        </w:tc>
        <w:tc>
          <w:tcPr>
            <w:tcW w:w="1540" w:type="dxa"/>
            <w:vAlign w:val="bottom"/>
            <w:gridSpan w:val="2"/>
          </w:tcPr>
          <w:p>
            <w:pPr>
              <w:jc w:val="center"/>
              <w:ind w:left="14"/>
              <w:spacing w:after="0"/>
              <w:rPr>
                <w:sz w:val="20"/>
                <w:szCs w:val="20"/>
                <w:color w:val="auto"/>
              </w:rPr>
            </w:pPr>
            <w:r>
              <w:rPr>
                <w:rFonts w:ascii="Times New Roman" w:cs="Times New Roman" w:eastAsia="Times New Roman" w:hAnsi="Times New Roman"/>
                <w:sz w:val="17"/>
                <w:szCs w:val="17"/>
                <w:color w:val="auto"/>
              </w:rPr>
              <w:t>8.46%</w:t>
            </w:r>
          </w:p>
        </w:tc>
        <w:tc>
          <w:tcPr>
            <w:tcW w:w="0" w:type="dxa"/>
            <w:vAlign w:val="bottom"/>
          </w:tcPr>
          <w:p>
            <w:pPr>
              <w:spacing w:after="0"/>
              <w:rPr>
                <w:sz w:val="1"/>
                <w:szCs w:val="1"/>
                <w:color w:val="auto"/>
              </w:rPr>
            </w:pPr>
          </w:p>
        </w:tc>
      </w:tr>
      <w:tr>
        <w:trPr>
          <w:trHeight w:val="220"/>
        </w:trPr>
        <w:tc>
          <w:tcPr>
            <w:tcW w:w="4420" w:type="dxa"/>
            <w:vAlign w:val="bottom"/>
            <w:shd w:val="clear" w:color="auto" w:fill="CCEEFF"/>
          </w:tcPr>
          <w:p>
            <w:pPr>
              <w:ind w:left="260"/>
              <w:spacing w:after="0" w:line="221" w:lineRule="exact"/>
              <w:rPr>
                <w:sz w:val="20"/>
                <w:szCs w:val="20"/>
                <w:color w:val="auto"/>
              </w:rPr>
            </w:pPr>
            <w:r>
              <w:rPr>
                <w:rFonts w:ascii="Times New Roman" w:cs="Times New Roman" w:eastAsia="Times New Roman" w:hAnsi="Times New Roman"/>
                <w:sz w:val="17"/>
                <w:szCs w:val="17"/>
                <w:color w:val="auto"/>
              </w:rPr>
              <w:t>Revolving credit facility</w:t>
            </w:r>
            <w:r>
              <w:rPr>
                <w:rFonts w:ascii="Times New Roman" w:cs="Times New Roman" w:eastAsia="Times New Roman" w:hAnsi="Times New Roman"/>
                <w:sz w:val="22"/>
                <w:szCs w:val="22"/>
                <w:color w:val="auto"/>
                <w:vertAlign w:val="superscript"/>
              </w:rPr>
              <w:t>(1)</w:t>
            </w:r>
          </w:p>
        </w:tc>
        <w:tc>
          <w:tcPr>
            <w:tcW w:w="96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12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w:t>
            </w:r>
          </w:p>
        </w:tc>
        <w:tc>
          <w:tcPr>
            <w:tcW w:w="96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98</w:t>
            </w:r>
          </w:p>
        </w:tc>
        <w:tc>
          <w:tcPr>
            <w:tcW w:w="1540" w:type="dxa"/>
            <w:vAlign w:val="bottom"/>
            <w:gridSpan w:val="2"/>
            <w:shd w:val="clear" w:color="auto" w:fill="CCEEFF"/>
          </w:tcPr>
          <w:p>
            <w:pPr>
              <w:jc w:val="center"/>
              <w:ind w:left="14"/>
              <w:spacing w:after="0"/>
              <w:rPr>
                <w:sz w:val="20"/>
                <w:szCs w:val="20"/>
                <w:color w:val="auto"/>
              </w:rPr>
            </w:pPr>
            <w:r>
              <w:rPr>
                <w:rFonts w:ascii="Times New Roman" w:cs="Times New Roman" w:eastAsia="Times New Roman" w:hAnsi="Times New Roman"/>
                <w:sz w:val="17"/>
                <w:szCs w:val="17"/>
                <w:color w:val="auto"/>
              </w:rPr>
              <w:t>9.07%</w:t>
            </w:r>
          </w:p>
        </w:tc>
        <w:tc>
          <w:tcPr>
            <w:tcW w:w="0" w:type="dxa"/>
            <w:vAlign w:val="bottom"/>
          </w:tcPr>
          <w:p>
            <w:pPr>
              <w:spacing w:after="0"/>
              <w:rPr>
                <w:sz w:val="1"/>
                <w:szCs w:val="1"/>
                <w:color w:val="auto"/>
              </w:rPr>
            </w:pPr>
          </w:p>
        </w:tc>
      </w:tr>
      <w:tr>
        <w:trPr>
          <w:trHeight w:val="220"/>
        </w:trPr>
        <w:tc>
          <w:tcPr>
            <w:tcW w:w="4420" w:type="dxa"/>
            <w:vAlign w:val="bottom"/>
          </w:tcPr>
          <w:p>
            <w:pPr>
              <w:spacing w:after="0"/>
              <w:rPr>
                <w:sz w:val="20"/>
                <w:szCs w:val="20"/>
                <w:color w:val="auto"/>
              </w:rPr>
            </w:pPr>
            <w:r>
              <w:rPr>
                <w:rFonts w:ascii="Times New Roman" w:cs="Times New Roman" w:eastAsia="Times New Roman" w:hAnsi="Times New Roman"/>
                <w:sz w:val="17"/>
                <w:szCs w:val="17"/>
                <w:color w:val="auto"/>
              </w:rPr>
              <w:t>Senior notes:</w:t>
            </w:r>
          </w:p>
        </w:tc>
        <w:tc>
          <w:tcPr>
            <w:tcW w:w="9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4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7"/>
                <w:szCs w:val="17"/>
                <w:color w:val="auto"/>
              </w:rPr>
              <w:t>5.000% Senior Notes due 2028</w:t>
            </w:r>
          </w:p>
        </w:tc>
        <w:tc>
          <w:tcPr>
            <w:tcW w:w="96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650</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650</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42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5.125% Senior Notes due 2029</w:t>
            </w:r>
          </w:p>
        </w:tc>
        <w:tc>
          <w:tcPr>
            <w:tcW w:w="96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403</w:t>
            </w:r>
          </w:p>
        </w:tc>
        <w:tc>
          <w:tcPr>
            <w:tcW w:w="1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9"/>
              </w:rPr>
              <w:t>1,200</w:t>
            </w:r>
          </w:p>
        </w:tc>
        <w:tc>
          <w:tcPr>
            <w:tcW w:w="1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4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7"/>
                <w:szCs w:val="17"/>
                <w:color w:val="auto"/>
              </w:rPr>
              <w:t>5.250% Senior Notes due 2030</w:t>
            </w:r>
          </w:p>
        </w:tc>
        <w:tc>
          <w:tcPr>
            <w:tcW w:w="96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52</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450</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4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7"/>
                <w:szCs w:val="17"/>
                <w:color w:val="auto"/>
              </w:rPr>
              <w:t>Deferred financing fees</w:t>
            </w:r>
          </w:p>
        </w:tc>
        <w:tc>
          <w:tcPr>
            <w:tcW w:w="96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(7)</w:t>
            </w:r>
          </w:p>
        </w:tc>
        <w:tc>
          <w:tcPr>
            <w:tcW w:w="120" w:type="dxa"/>
            <w:vAlign w:val="bottom"/>
            <w:tcBorders>
              <w:bottom w:val="single" w:sz="8" w:color="CCEEFF"/>
            </w:tcBorders>
          </w:tcPr>
          <w:p>
            <w:pPr>
              <w:spacing w:after="0"/>
              <w:rPr>
                <w:sz w:val="19"/>
                <w:szCs w:val="19"/>
                <w:color w:val="auto"/>
              </w:rPr>
            </w:pPr>
          </w:p>
        </w:tc>
        <w:tc>
          <w:tcPr>
            <w:tcW w:w="14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w:t>
            </w:r>
          </w:p>
        </w:tc>
        <w:tc>
          <w:tcPr>
            <w:tcW w:w="100" w:type="dxa"/>
            <w:vAlign w:val="bottom"/>
            <w:tcBorders>
              <w:bottom w:val="single" w:sz="8" w:color="CCEEFF"/>
            </w:tcBorders>
          </w:tcPr>
          <w:p>
            <w:pPr>
              <w:spacing w:after="0"/>
              <w:rPr>
                <w:sz w:val="19"/>
                <w:szCs w:val="19"/>
                <w:color w:val="auto"/>
              </w:rPr>
            </w:pPr>
          </w:p>
        </w:tc>
        <w:tc>
          <w:tcPr>
            <w:tcW w:w="144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4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7"/>
                <w:szCs w:val="17"/>
                <w:color w:val="auto"/>
              </w:rPr>
              <w:t>Total long-term debt</w:t>
            </w:r>
          </w:p>
        </w:tc>
        <w:tc>
          <w:tcPr>
            <w:tcW w:w="960" w:type="dxa"/>
            <w:vAlign w:val="bottom"/>
            <w:tcBorders>
              <w:bottom w:val="single" w:sz="8" w:color="auto"/>
            </w:tcBorders>
            <w:shd w:val="clear" w:color="auto" w:fill="CCEEFF"/>
          </w:tcPr>
          <w:p>
            <w:pPr>
              <w:jc w:val="right"/>
              <w:ind w:right="779"/>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99"/>
              </w:rPr>
              <w:t>1,098</w:t>
            </w:r>
          </w:p>
        </w:tc>
        <w:tc>
          <w:tcPr>
            <w:tcW w:w="12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779"/>
              <w:spacing w:after="0"/>
              <w:rPr>
                <w:sz w:val="20"/>
                <w:szCs w:val="20"/>
                <w:color w:val="auto"/>
              </w:rPr>
            </w:pPr>
            <w:r>
              <w:rPr>
                <w:rFonts w:ascii="Times New Roman" w:cs="Times New Roman" w:eastAsia="Times New Roman" w:hAnsi="Times New Roman"/>
                <w:sz w:val="17"/>
                <w:szCs w:val="17"/>
                <w:color w:val="auto"/>
                <w:w w:val="93"/>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9"/>
              </w:rPr>
              <w:t>2,563</w:t>
            </w: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vertAlign w:val="superscript"/>
        </w:rPr>
        <w:t>(1)</w:t>
      </w:r>
      <w:r>
        <w:rPr>
          <w:rFonts w:ascii="Times New Roman" w:cs="Times New Roman" w:eastAsia="Times New Roman" w:hAnsi="Times New Roman"/>
          <w:sz w:val="16"/>
          <w:szCs w:val="16"/>
          <w:color w:val="auto"/>
        </w:rPr>
        <w:t>Interest rates are weighted-average interest rates as of September 30, 2024 and December 31, 2023.</w:t>
      </w:r>
    </w:p>
    <w:p>
      <w:pPr>
        <w:spacing w:after="0" w:line="269"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i w:val="1"/>
          <w:iCs w:val="1"/>
          <w:color w:val="auto"/>
        </w:rPr>
        <w:t xml:space="preserve">Senior Secured Credit Facility </w:t>
      </w:r>
      <w:r>
        <w:rPr>
          <w:rFonts w:ascii="Times New Roman" w:cs="Times New Roman" w:eastAsia="Times New Roman" w:hAnsi="Times New Roman"/>
          <w:sz w:val="17"/>
          <w:szCs w:val="17"/>
          <w:color w:val="auto"/>
        </w:rPr>
        <w:t>The Company is party to a senior secured credit agreement with certain subsidiaries of the Company party thereto as foreign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borrowers, the lenders party thereto and Bank of America, N.A., as administrative agent (in such capacity, the “Administrative Agent”). This credit agreement provides for senior secured credit facilities in an aggregate principal amount of $700 million, which are comprised of (i) a five-year multicurrency revolving credit facility in the aggregate principal amount of $500 million (including (a) a letter of credit sub-facility in an aggregate principal amount of up to $75 million and (b) a sub-facility in an aggregate principal amount of up to $200 million for borrowings and letters of credit in</w:t>
      </w: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3435" cy="419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1" w:name="page22"/>
    <w:bookmarkEnd w:id="21"/>
    <w:p>
      <w:pPr>
        <w:ind w:left="62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NCR Voyix Corporation</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 (Unaudited)—(Continued)</w:t>
      </w:r>
    </w:p>
    <w:p>
      <w:pPr>
        <w:spacing w:after="0" w:line="200" w:lineRule="exact"/>
        <w:rPr>
          <w:sz w:val="20"/>
          <w:szCs w:val="20"/>
          <w:color w:val="auto"/>
        </w:rPr>
      </w:pPr>
    </w:p>
    <w:p>
      <w:pPr>
        <w:spacing w:after="0" w:line="221"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7"/>
          <w:szCs w:val="17"/>
          <w:color w:val="auto"/>
        </w:rPr>
        <w:t>certain agreed foreign currencies) (the “Revolving Credit Facility,” and the loans thereunder, the “Revolving Loans”) and (ii) a five-year term loan “A” facility in the aggregate principal amount of $200 million (the “Term Loan A Facility,” and the loans thereunder, the “Term A Loans” and, the Term Loan A Facility, together with the Revolving Credit Facility, the “Senior Secured Credit Facilities”).</w:t>
      </w:r>
    </w:p>
    <w:p>
      <w:pPr>
        <w:spacing w:after="0" w:line="189"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The Term A Loans and the Revolving Loans (collectively, the “Loans”) bear interest based on SOFR (or an alternative reference rate for amounts denominated in a currency other than Dollars), or, at the Company’s option, in the case of amounts denominated in Dollars, at a base reference rate equal to the highest of (a) the federal funds rate plus 0.50%, (b) the rate of interest last quoted by the Administrative Agent as its “prime rate” and (c) the one-month SOFR rate plus 1.00% (the “Base Rate”), plus, as applicable, a margin ranging from 2.25% to 3.25% per annum for SOFR-based Loans and ranging from 1.25% to 2.25% per annum for Base Rate-based Loans, in each case, depending on the Company’s consolidated leverage ratio.</w:t>
      </w:r>
    </w:p>
    <w:p>
      <w:pPr>
        <w:spacing w:after="0" w:line="195"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The outstanding principal balance of the Term Loan A Facility was required to be repaid in quarterly installments beginning March 31, 2024 in an amount equal to (i) 1.875% of the original principal amount of the Term A Loans during the first three years and (ii) 2.50% of the original principal amount of the Term A Loans during final two years. Any remaining outstanding balance will be due at maturity on October 16, 2028. The Revolving Credit Facility is not subject to amortization and will mature on October 16, 2028.</w:t>
      </w:r>
    </w:p>
    <w:p>
      <w:pPr>
        <w:spacing w:after="0" w:line="193"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7"/>
          <w:szCs w:val="17"/>
          <w:color w:val="auto"/>
        </w:rPr>
        <w:t>On September 30, 2024, using a portion of the proceeds from the Digital Banking Sale, the Company repaid all loans outstanding under the Senior Secured Credit Facilities (but did not reduce the principal amount of the commitments under the Revolving Loans).</w:t>
      </w:r>
    </w:p>
    <w:p>
      <w:pPr>
        <w:spacing w:after="0" w:line="173"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The obligations under the Senior Secured Credit Facilities are guaranteed by certain of the Company’s material subsidiaries (the “Guarantors”). The obligations under the Senior Secured Credit Facilities and the above described guarantee are secured by a first priority lien and security interest in certain equity interests owned by the Company and the Guarantors in certain of their respective domestic and foreign subsidiaries, and a first priority lien and security interest in substantially all of the assets of the Company and the Guarantors, subject to certain exclusions.</w:t>
      </w:r>
    </w:p>
    <w:p>
      <w:pPr>
        <w:spacing w:after="0" w:line="193"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The Senior Secured Credit Facilities contain customary representations and warranties, affirmative covenants, and negative covenants. The negative covenants limit the Company’s and its subsidiaries’ ability to, among other things, incur indebtedness, create liens on the Company’s or its subsidiaries’ assets, engage in fundamental changes, make investments, sell or otherwise dispose of assets, engage in sale-leaseback transactions, make restricted payments, repay subordinated indebtedness, engage in certain transactions with affiliates and enter into agreements restricting the ability of the Company’s subsidiaries to make distributions to the Company or incur liens on their assets.</w:t>
      </w:r>
    </w:p>
    <w:p>
      <w:pPr>
        <w:spacing w:after="0" w:line="195"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The Senior Secured Credit Facilities also contain a financial covenant that does not permit the Company to allow its consolidated leverage ratio to exceed (i) in the case of any fiscal quarter ending on or prior to September 30, 2024, 4.75 to 1.00, (ii) in the case of any fiscal quarter ending on or following September 30, 2024 and prior to September 30, 2025, 4.50 to 1.00 and (iii) in the case of any fiscal quarter ending on or following September 30, 2025, 4.25 to 1.00, in each case subject, to (x) increases of 0.25 in connection with the consummation of any material acquisition and applicable to the fiscal quarter in which such acquisition is consummated and the three consecutive fiscal quarters thereafter, and (y) a maximum cap of 5.00 to 1.00.</w:t>
      </w:r>
    </w:p>
    <w:p>
      <w:pPr>
        <w:spacing w:after="0" w:line="195"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The Senior Secured Credit Facilities also include provisions for events of default, which are customary for similar financings. Upon the occurrence of an event of default, the lenders may, among other things, terminate the loan commitments, accelerate all loans and require cash collateral deposits in respect of outstanding letters of credit. If the Company is unable to pay or repay the amounts due, the lenders could, among other things, proceed against the collateral granted to them to secure such indebtedness.</w:t>
      </w:r>
    </w:p>
    <w:p>
      <w:pPr>
        <w:spacing w:after="0" w:line="191"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i w:val="1"/>
          <w:iCs w:val="1"/>
          <w:color w:val="auto"/>
        </w:rPr>
        <w:t xml:space="preserve">Senior Unsecured Notes </w:t>
      </w:r>
      <w:r>
        <w:rPr>
          <w:rFonts w:ascii="Times New Roman" w:cs="Times New Roman" w:eastAsia="Times New Roman" w:hAnsi="Times New Roman"/>
          <w:sz w:val="17"/>
          <w:szCs w:val="17"/>
          <w:color w:val="auto"/>
        </w:rPr>
        <w:t>On August 20, 2020, the Company issued $650 million aggregate principal amount of 5.000% senior unsecured notes due in 2028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“5.000% Notes”) and $450 million aggregate principal amount of 5.250% senior unsecured notes due in 2030 (the “5.250% Notes”). Interest is payable on the 5.000% and 5.250% Notes semi-annually in arrears at interest rates of 5.000% and 5.250%, respectively, on April 1 and October 1. The 5.000% and 5.250% Notes were sold at 100% of the principal amount and mature on October 1, 2028 and October 1, 2030, respectively.</w:t>
      </w:r>
    </w:p>
    <w:p>
      <w:pPr>
        <w:spacing w:after="0" w:line="195"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7"/>
          <w:szCs w:val="17"/>
          <w:color w:val="auto"/>
        </w:rPr>
        <w:t>Prior to October 1, 2025 with respect to the 5.250% Notes, the Company may redeem some or all of such series of Notes by paying a redemption price equal to 100% of the principal amount of the Notes to be redeemed plus the Applicable Premium, as defined in the indenture governing the applicable series of notes, plus accrued and unpaid interest to, but excluding, the</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3435" cy="419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2" w:name="page23"/>
    <w:bookmarkEnd w:id="22"/>
    <w:p>
      <w:pPr>
        <w:ind w:left="62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NCR Voyix Corporation</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 (Unaudited)—(Continued)</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redemption date (subject to the right of holders of record of the Notes on the relevant record date to receive interest due on the relevant interest payment date).</w:t>
      </w:r>
    </w:p>
    <w:p>
      <w:pPr>
        <w:spacing w:after="0" w:line="245"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The Company has the option to redeem the 5.000% Notes, in whole or in part, at any time, at a redemption price of 101.250% and 100% during the 12-month periods commencing on October 1, 2024 and 2025 and thereafter, respectively, plus accrued and unpaid interest to the redemption date. The Company has the option to redeem the 5.250% Notes, in whole or in part, at any time on or after October 1, 2025, at a redemption price of 102.625%, 101.750%, 100.875%, and 100% during the 12-month periods commencing on October 1, 2025, 2026, 2027 and 2028 and thereafter, respectively, plus accrued and unpaid interest to the redemption date.</w:t>
      </w:r>
    </w:p>
    <w:p>
      <w:pPr>
        <w:spacing w:after="0" w:line="195"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7"/>
          <w:szCs w:val="17"/>
          <w:color w:val="auto"/>
        </w:rPr>
        <w:t>On April 6, 2021, the Company issued $1.2 billion aggregate principal amount of 5.125% senior unsecured notes due 2029 (the “5.125% Notes”). Interest is payable on the 5.125% Notes semi-annually in arrears at annual rates of 5.125% on April 15 and October 15 of each year. The 5.125% Notes will mature on April 15, 2029.</w:t>
      </w:r>
    </w:p>
    <w:p>
      <w:pPr>
        <w:spacing w:after="0" w:line="315"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7"/>
          <w:szCs w:val="17"/>
          <w:color w:val="auto"/>
        </w:rPr>
        <w:t>The Company has the option to redeem the 5.125% Notes, in whole or in part, on or after April 15, 2024, at a redemption price of 102.563%, 101.281% and 100% during the 12-month periods commencing on or after April 15, 2024, 2025 and 2026 and thereafter, respectively, plus accrued and unpaid interest to the redemption date.</w:t>
      </w:r>
    </w:p>
    <w:p>
      <w:pPr>
        <w:spacing w:after="0" w:line="11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The senior unsecured notes are the Company’s senior unsecured obligations and are jointly and severally unconditionally guaranteed on a senior unsecured basis by the Company’s domestic material subsidiaries, subject to certain limitations, that guarantee the Company’s Senior Secured Credit Facilities pursuant to supplemental indentures governing each applicable series of senior unsecured notes. The indentures governing the senior unsecured notes contain customary events of default, including, among other things, payment default, exchange default, failure to provide certain notices thereunder and certain provisions related to bankruptcy events. The indentures governing the senior unsecured notes also contains customary high yield affirmative and negative covenants, including negative covenants that, among other things, limit the Company and its restricted subsidiaries’ ability to incur additional indebtedness, create liens on, sell or otherwise dispose of assets, engage in certain fundamental corporate changes or changes to lines of business activities, make certain investments or material acquisitions, engage in sale-leaseback or hedging transactions, repurchase common stock, pay dividends or make similar distributions on capital stock, repay certain indebtedness, engage in certain affiliate transactions and enter into agreements that restrict their ability to create liens, pay dividends or make loan repayments. If the senior unsecured notes are assigned an “investment grade” rating by Moody’s or S&amp;P and no default has occurred or is continuing, certain covenants will be terminated.</w:t>
      </w:r>
    </w:p>
    <w:p>
      <w:pPr>
        <w:spacing w:after="0" w:line="200" w:lineRule="exact"/>
        <w:rPr>
          <w:sz w:val="20"/>
          <w:szCs w:val="20"/>
          <w:color w:val="auto"/>
        </w:rPr>
      </w:pPr>
    </w:p>
    <w:p>
      <w:pPr>
        <w:spacing w:after="0" w:line="214"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On September 30, 2024, a portion of the proceeds from the Digital Banking Sale were used to settle the Company’s previously announced tender offers to purchase up to $1.2 billion aggregate purchase price, excluding accrued and unpaid interest, of the Company’s senior unsecured notes, subject to prioritized acceptance levels and proration. Pursuant to the terms of the tender offers and the final settlement, the Company purchased approximately $398 million aggregate principal amount of the 5.250% Notes and $797 million aggregate principal amount of the 5.125% Notes. The Company recognized a gain on extinguishment of debt of $8 million related to the redemption discount of $18 million on the settlement of the 5.250% Notes and 5.125% Notes offset by the write-off of the related deferred financing fees of $10 million.</w:t>
      </w:r>
    </w:p>
    <w:p>
      <w:pPr>
        <w:spacing w:after="0" w:line="196"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b w:val="1"/>
          <w:bCs w:val="1"/>
          <w:color w:val="auto"/>
        </w:rPr>
        <w:t xml:space="preserve">Fair Value of Debt </w:t>
      </w:r>
      <w:r>
        <w:rPr>
          <w:rFonts w:ascii="Times New Roman" w:cs="Times New Roman" w:eastAsia="Times New Roman" w:hAnsi="Times New Roman"/>
          <w:sz w:val="17"/>
          <w:szCs w:val="17"/>
          <w:color w:val="auto"/>
        </w:rPr>
        <w:t>The Company utilized Level 2 inputs, as defined in the fair value hierarchy, to measure the fair value of the long-term debt, which, as of</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September 30, 2024 and December 31, 2023 was $1.08 billion and $2.47 billion, respectively. Management’s fair value estimates were based on quoted prices for recent trades of the Company’s long-term debt, quoted prices for similar instruments, and inquiries with certain investment communities.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6. TRADE RECEIVABLES FACILITY</w:t>
      </w:r>
    </w:p>
    <w:p>
      <w:pPr>
        <w:spacing w:after="0" w:line="24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Prior to September 30, 2024, the Company maintained a trade receivables facility (the “T/R Facility”) pursuant to which a wholly-owned, bankruptcy-remote subsidiary of the Company (the “U.S. SPE”) and a wholly-owned, bankruptcy remote subsidiary of a Canadian affiliate of the Company (the “Canadian SPE,” and together with the U.S. SPE, the “SPEs”) continuously acquired all of the trade receivables originated by the Company and the Canadian affiliate (and certain other affiliates from time to time party to the T/R Facility). The SPEs in turn either sold or pledged those trade receivables to unaffiliated purchasers party to the T/R Facility (the “Purchasers”). On September 1, 2024, the Company voluntarily repaid a portion of the amounts outstanding under the T/R Facility to reduce the commitment of the Purchasers from $300 million to $252 million and to reacquire all outstanding trade receivables related to the Digital Banking business. On September 30, 2024, the Company used a portion of the proceeds from the Digital Banking Sale to voluntarily pay all remaining amounts outstanding under the T/R Facility. In connection with the payment of such amounts, the Company terminated the T/R Facility and reacquired all of the outstanding trade receivables that had previously been sold by it (and by its affiliates then party to the</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3435" cy="419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3" w:name="page24"/>
    <w:bookmarkEnd w:id="23"/>
    <w:p>
      <w:pPr>
        <w:ind w:left="62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NCR Voyix Corporation</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 (Unaudited)—(Continued)</w:t>
      </w:r>
    </w:p>
    <w:p>
      <w:pPr>
        <w:spacing w:after="0" w:line="200" w:lineRule="exact"/>
        <w:rPr>
          <w:sz w:val="20"/>
          <w:szCs w:val="20"/>
          <w:color w:val="auto"/>
        </w:rPr>
      </w:pPr>
    </w:p>
    <w:p>
      <w:pPr>
        <w:spacing w:after="0" w:line="221"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7"/>
          <w:szCs w:val="17"/>
          <w:color w:val="auto"/>
        </w:rPr>
        <w:t>T/R Facility) to the SPEs (including any outstanding trade receivables that had been further sold on to the Purchasers) and these amounts are included in Accounts receivable, net in the Company’s Condensed Consolidated Balance Sheets.</w:t>
      </w:r>
    </w:p>
    <w:p>
      <w:pPr>
        <w:spacing w:after="0" w:line="173"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Prior to the termination of the T/R Facility, the total outstanding balance of trade receivables sold to the Purchasers could be up to $252 million (or prior to September 1, 2024, up to $300 million) at any one time, which represented the maximum purchase commitment from the Purchasers. The actual outstanding balance of trade receivables that were sold varied based on the level of activity and other factors and could be less than the maximum purchase commitment. The total outstanding balance of trade receivables that were sold to the Purchasers and derecognized by the U.S. SPE was approximately zero and $288 million as of September 30, 2024 and December 31, 2023, respectively. Excluding the trade receivables sold to the Purchasers, the SPEs collectively owned zero and $107 million of trade receivables as of September 30, 2024 and December 31, 2023, respectively, and these amounts are included in Accounts receivable, net in the Company’s Condensed Consolidated Balance Sheets.</w:t>
      </w:r>
    </w:p>
    <w:p>
      <w:pPr>
        <w:spacing w:after="0" w:line="203"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Cash activity related to the termination of the T/R Facility is reflected in Net cash provided by investing activities in the Consolidated Statements of Cash Flows. Prior to the termination of the T/R Facility, continuous cash activity was reflected in Net cash provided by operating activities. The U.S. SPE incurred fees under the T/R Facility, including fees due and payable to the Purchasers. Those fees, which are immaterial, are recorded within Other income (expense), net in the Condensed Consolidated Statements of Operations. In addition, each of the SPEs had provided a full recourse guarantee in favor of the Purchasers of the full and timely payment of all trade receivables sold to them by the U.S. SPE. The guarantee was secured by all the trade receivables owned by each of the SPEs that had not been sold to the Purchasers. The reserve recognized for this recourse obligation as of September 30, 2024 was not material.</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7. INCOME TAXES</w:t>
      </w:r>
    </w:p>
    <w:p>
      <w:pPr>
        <w:spacing w:after="0" w:line="247"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Income tax provisions for interim (quarterly) periods are based on an estimated annual effective income tax rate calculated separately from the effect of significant, infrequent or unusual items. Income tax benefit from continuing operations was $1 million for the three months ended September 30, 2024 compared to income tax expense of $187 million for the three months ended September 30, 2023. The change in tax expense was primarily due to $195 million discrete tax expenses related to the internal restructuring transactions in connection with the Spin-Off for the three months ended September 30, 2023.</w:t>
      </w:r>
    </w:p>
    <w:p>
      <w:pPr>
        <w:spacing w:after="0" w:line="193"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7"/>
          <w:szCs w:val="17"/>
          <w:color w:val="auto"/>
        </w:rPr>
        <w:t>Income tax expense was $3 million for the nine months ended September 30, 2024 compared to income tax expense of $200 million for the nine months ended September 30, 2023. The change in tax expense was primarily due to $195 million discrete tax expenses related to the internal restructuring transactions in connection with the Spin-Off for the nine months ended September 30, 2023.</w:t>
      </w:r>
    </w:p>
    <w:p>
      <w:pPr>
        <w:spacing w:after="0" w:line="189"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7"/>
          <w:szCs w:val="17"/>
          <w:color w:val="auto"/>
        </w:rPr>
        <w:t>The Company’s current tax liability was $388 million and $31 million as of September 30, 2024 and December 31, 2023, respectively, presented within Other current liabilities on the Condensed Consolidated Balance Sheets. The increase in the expected current tax liability relates to taxes for the Digital Banking Sale and will be paid within the next 12 months.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8. STOCK COMPENSATION PLANS</w:t>
      </w:r>
    </w:p>
    <w:p>
      <w:pPr>
        <w:spacing w:after="0" w:line="247"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7"/>
          <w:szCs w:val="17"/>
          <w:color w:val="auto"/>
        </w:rPr>
        <w:t>As of September 30, 2024, the Company’s stock-based compensation consisted of restricted stock units, employee stock purchase plan and stock options. Stock-based compensation expense for the following periods were:</w:t>
      </w:r>
    </w:p>
    <w:p>
      <w:pPr>
        <w:spacing w:after="0" w:line="231" w:lineRule="exact"/>
        <w:rPr>
          <w:sz w:val="20"/>
          <w:szCs w:val="20"/>
          <w:color w:val="auto"/>
        </w:rPr>
      </w:pPr>
    </w:p>
    <w:tbl>
      <w:tblPr>
        <w:tblLayout w:type="fixed"/>
        <w:tblInd w:w="140" w:type="dxa"/>
        <w:tblCellMar>
          <w:top w:w="0" w:type="dxa"/>
          <w:left w:w="0" w:type="dxa"/>
          <w:bottom w:w="0" w:type="dxa"/>
          <w:right w:w="0" w:type="dxa"/>
        </w:tblCellMar>
      </w:tblPr>
      <w:tr>
        <w:trPr>
          <w:trHeight w:val="183"/>
        </w:trPr>
        <w:tc>
          <w:tcPr>
            <w:tcW w:w="5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660" w:type="dxa"/>
            <w:vAlign w:val="bottom"/>
            <w:gridSpan w:val="5"/>
          </w:tcPr>
          <w:p>
            <w:pPr>
              <w:ind w:left="12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60" w:type="dxa"/>
            <w:vAlign w:val="bottom"/>
          </w:tcPr>
          <w:p>
            <w:pPr>
              <w:spacing w:after="0"/>
              <w:rPr>
                <w:sz w:val="15"/>
                <w:szCs w:val="15"/>
                <w:color w:val="auto"/>
              </w:rPr>
            </w:pPr>
          </w:p>
        </w:tc>
        <w:tc>
          <w:tcPr>
            <w:tcW w:w="2520" w:type="dxa"/>
            <w:vAlign w:val="bottom"/>
            <w:gridSpan w:val="4"/>
          </w:tcPr>
          <w:p>
            <w:pPr>
              <w:jc w:val="right"/>
              <w:ind w:right="316"/>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23"/>
        </w:trPr>
        <w:tc>
          <w:tcPr>
            <w:tcW w:w="53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2"/>
        </w:trPr>
        <w:tc>
          <w:tcPr>
            <w:tcW w:w="5300" w:type="dxa"/>
            <w:vAlign w:val="bottom"/>
            <w:tcBorders>
              <w:bottom w:val="single" w:sz="8" w:color="CCEEFF"/>
            </w:tcBorders>
            <w:vMerge w:val="continue"/>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3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436"/>
              <w:spacing w:after="0"/>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3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436"/>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19"/>
        </w:trPr>
        <w:tc>
          <w:tcPr>
            <w:tcW w:w="5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Restricted stock units</w:t>
            </w:r>
          </w:p>
        </w:tc>
        <w:tc>
          <w:tcPr>
            <w:tcW w:w="22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b w:val="1"/>
                <w:bCs w:val="1"/>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b w:val="1"/>
                <w:bCs w:val="1"/>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29</w:t>
            </w: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w:t>
            </w:r>
          </w:p>
        </w:tc>
        <w:tc>
          <w:tcPr>
            <w:tcW w:w="0" w:type="dxa"/>
            <w:vAlign w:val="bottom"/>
          </w:tcPr>
          <w:p>
            <w:pPr>
              <w:spacing w:after="0"/>
              <w:rPr>
                <w:sz w:val="1"/>
                <w:szCs w:val="1"/>
                <w:color w:val="auto"/>
              </w:rPr>
            </w:pPr>
          </w:p>
        </w:tc>
      </w:tr>
      <w:tr>
        <w:trPr>
          <w:trHeight w:val="220"/>
        </w:trPr>
        <w:tc>
          <w:tcPr>
            <w:tcW w:w="53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Stock options</w:t>
            </w:r>
          </w:p>
        </w:tc>
        <w:tc>
          <w:tcPr>
            <w:tcW w:w="220" w:type="dxa"/>
            <w:vAlign w:val="bottom"/>
          </w:tcPr>
          <w:p>
            <w:pPr>
              <w:spacing w:after="0"/>
              <w:rPr>
                <w:sz w:val="19"/>
                <w:szCs w:val="19"/>
                <w:color w:val="auto"/>
              </w:rPr>
            </w:pP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b w:val="1"/>
                <w:bCs w:val="1"/>
                <w:color w:val="auto"/>
              </w:rPr>
              <w:t>—</w:t>
            </w:r>
          </w:p>
        </w:tc>
        <w:tc>
          <w:tcPr>
            <w:tcW w:w="320" w:type="dxa"/>
            <w:vAlign w:val="bottom"/>
          </w:tcPr>
          <w:p>
            <w:pPr>
              <w:spacing w:after="0"/>
              <w:rPr>
                <w:sz w:val="19"/>
                <w:szCs w:val="19"/>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b w:val="1"/>
                <w:bCs w:val="1"/>
                <w:color w:val="auto"/>
              </w:rPr>
              <w:t>—</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0" w:type="dxa"/>
            <w:vAlign w:val="bottom"/>
          </w:tcPr>
          <w:p>
            <w:pPr>
              <w:spacing w:after="0"/>
              <w:rPr>
                <w:sz w:val="1"/>
                <w:szCs w:val="1"/>
                <w:color w:val="auto"/>
              </w:rPr>
            </w:pPr>
          </w:p>
        </w:tc>
      </w:tr>
      <w:tr>
        <w:trPr>
          <w:trHeight w:val="220"/>
        </w:trPr>
        <w:tc>
          <w:tcPr>
            <w:tcW w:w="5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Employee stock purchase plan</w:t>
            </w:r>
          </w:p>
        </w:tc>
        <w:tc>
          <w:tcPr>
            <w:tcW w:w="2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14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3</w:t>
            </w:r>
          </w:p>
        </w:tc>
        <w:tc>
          <w:tcPr>
            <w:tcW w:w="14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w:t>
            </w:r>
          </w:p>
        </w:tc>
        <w:tc>
          <w:tcPr>
            <w:tcW w:w="0" w:type="dxa"/>
            <w:vAlign w:val="bottom"/>
          </w:tcPr>
          <w:p>
            <w:pPr>
              <w:spacing w:after="0"/>
              <w:rPr>
                <w:sz w:val="1"/>
                <w:szCs w:val="1"/>
                <w:color w:val="auto"/>
              </w:rPr>
            </w:pPr>
          </w:p>
        </w:tc>
      </w:tr>
      <w:tr>
        <w:trPr>
          <w:trHeight w:val="213"/>
        </w:trPr>
        <w:tc>
          <w:tcPr>
            <w:tcW w:w="53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Stock-based compensation expense</w:t>
            </w:r>
          </w:p>
        </w:tc>
        <w:tc>
          <w:tcPr>
            <w:tcW w:w="2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9</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32</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65</w:t>
            </w:r>
          </w:p>
        </w:tc>
        <w:tc>
          <w:tcPr>
            <w:tcW w:w="0" w:type="dxa"/>
            <w:vAlign w:val="bottom"/>
          </w:tcPr>
          <w:p>
            <w:pPr>
              <w:spacing w:after="0"/>
              <w:rPr>
                <w:sz w:val="1"/>
                <w:szCs w:val="1"/>
                <w:color w:val="auto"/>
              </w:rPr>
            </w:pPr>
          </w:p>
        </w:tc>
      </w:tr>
      <w:tr>
        <w:trPr>
          <w:trHeight w:val="220"/>
        </w:trPr>
        <w:tc>
          <w:tcPr>
            <w:tcW w:w="5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Tax benefit (expense)</w:t>
            </w:r>
          </w:p>
        </w:tc>
        <w:tc>
          <w:tcPr>
            <w:tcW w:w="2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b w:val="1"/>
                <w:bCs w:val="1"/>
                <w:color w:val="auto"/>
              </w:rPr>
              <w:t>—</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b w:val="1"/>
                <w:bCs w:val="1"/>
                <w:color w:val="auto"/>
              </w:rPr>
              <w:t>—</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0" w:type="dxa"/>
            <w:vAlign w:val="bottom"/>
          </w:tcPr>
          <w:p>
            <w:pPr>
              <w:spacing w:after="0"/>
              <w:rPr>
                <w:sz w:val="1"/>
                <w:szCs w:val="1"/>
                <w:color w:val="auto"/>
              </w:rPr>
            </w:pPr>
          </w:p>
        </w:tc>
      </w:tr>
      <w:tr>
        <w:trPr>
          <w:trHeight w:val="213"/>
        </w:trPr>
        <w:tc>
          <w:tcPr>
            <w:tcW w:w="53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Stock-based compensation expense (net of tax)</w:t>
            </w:r>
          </w:p>
        </w:tc>
        <w:tc>
          <w:tcPr>
            <w:tcW w:w="22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b w:val="1"/>
                <w:bCs w:val="1"/>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9</w:t>
            </w:r>
          </w:p>
        </w:tc>
        <w:tc>
          <w:tcPr>
            <w:tcW w:w="10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w:t>
            </w:r>
          </w:p>
        </w:tc>
        <w:tc>
          <w:tcPr>
            <w:tcW w:w="14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54"/>
              <w:spacing w:after="0"/>
              <w:rPr>
                <w:sz w:val="20"/>
                <w:szCs w:val="20"/>
                <w:color w:val="auto"/>
              </w:rPr>
            </w:pPr>
            <w:r>
              <w:rPr>
                <w:rFonts w:ascii="Times New Roman" w:cs="Times New Roman" w:eastAsia="Times New Roman" w:hAnsi="Times New Roman"/>
                <w:sz w:val="17"/>
                <w:szCs w:val="17"/>
                <w:b w:val="1"/>
                <w:bCs w:val="1"/>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32</w:t>
            </w:r>
          </w:p>
        </w:tc>
        <w:tc>
          <w:tcPr>
            <w:tcW w:w="14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61</w:t>
            </w:r>
          </w:p>
        </w:tc>
        <w:tc>
          <w:tcPr>
            <w:tcW w:w="0" w:type="dxa"/>
            <w:vAlign w:val="bottom"/>
          </w:tcPr>
          <w:p>
            <w:pPr>
              <w:spacing w:after="0"/>
              <w:rPr>
                <w:sz w:val="1"/>
                <w:szCs w:val="1"/>
                <w:color w:val="auto"/>
              </w:rPr>
            </w:pPr>
          </w:p>
        </w:tc>
      </w:tr>
      <w:tr>
        <w:trPr>
          <w:trHeight w:val="20"/>
        </w:trPr>
        <w:tc>
          <w:tcPr>
            <w:tcW w:w="5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8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Stock-based compensation expense is recognized in the Condensed Consolidated Financial Statements based upon fair value.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3435" cy="419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4" w:name="page25"/>
    <w:bookmarkEnd w:id="24"/>
    <w:p>
      <w:pPr>
        <w:ind w:left="62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NCR Voyix Corporation</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 (Unaudited)—(Continued)</w:t>
      </w:r>
    </w:p>
    <w:p>
      <w:pPr>
        <w:spacing w:after="0" w:line="200" w:lineRule="exact"/>
        <w:rPr>
          <w:sz w:val="20"/>
          <w:szCs w:val="20"/>
          <w:color w:val="auto"/>
        </w:rPr>
      </w:pPr>
    </w:p>
    <w:p>
      <w:pPr>
        <w:spacing w:after="0" w:line="221"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7"/>
          <w:szCs w:val="17"/>
          <w:color w:val="auto"/>
        </w:rPr>
        <w:t>On March 15, 2024, the Company granted market-based restricted stock units vesting on March 15, 2027. The fair value of the awards was determined based on the grant date fair value and will be recognized over the requisite service period.</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table below details the significant assumptions used in determining the fair value of the market-based restricted stock units granted on March 15, 2024:</w:t>
      </w:r>
    </w:p>
    <w:p>
      <w:pPr>
        <w:spacing w:after="0" w:line="56"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6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Dividend yield</w:t>
            </w:r>
          </w:p>
        </w:tc>
        <w:tc>
          <w:tcPr>
            <w:tcW w:w="5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 %</w:t>
            </w:r>
          </w:p>
        </w:tc>
      </w:tr>
      <w:tr>
        <w:trPr>
          <w:trHeight w:val="220"/>
        </w:trPr>
        <w:tc>
          <w:tcPr>
            <w:tcW w:w="60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Risk-free interest rate</w:t>
            </w:r>
          </w:p>
        </w:tc>
        <w:tc>
          <w:tcPr>
            <w:tcW w:w="518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4.44 %</w:t>
            </w:r>
          </w:p>
        </w:tc>
      </w:tr>
      <w:tr>
        <w:trPr>
          <w:trHeight w:val="220"/>
        </w:trPr>
        <w:tc>
          <w:tcPr>
            <w:tcW w:w="6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Expected volatility</w:t>
            </w:r>
          </w:p>
        </w:tc>
        <w:tc>
          <w:tcPr>
            <w:tcW w:w="5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60.37 %</w:t>
            </w:r>
          </w:p>
        </w:tc>
      </w:tr>
    </w:tbl>
    <w:p>
      <w:pPr>
        <w:spacing w:after="0" w:line="306"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7"/>
          <w:szCs w:val="17"/>
          <w:color w:val="auto"/>
        </w:rPr>
        <w:t>Expected volatility for these restricted stock units is calculated as the historical volatility of the Company’s stock over a period of approximately three years, as management believes this is the best representation of prospective trends. The risk-free interest rate was determined based on a three year U.S. Treasury yield curve in effect at the time of the grant.</w:t>
      </w:r>
    </w:p>
    <w:p>
      <w:pPr>
        <w:spacing w:after="0" w:line="189"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7"/>
          <w:szCs w:val="17"/>
          <w:color w:val="auto"/>
        </w:rPr>
        <w:t>As of September 30, 2024, the total unrecognized compensation cost of $50 million related to unvested restricted stock grants is expected to be recognized over a weighted average period of approximately 1 year. As of September 30, 2024, all stock option grants have vested.</w:t>
      </w:r>
    </w:p>
    <w:p>
      <w:pPr>
        <w:spacing w:after="0" w:line="171"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i w:val="1"/>
          <w:iCs w:val="1"/>
          <w:color w:val="auto"/>
        </w:rPr>
        <w:t xml:space="preserve">Employee Stock Purchase Plan </w:t>
      </w:r>
      <w:r>
        <w:rPr>
          <w:rFonts w:ascii="Times New Roman" w:cs="Times New Roman" w:eastAsia="Times New Roman" w:hAnsi="Times New Roman"/>
          <w:sz w:val="17"/>
          <w:szCs w:val="17"/>
          <w:color w:val="auto"/>
        </w:rPr>
        <w:t>The Company’s Employee Stock Purchase Plan (“ESPP”) provides employees a 15% discount on stock purchases using a three-month look-back feature where the discount is applied to the stock price that represents the lower of the Company’s closing stock price on either the first day or the last day of each calendar quarter. Participants can contribute between 1% and 10% of their compensation.</w:t>
      </w:r>
    </w:p>
    <w:p>
      <w:pPr>
        <w:spacing w:after="0" w:line="188"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7"/>
          <w:szCs w:val="17"/>
          <w:color w:val="auto"/>
        </w:rPr>
        <w:t>For the three months ended September 30, 2024, employees purchased 0.3 million shares, at a discounted price of $10.71. For the three months ended September 30, 2023, employees purchased 0.3 million shares, at a discounted price of $21.78.</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9. EMPLOYEE BENEFIT PLANS</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Employer Contributions</w:t>
      </w:r>
    </w:p>
    <w:p>
      <w:pPr>
        <w:spacing w:after="0" w:line="247"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i w:val="1"/>
          <w:iCs w:val="1"/>
          <w:color w:val="auto"/>
        </w:rPr>
        <w:t xml:space="preserve">Pension </w:t>
      </w:r>
      <w:r>
        <w:rPr>
          <w:rFonts w:ascii="Times New Roman" w:cs="Times New Roman" w:eastAsia="Times New Roman" w:hAnsi="Times New Roman"/>
          <w:sz w:val="17"/>
          <w:szCs w:val="17"/>
          <w:color w:val="auto"/>
        </w:rPr>
        <w:t>For the three and nine months ended September 30, 2024, the Company contributed $3 million and $8 million, respectively, to its international pension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plans. The Company anticipates contributing an additional $5 million to its international pension plans for a total of $13 million in 2024. Following the Spin-Off, NCR Atleos assumed the U.S. and certain international pension plan assets and liabilities, along with the associated deferred costs in accumulated other comprehensive loss, which were previously sponsored by the Company. Pursuant to the terms of the Spin-Off transaction documents, the Company is required to contribute 50% of the annual costs of the U.S. pension plan to NCR Atleos to the extent NCR Atleos contributes more than $40 million on an annual basis beginning with the plan year ending December 31, 2024.</w:t>
      </w:r>
    </w:p>
    <w:p>
      <w:pPr>
        <w:spacing w:after="0" w:line="198"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i w:val="1"/>
          <w:iCs w:val="1"/>
          <w:color w:val="auto"/>
        </w:rPr>
        <w:t xml:space="preserve">Postemployment </w:t>
      </w:r>
      <w:r>
        <w:rPr>
          <w:rFonts w:ascii="Times New Roman" w:cs="Times New Roman" w:eastAsia="Times New Roman" w:hAnsi="Times New Roman"/>
          <w:sz w:val="17"/>
          <w:szCs w:val="17"/>
          <w:color w:val="auto"/>
        </w:rPr>
        <w:t>For the three and nine months ended September 30, 2024, the Company contributed $14 million and $39 million, respectively, to its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xml:space="preserve">postemployment plan. The Company anticipates contributing an additional $11 million to its postemployment plan for a total of $50 million in 2024. During the three and nine months ended September 30, 2024, the Company recorded $2 million and $32 million, respectively, of employee related costs in accordance with ASC 712, </w:t>
      </w:r>
      <w:r>
        <w:rPr>
          <w:rFonts w:ascii="Times New Roman" w:cs="Times New Roman" w:eastAsia="Times New Roman" w:hAnsi="Times New Roman"/>
          <w:sz w:val="17"/>
          <w:szCs w:val="17"/>
          <w:i w:val="1"/>
          <w:iCs w:val="1"/>
          <w:color w:val="auto"/>
        </w:rPr>
        <w:t>Employers’ Accounting for Postemployment Benefits</w:t>
      </w:r>
      <w:r>
        <w:rPr>
          <w:rFonts w:ascii="Times New Roman" w:cs="Times New Roman" w:eastAsia="Times New Roman" w:hAnsi="Times New Roman"/>
          <w:sz w:val="17"/>
          <w:szCs w:val="17"/>
          <w:color w:val="auto"/>
        </w:rPr>
        <w:t>, when a severance liability was determined to be probable and estimable.</w:t>
      </w: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10. COMMITMENTS AND CONTINGENCIES</w:t>
      </w:r>
    </w:p>
    <w:p>
      <w:pPr>
        <w:spacing w:after="0" w:line="247"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In the normal course of business, the Company is subject to various proceedings, lawsuits, claims and other matters, including, for example, those that relate to the environment and health and safety, labor and employment, employee benefits, import/export compliance, patents or other intellectual property, data privacy and security, product liability, commercial disputes and regulatory compliance, among others. Additionally, the Company is subject to diverse and complex laws and regulations, including those relating to corporate governance, public disclosure and reporting, environmental safety and the discharge of materials into the environment, product safety, import and export compliance, data privacy and security, antitrust and competition, government contracting, anti-corruption, and labor and human resources, which are rapidly changing and subject to many possible changes in the future. Compliance with these laws and regulations, including changes in accounting standards, taxation requirements, and federal securities laws among others, may create a substantial burden on, and substantially increase costs to the Company or could have an impact on the Company’s future operating results. The Company has reflected all</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3435" cy="419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5" w:name="page26"/>
    <w:bookmarkEnd w:id="25"/>
    <w:p>
      <w:pPr>
        <w:ind w:left="62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NCR Voyix Corporation</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 (Unaudited)—(Continued)</w:t>
      </w:r>
    </w:p>
    <w:p>
      <w:pPr>
        <w:spacing w:after="0" w:line="200" w:lineRule="exact"/>
        <w:rPr>
          <w:sz w:val="20"/>
          <w:szCs w:val="20"/>
          <w:color w:val="auto"/>
        </w:rPr>
      </w:pPr>
    </w:p>
    <w:p>
      <w:pPr>
        <w:spacing w:after="0" w:line="22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liabilities when a loss is considered probable and reasonably estimable in the Condensed Consolidated Financial Statements. We do not believe there is a reasonable possibility that losses exceeding amounts already recognized have been incurred, but there can be no assurances that the amounts required to satisfy alleged liabilities from such matters will not impact future operating results. Other than as stated below, the Company does not currently expect to incur material capital expenditures related to such matters. However, there can be no assurances that the actual amounts required to satisfy alleged liabilities from various lawsuits, claims, legal proceedings and other matters, including, but not limited to the Kalamazoo River environmental matter and other matters discussed above and below, and to comply with applicable laws and regulations, will not exceed the amounts reflected in the Condensed Consolidated Financial Statements or will not have a material adverse effect on its consolidated results of operations, capital expenditures, competitive position, financial condition or cash flows.</w:t>
      </w:r>
    </w:p>
    <w:p>
      <w:pPr>
        <w:spacing w:after="0" w:line="201"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b w:val="1"/>
          <w:bCs w:val="1"/>
          <w:color w:val="auto"/>
        </w:rPr>
        <w:t xml:space="preserve">Other Litigation </w:t>
      </w:r>
      <w:r>
        <w:rPr>
          <w:rFonts w:ascii="Times New Roman" w:cs="Times New Roman" w:eastAsia="Times New Roman" w:hAnsi="Times New Roman"/>
          <w:sz w:val="17"/>
          <w:szCs w:val="17"/>
          <w:color w:val="auto"/>
        </w:rPr>
        <w:t>In November 2015, several participants and beneficiaries in five “nonqualified” deferred compensation retirement plans sponsored by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Company (collectively, the “Plans”) filed a putative class action lawsuit against the Company and other named defendants. The plaintiffs alleged, among other things, that the Company breached the terms of the Plan agreements when, upon termination of the Plans, the Company paid lump sum payments based on mortality tables and actuarial calculations. In September 2017, the court certified a class.</w:t>
      </w:r>
    </w:p>
    <w:p>
      <w:pPr>
        <w:spacing w:after="0" w:line="195"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On February 6, 2024, the court entered summary judgment in favor of the plaintiffs, finding that the Company breached the terms of the Plans when it paid the lump sums in lieu of actuarially equivalent replacement life annuities and ordered that the Company provide class members the amount reflecting the difference between the lump sums they received and the cost of the replacement life annuities. The court further ordered the parties to brief as to what the appropriate relief should have been based on the benefits due to each Plan participant (“Requested Relief Order”). On April 16, 2024, the Company filed its position on the Requested Relief Order.</w:t>
      </w:r>
    </w:p>
    <w:p>
      <w:pPr>
        <w:spacing w:after="0" w:line="195"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On June 10, 2024, the Court ruled against the Company’s position to the Requested Relief Order, entered a final judgment against the Company, and ordered the Company to calculate the “benefits due” to the Plan participants, including pre-judgment interest, based on the sum that would have been sufficient to allow each participant to purchase a replacement annuity using discount rates prescribed by the Pension Benefit Guaranty Corporation in effect as of the February 25, 2013 termination date.</w:t>
      </w:r>
    </w:p>
    <w:p>
      <w:pPr>
        <w:spacing w:after="0" w:line="193"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The Company is contesting this matter vigorously. On July 2, 2024, the Company filed a notice of appeal. Given that an estimate or range of possible loss was not ordered in this equitable judgment and moreover cannot be determined at this time in light of the uncertainty regarding the ultimate form of relief and complexities in the methodology and quantification of loss, if any, the parties stipulated to a $45 million supersedeas bond, which is an amount the Company believes may not be correlated to the actual loss (if any). On September 12, 2024, the supersedeas bond was filed and a stay was issued. Any amount sustained following an appeal of this matter is subject to an indemnity obligation by NCR Atleos to contribute 50% of any award. The Company has concluded that, as of September 30, 2024, a loss is reasonably possible but that an estimate or range of possible loss cannot be determined at this time given uncertainty regarding the ultimate form of relief and complexities in the methodology and quantification of damages, if any.</w:t>
      </w:r>
    </w:p>
    <w:p>
      <w:pPr>
        <w:spacing w:after="0" w:line="20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b w:val="1"/>
          <w:bCs w:val="1"/>
          <w:color w:val="auto"/>
        </w:rPr>
        <w:t xml:space="preserve">Environmental Matters </w:t>
      </w:r>
      <w:r>
        <w:rPr>
          <w:rFonts w:ascii="Times New Roman" w:cs="Times New Roman" w:eastAsia="Times New Roman" w:hAnsi="Times New Roman"/>
          <w:sz w:val="17"/>
          <w:szCs w:val="17"/>
          <w:color w:val="auto"/>
        </w:rPr>
        <w:t>The Company’s facilities and operations are subject to a wide range of environmental protection laws, and the Company has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investigatory and remedial activities underway at a number of facilities that it currently owns or operates, or formerly owned or operated, to comply, or to determine compliance, with such laws. Also, the Company has been identified, either by a government agency or by a private party seeking contribution to site clean-up costs, as a potentially responsible party (“PRP”) at a number of sites pursuant to various state and federal laws, including the Federal Water Pollution Control Act, the Comprehensive Environmental Response, Compensation and Liability Act (“CERCLA”) and comparable state statutes. Following the Spin-Off, the Company will retain the responsibility to manage the identified environmental liabilities and remediations, subject however to an indemnity obligation by NCR Atleos to contribute 50% of the costs of certain environmental liabilities after an annual $15 million funding threshold is met. Other than the Kalamazoo River matter discussed below, we currently do not anticipate material expenses and liabilities from these environmental matters.</w:t>
      </w:r>
    </w:p>
    <w:p>
      <w:pPr>
        <w:spacing w:after="0" w:line="19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i w:val="1"/>
          <w:iCs w:val="1"/>
          <w:color w:val="auto"/>
        </w:rPr>
        <w:t xml:space="preserve">Fox River </w:t>
      </w:r>
      <w:r>
        <w:rPr>
          <w:rFonts w:ascii="Times New Roman" w:cs="Times New Roman" w:eastAsia="Times New Roman" w:hAnsi="Times New Roman"/>
          <w:sz w:val="17"/>
          <w:szCs w:val="17"/>
          <w:color w:val="auto"/>
        </w:rPr>
        <w:t>The Company was one of eight entities that was formally notified by governmental and other entities that it was a PRP for environmental claims (under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CERCLA and other statutes) arising out of the presence of polychlorinated biphenyls (“PCBs”) in sediments in the lower Fox River and in the Bay of Green Bay in Wisconsin. The Company was identified as a PRP because of alleged PCB discharges from two carbonless copy paper manufacturing facilities it previously owned, which were located along the Fox River, and carbonless copy paper “broke” the Company allegedly sold to other mills as raw material. In 2017, the Company entered into a Consent Decree with the federal and state governments for the clean-up of the Fox River, which was approved on August 22, 2017 by the federal district court in Wisconsin presiding over this matter. The Consent Decree resolved the Company’s disputes with the enforcement agencies as well as the other PRPs.</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3435" cy="419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6" w:name="page27"/>
    <w:bookmarkEnd w:id="26"/>
    <w:p>
      <w:pPr>
        <w:ind w:left="62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NCR Voyix Corporation</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 (Unaudited)—(Continued)</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7"/>
          <w:szCs w:val="17"/>
          <w:color w:val="auto"/>
        </w:rPr>
        <w:t>All litigation relating to the contribution and enforcement of remediation obligations on the Fox River has been concluded. On October 3, 2022, the Environmental Protection Agency issued the Company a Certificate of Completion certifying that all of the Company’s remedial obligations under the Consent Decree have been completed.</w:t>
      </w:r>
    </w:p>
    <w:p>
      <w:pPr>
        <w:spacing w:after="0" w:line="189"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The cost of the Fox River remediation has been shared with three parties (a previous party, API, fully satisfied its obligations in 2016 and is now bankrupt): B.A.T. Industries p.l.c. (“BAT”) as co-obligor, and AT&amp;T Corp. (“AT&amp;T”) and Nokia (as the successor to Lucent Technologies and Alcatel-Lucent USA) as indemnitors. Under a 1998 Cost Sharing Agreement and subsequent 2005 arbitration award (collectively, the “Cost Sharing Agreement”), from 2008 through 2014, BAT paid 60% of the cost of the Fox River clean-up and natural resource damages (“NRD”). Pursuant to a September 30, 2014 Funding Agreement (the “Funding Agreement”), BAT funded 50% of the Company’s Fox River remediation costs from October 1, 2014 forward. The Funding Agreement also provides the Company contractual avenues for a future payment of, via direct and third-party sources, (1) the difference between BAT’s 60% obligation under the Cost Sharing Agreement on the one hand and their ongoing (since September 2014) 50% payments under the Funding Agreement on the other, and (2) the difference between the amount the Company received under the Funding Agreement and the amount owed to it under the Cost Sharing Agreement for the period from April 2012 through September 2014 (collectively, the “Funding Agreement Receivable”). Pursuant to a 2015 Letter Agreement, the Company’s contractual avenue for direct payment by BAT was effectively stayed pending completion of other unrelated lawsuits by BAT against third-parties. As of September 30, 2024 and December 31, 2023, the Funding Agreement Receivable was approximately $54 million and was included in Other assets in the Condensed Consolidated Balance Sheets. The timing of collection of sums related to the receivable is uncertain, subject and pursuant to the terms of the Funding Agreement and related agreements. This receivable is not taken into account in calculating the Company’s Fox River remaining reserve.</w:t>
      </w:r>
    </w:p>
    <w:p>
      <w:pPr>
        <w:spacing w:after="0" w:line="20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Additionally, under a 1996 Divestiture Agreement, the Company, AT&amp;T and Nokia have mutual several (not joint) responsibility for indemnifying each other for certain environmental matters, including the Fox River and the Kalamazoo River discussed below, after defined dollar expenditures are met. AT&amp;T and Nokia have been reimbursing the Company for certain portions of the amounts paid by the Company for the Fox River matter over the defined threshold for Fox River subject to certain offsets for insurance recoveries and net tax benefits (the “Divestiture Agreement Offsets”). The Divestiture Agreement governs certain aspects of AT&amp;T’s divestiture of the Company and Lucent Technologies. Those companies have generally made the payments requested of them by the Company on an ongoing basis. The Company, AT&amp;T and Nokia are currently discussing a final reconciliation of the Divestiture Agreement Offsets, but the timing for a final resolution is uncertain.</w:t>
      </w:r>
    </w:p>
    <w:p>
      <w:pPr>
        <w:spacing w:after="0" w:line="203"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The final reconciliation of the Funding Agreement Receivable and the Divestiture Agreement Offsets could result in additional expenditures and liabilities for the Company that could be material. As of September 30, 2024 and December 31, 2023, we have no remaining liability for environmental remedial obligations for the Fox River matter. As of September 30, 2024 and December 31, 2023, the liability subject to final reconciliation with indemnitors under the Divestiture Agreement was approximately $22 million.</w:t>
      </w:r>
    </w:p>
    <w:p>
      <w:pPr>
        <w:spacing w:after="0" w:line="19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i w:val="1"/>
          <w:iCs w:val="1"/>
          <w:color w:val="auto"/>
        </w:rPr>
        <w:t xml:space="preserve">Kalamazoo River </w:t>
      </w:r>
      <w:r>
        <w:rPr>
          <w:rFonts w:ascii="Times New Roman" w:cs="Times New Roman" w:eastAsia="Times New Roman" w:hAnsi="Times New Roman"/>
          <w:sz w:val="17"/>
          <w:szCs w:val="17"/>
          <w:color w:val="auto"/>
        </w:rPr>
        <w:t>In November 2010, The United States Environmental Protection Agency (“USEPA”) issued a “general notice letter” to the Company with</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respect to the Allied Paper, Inc./Portage Creek/Kalamazoo River Superfund Site (“Kalamazoo River site”) in Michigan. Three other companies - International Paper, Mead Corporation, and Consumers Energy - also received general notice letters at or about the same time. USEPA asserts that the site is contaminated by various substances, primarily PCBs, as a result of discharges by various paper mills located along the river. USEPA does not claim that the Company made direct discharges into the Kalamazoo River, and the Company never had facilities at or near the Kalamazoo River site, but USEPA indicated that “NCR may be liable under Section 107 of CERCLA ... as an arranger, who by contract or agreement, arranged for the disposal, treatment and/or transportation of hazardous substances at the Site.” USEPA stated that it “may issue special notice letters to [NCR] and other PRPs for future RI/FS [remedial investigation / feasibility studies] and RD/RA [remedial design / remedial action] negotiations.”</w:t>
      </w:r>
    </w:p>
    <w:p>
      <w:pPr>
        <w:spacing w:after="0" w:line="201"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In connection with the Kalamazoo River site, in December 2010 the Company, along with two other defendants, was sued in federal court by three Georgia Pacific (“GP”) affiliate corporations in a private-party contribution and cost recovery action for alleged pollution. The suit sought to require that the Company and other defendants pay a “fair portion” of these companies’ costs and also alleged that the Company was liable to the GP entities as an “arranger” under CERCLA. The initial phase of the case was tried in a Michigan federal court in February 2013 and in September 2013 the court issued a decision that held the Company was liable as an “arranger” as of at least March 1969 (PCB-containing carbonless copy paper was produced from approximately 1954 to April 1971, and the majority of contamination at the Kalamazoo River site had occurred prior to 1969).</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3435" cy="419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7" w:name="page28"/>
    <w:bookmarkEnd w:id="27"/>
    <w:p>
      <w:pPr>
        <w:ind w:left="62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NCR Voyix Corporation</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 (Unaudited)—(Continued)</w:t>
      </w:r>
    </w:p>
    <w:p>
      <w:pPr>
        <w:spacing w:after="0" w:line="200" w:lineRule="exact"/>
        <w:rPr>
          <w:sz w:val="20"/>
          <w:szCs w:val="20"/>
          <w:color w:val="auto"/>
        </w:rPr>
      </w:pPr>
    </w:p>
    <w:p>
      <w:pPr>
        <w:spacing w:after="0" w:line="221"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In a ruling issued in March 2018, the court addressed responsibility for the costs that GP had incurred in the past, totaling to approximately $50 million (GP had sought approximately $105 million, but $55 million of those claims were removed by the court upon motions filed by the Company and other parties). The Company and GP were each assigned a 40% share of those costs, and the other two companies were assigned 15% and 5% as their allocations. The court entered a judgment in the case in June 2018, in which it indicated that it would not allocate future costs, but would enter a declaratory judgment that the four companies together had responsibility for future costs, in amounts and shares to be determined. In July 2018, the Company appealed to the United States Court of Appeals for the Sixth Circuit both the 2013 court decision and the 2018 court decision.</w:t>
      </w:r>
    </w:p>
    <w:p>
      <w:pPr>
        <w:spacing w:after="0" w:line="198"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During the pendency of the Sixth Circuit appeal, the Company negotiated a settlement of the Kalamazoo River matter with the USEPA and other government agencies. In December 2019, the Company entered into a Consent Decree and in December 2020, the District Court approved the Consent Decree, which resolved the foregoing litigation associated with the Kalamazoo River clean-up, including the Sixth Circuit appeal. The Consent Decree requires the Company to pay GP its 40% share of past costs, to pay the USEPA and state agencies their past and future administrative costs. It also required the Company to dismiss its Sixth Circuit appeal. The Consent Decree further requires the Company to take responsibility for the remediation of a portion, but not all, of the Kalamazoo River. The Consent Decree provides the Company protection from other PRPs, including GP, seeking contribution for their costs associated with the clean-up anywhere on the river, thereby resolving the allocation of future costs left unresolved by the June 2018 judgment.</w:t>
      </w: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7"/>
          <w:szCs w:val="17"/>
          <w:color w:val="auto"/>
        </w:rPr>
        <w:t>The Company believes it has meritorious claims to recover certain Kalamazoo River remediation expenses from BAT under the Cost Sharing Agreement, discussed above, as the river is a “future site” under the agreement. To date, BAT disputes that the</w:t>
      </w:r>
    </w:p>
    <w:p>
      <w:pPr>
        <w:ind w:right="40"/>
        <w:spacing w:after="0" w:line="259" w:lineRule="auto"/>
        <w:rPr>
          <w:sz w:val="20"/>
          <w:szCs w:val="20"/>
          <w:color w:val="auto"/>
        </w:rPr>
      </w:pPr>
      <w:r>
        <w:rPr>
          <w:rFonts w:ascii="Times New Roman" w:cs="Times New Roman" w:eastAsia="Times New Roman" w:hAnsi="Times New Roman"/>
          <w:sz w:val="17"/>
          <w:szCs w:val="17"/>
          <w:color w:val="auto"/>
        </w:rPr>
        <w:t>Kalamazoo River is a “future site.” In February 2023, the Company filed an action against BAT in the Southern District of New York seeking a declaration that the Kalamazoo River is a “future site” under the Cost Sharing Agreement. In June 2023, BAT filed an answer asserting counterclaims in the proceedings. On September 14, 2024, the Court entered an opinion stating that the Kalamazoo River is a “future site” within the meaning of the Cost Sharing Agreement. The case remains pending with respect to BAT’s remaining counterclaims and affirmative defenses.</w:t>
      </w:r>
    </w:p>
    <w:p>
      <w:pPr>
        <w:spacing w:after="0" w:line="201"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7"/>
          <w:szCs w:val="17"/>
          <w:color w:val="auto"/>
        </w:rPr>
        <w:t>In December 2022, the Company met the contractual threshold set forth in the 1996 Divestiture Agreement and as a result also has indemnity or reimbursement claims against AT&amp;T and Nokia.</w:t>
      </w:r>
    </w:p>
    <w:p>
      <w:pPr>
        <w:spacing w:after="0" w:line="17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In November 2023, the USEPA issued a conditional approval for a work plan to remediate one area of the Kalamazoo River (referred to by USEPA as Area 4) for which the Company has remediation responsibility. The conditional approval provided the Company with sufficient information to estimate the cost of the first phase of remediation for this area of the river and necessitated an increase in the Kalamazoo reserve. Subsequently, USEPA provided further clarification about the conditions with respect to completing the second phase of the work plan that could substantially increase the costs of remediation. The Company does not believe the scope of work for this second phase is its responsibility under the Consent Decree or the National Contingency Plan. On March 29, 2024, the Company filed a Notice of Dispute with the USEPA objecting to the scope of work for Area 4 as being inconsistent with the National Contingency Plan and contrary to the requirements of the Consent Decree. In June 2024, the Company reached a tentative agreement with the USEPA that will satisfactorily address the Company’s cost concerns and in October 2024, the Company submitted a work plan to the USEPA for approval. In connection with the submittal of the work plan, an updated engineering estimate was developed, which necessitated an increase in the Kalamazoo reserve. The submitted work plan is subject to USEPA approval and if an Area 4 work plan cannot be finalized, the costs to remediate Area 4 could increase substantially.</w:t>
      </w:r>
    </w:p>
    <w:p>
      <w:pPr>
        <w:spacing w:after="0" w:line="206"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As of September 30, 2024 and December 31, 2023, the total reserve for Kalamazoo was $167 million and $141 million, respectively. The reserve is reported on a basis that is net of expected contributions from the Company’s co-obligors and indemnitors, subject to when the applicable threshold is reached. While the Company believes its co-obligors’ and indemnitors’ obligations are as previously reported, the reserve may be adjusted from time to time to reflect changes in our estimates of remediation costs and recoverability from co-obligors and indemnitors with respect to the Kalamazoo River.</w:t>
      </w:r>
    </w:p>
    <w:p>
      <w:pPr>
        <w:spacing w:after="0" w:line="193"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As many aspects of the costs of remediation will not be determined for several years (and thus the high end of a range of possible costs for many areas of the site cannot be quantified at this time), the Company has made what it considers to be reasonable estimates of the low end of a range for such costs where remedies are identified, and/or of the costs of investigations and studies for areas of the river where remedies have not yet been determined, and the reserve is informed by those estimates. The extent of the Company’s potential liability remains subject to many uncertainties, notwithstanding the settlement of this matter and related Consent Decree noted above, particularly in as much as remedy decisions and cost estimates will not be generated until times in the future and as most of the work to be performed will take place through the 2030s. Under other assumptions or estimates for possible costs of remediation, which the Company does not at this point consider to be reasonably</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3435" cy="419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8" w:name="page29"/>
    <w:bookmarkEnd w:id="28"/>
    <w:p>
      <w:pPr>
        <w:ind w:left="62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NCR Voyix Corporation</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 (Unaudited)—(Continued)</w:t>
      </w:r>
    </w:p>
    <w:p>
      <w:pPr>
        <w:spacing w:after="0" w:line="200" w:lineRule="exact"/>
        <w:rPr>
          <w:sz w:val="20"/>
          <w:szCs w:val="20"/>
          <w:color w:val="auto"/>
        </w:rPr>
      </w:pPr>
    </w:p>
    <w:p>
      <w:pPr>
        <w:spacing w:after="0" w:line="221"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7"/>
          <w:szCs w:val="17"/>
          <w:color w:val="auto"/>
        </w:rPr>
        <w:t>estimable or verifiable, it is possible that the reserve the Company has taken to discontinued operations reflected in this paragraph could more than approximately double the reflected reserve.</w:t>
      </w:r>
    </w:p>
    <w:p>
      <w:pPr>
        <w:spacing w:after="0" w:line="17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i w:val="1"/>
          <w:iCs w:val="1"/>
          <w:color w:val="auto"/>
        </w:rPr>
        <w:t xml:space="preserve">Environmental-Related Insurance Recoveries </w:t>
      </w:r>
      <w:r>
        <w:rPr>
          <w:rFonts w:ascii="Times New Roman" w:cs="Times New Roman" w:eastAsia="Times New Roman" w:hAnsi="Times New Roman"/>
          <w:sz w:val="17"/>
          <w:szCs w:val="17"/>
          <w:color w:val="auto"/>
        </w:rPr>
        <w:t>In connection with the Fox River, Kalamazoo River and other environmental sites, through September 30, 2024,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Company has received a combined gross total of approximately $212 million in settlements reached with various of its insurance carriers. Some of the settlements cover not only the Fox River but also other environmental sites; some are limited to either the Fox River or the Kalamazoo River site. Some of the settlements are directed to defense costs and some are directed to indemnity; some settlements cover both defense costs and indemnity. The Company does not anticipate that further material insurance recoveries specific to Kalamazoo River remediation costs will be available to it, but it has recovered some amounts as a result of settlement discussions with certain carriers. Claims with respect to Kalamazoo River defense costs have now been settled, with the amounts of those settlements included in the sum reported above.</w:t>
      </w:r>
    </w:p>
    <w:p>
      <w:pPr>
        <w:spacing w:after="0" w:line="19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i w:val="1"/>
          <w:iCs w:val="1"/>
          <w:color w:val="auto"/>
        </w:rPr>
        <w:t xml:space="preserve">Environmental Remediation Estimates </w:t>
      </w:r>
      <w:r>
        <w:rPr>
          <w:rFonts w:ascii="Times New Roman" w:cs="Times New Roman" w:eastAsia="Times New Roman" w:hAnsi="Times New Roman"/>
          <w:sz w:val="17"/>
          <w:szCs w:val="17"/>
          <w:color w:val="auto"/>
        </w:rPr>
        <w:t>It is difficult to estimate the future financial impact of environmental laws, including potential liabilities. The Company</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records environmental provisions when it is probable that a liability has been incurred and the amount or range of the liability is reasonably estimable; in accordance with accounting guidance, where liabilities are not expected to be quantifiable or estimable for a period of years, the estimated costs of investigating those liabilities are recorded as a component of the reserve for that particular site. Provisions for estimated losses from environmental restoration and remediation are, depending on the site, based generally on internal and third-party environmental studies, estimates as to the number and participation level of other PRPs, the extent of contamination, estimated amounts for attorney and other fees, and the nature of required clean-up and restoration actions. Reserves are adjusted as further information develops or circumstances change. Management expects that the amounts reserved from time to time will be paid out over the period of investigation, negotiation, remediation and restoration for the applicable sites. The amounts provided for environmental matters in the Company’s Condensed Consolidated Financial Statements are the estimated gross undiscounted amounts of such liabilities, without deductions for indemnity insurance, third-party indemnity claims or recoveries from other PRPs, except in the event certain criteria supporting the probability of receipt of payment from such third parties is met, the amounts are recorded in the Condensed Consolidated Financial Statements. For the Fox River and Kalamazoo River sites, as described above, assets relating to the AT&amp;T and Nokia indemnities and to the BAT obligations are recorded as payment is supported by contractual agreements, public filings and/or payment history.</w:t>
      </w:r>
    </w:p>
    <w:p>
      <w:pPr>
        <w:spacing w:after="0" w:line="200" w:lineRule="exact"/>
        <w:rPr>
          <w:sz w:val="20"/>
          <w:szCs w:val="20"/>
          <w:color w:val="auto"/>
        </w:rPr>
      </w:pPr>
    </w:p>
    <w:p>
      <w:pPr>
        <w:spacing w:after="0" w:line="208"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b w:val="1"/>
          <w:bCs w:val="1"/>
          <w:color w:val="auto"/>
        </w:rPr>
        <w:t xml:space="preserve">Guarantees and Product Warranties </w:t>
      </w:r>
      <w:r>
        <w:rPr>
          <w:rFonts w:ascii="Times New Roman" w:cs="Times New Roman" w:eastAsia="Times New Roman" w:hAnsi="Times New Roman"/>
          <w:sz w:val="17"/>
          <w:szCs w:val="17"/>
          <w:color w:val="auto"/>
        </w:rPr>
        <w:t>In the ordinary course of business, the Company may issue performance guarantees on behalf of its subsidiaries to certain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of its customers and other parties. Some of those guarantees may be backed by standby letters of credit, surety bonds, or similar instruments. In general, under the guarantees, the Company would be obligated to perform, or cause performance, over the term of the underlying contract in the event of an unexcused, uncured breach by its subsidiary, or some other specified triggering event, in each case as defined by the applicable guarantee. The Company believes the likelihood of having to perform under any such guarantee is remote. As of September 30, 2024 and December 31, 2023, the Company had no material obligations related to such guarantees, and therefore its Condensed Consolidated Financial Statements do not have any associated liability balance.</w:t>
      </w:r>
    </w:p>
    <w:p>
      <w:pPr>
        <w:spacing w:after="0" w:line="200"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The Company provides its customers a standard manufacturer’s warranty and records, at the time of the sale, a corresponding estimated liability for potential warranty costs. Estimated future obligations due to warranty claims are based upon historical factors, such as labor rates, average repair time, travel time, number of service calls per machine and cost of replacement parts. When a sale is consummated, the total customer revenue is recognized, provided that all revenue recognition criteria are otherwise satisfied, and the associated warranty liability is recorded using pre-established warranty percentages for the respective product classes. Warranty reserve liabilities are presented in Other current liabilities and Other liabilities in the Consolidated Balance Sheets.</w:t>
      </w:r>
    </w:p>
    <w:p>
      <w:pPr>
        <w:spacing w:after="0" w:line="195"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7"/>
          <w:szCs w:val="17"/>
          <w:color w:val="auto"/>
        </w:rPr>
        <w:t>From time to time, product design or quality corrections are accomplished through modification programs. When identified, associated costs of labor and parts for such programs are estimated and accrued as part of the warranty reserve.</w:t>
      </w:r>
    </w:p>
    <w:p>
      <w:pPr>
        <w:spacing w:after="0" w:line="186"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In addition, the Company provides its customers with certain indemnification rights, subject to certain limitations and exceptions. In some cases, the Company agrees to defend and indemnify its customers from third-party lawsuits alleging patent or other infringement of Company solutions based on its customers’ use of them. On limited occasions the Company will undertake to indemnify a customer for business, rather than contractual, reasons. From time to time, the Company also enters into agreements in connection with its acquisition and divestiture activities that include indemnification obligations by the Company. The fair value of these indemnification obligations is not readily determinable due to the conditional nature of the Company’s potential obligations, certain limitations to liability and indemnity exclusions that appear in certain of the</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3435" cy="419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9" w:name="page30"/>
    <w:bookmarkEnd w:id="29"/>
    <w:p>
      <w:pPr>
        <w:ind w:left="62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NCR Voyix Corporation</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 (Unaudited)—(Continued)</w:t>
      </w:r>
    </w:p>
    <w:p>
      <w:pPr>
        <w:spacing w:after="0" w:line="200" w:lineRule="exact"/>
        <w:rPr>
          <w:sz w:val="20"/>
          <w:szCs w:val="20"/>
          <w:color w:val="auto"/>
        </w:rPr>
      </w:pPr>
    </w:p>
    <w:p>
      <w:pPr>
        <w:spacing w:after="0" w:line="221"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7"/>
          <w:szCs w:val="17"/>
          <w:color w:val="auto"/>
        </w:rPr>
        <w:t>Company’s agreements, and the specific facts and circumstances involved with each particular agreement. Historically, the Company has not recorded a liability in connection with these indemnifications. From time to time the Company has provided indemnification under these circumstances, none of which has resulted in material liabilities, and the Company expects these indemnities will continue to arise in the future.</w:t>
      </w:r>
    </w:p>
    <w:p>
      <w:pPr>
        <w:spacing w:after="0" w:line="187"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b w:val="1"/>
          <w:bCs w:val="1"/>
          <w:color w:val="auto"/>
        </w:rPr>
        <w:t xml:space="preserve">Purchase Commitments </w:t>
      </w:r>
      <w:r>
        <w:rPr>
          <w:rFonts w:ascii="Times New Roman" w:cs="Times New Roman" w:eastAsia="Times New Roman" w:hAnsi="Times New Roman"/>
          <w:sz w:val="17"/>
          <w:szCs w:val="17"/>
          <w:color w:val="auto"/>
        </w:rPr>
        <w:t>The Company has purchase commitments for materials, supplies, services, and property, plant and equipment as part of the normal</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course of business. This includes a long-term service agreement with Accenture, under which many of the Company’s key transaction processing activities and functions are performed.</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11. SERIES A CONVERTIBLE PREFERRED STOCK</w:t>
      </w:r>
    </w:p>
    <w:p>
      <w:pPr>
        <w:spacing w:after="0" w:line="247"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Holders of Series A Convertible Preferred Stock are entitled to a cumulative dividend at the rate of 5.5% per annum, payable quarterly in arrears. Beginning in the first quarter of 2020, dividends are payable in cash or in-kind at the option of the Company. If the Company does not declare and pay a dividend, the dividend rate will increase to 8.0% per annum until all accrued but unpaid dividends have been paid in full. During the three months ended September 30, 2024 and 2023, the Company paid cash dividends of $4 million. During the nine months ended September 30, 2024 and 2023, the Company paid cash dividends of $12 million.</w:t>
      </w:r>
    </w:p>
    <w:p>
      <w:pPr>
        <w:spacing w:after="0" w:line="193"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Prior to the close of business on October 17, 2023, the Series A Convertible Preferred Stock was convertible at the option of the holders at any time into shares of common stock at a conversion price of $30.00 per share, or a conversion rate of 33.333 shares of common stock per share of Series A Convertible Preferred Stock. As a result of the Spin-Off, the conversion rate of the Series A Convertible Preferred Stock was adjusted pursuant to its terms to 57.5601 shares of common stock per share of Series A Convertible Preferred Stock. As of September 30, 2024 and December 31, 2023, the maximum number of common shares that could be required to be issued upon conversion of the outstanding shares of Series A Convertible Preferred Stock was 15.9 million shares.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12. EARNINGS PER SHARE</w:t>
      </w:r>
    </w:p>
    <w:p>
      <w:pPr>
        <w:spacing w:after="0" w:line="247"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7"/>
          <w:szCs w:val="17"/>
          <w:color w:val="auto"/>
        </w:rPr>
        <w:t>Basic earnings per share (“EPS”) is calculated by dividing net income or loss attributable to NCR Voyix, less any dividends (declared or cumulative undeclared), deemed dividends, accretion or decretion, redemption or induced conversion on our Series A Convertible Preferred Stock, by the weighted average number of shares outstanding during the period.</w:t>
      </w:r>
    </w:p>
    <w:p>
      <w:pPr>
        <w:spacing w:after="0" w:line="189"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In computing diluted EPS, we evaluate and reflect the maximum potential dilution, for each issue or series of issues of potential common shares in sequence from the most dilutive to the least dilutive. We adjust the numerator used in the basic EPS computation, subject to anti-dilution requirements, to add back the dividends (declared or cumulative undeclared) applicable to the Series A Convertible Preferred Stock. Such add-back would also include any adjustments to equity in the period to accrete the Series A Convertible Preferred Stock to its redemption price, or recorded upon a redemption or induced conversion. We adjust the denominator used in the basic EPS computation, subject to anti-dilution requirements, to include the dilution from potential shares resulting from the issuance of the Series A Convertible Preferred Stock, restricted stock units, and stock options.</w:t>
      </w:r>
    </w:p>
    <w:p>
      <w:pPr>
        <w:spacing w:after="0" w:line="198"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7"/>
          <w:szCs w:val="17"/>
          <w:color w:val="auto"/>
        </w:rPr>
        <w:t>The holders of Series A Convertible Preferred Stock, unvested restricted stock units and stock options do not have non-forfeitable rights to common stock dividends or common stock dividend equivalents. Accordingly, the Series A Convertible Preferred Stock, unvested restricted stock units and stock options do not qualify as participating securities. See Note 8, “Stock Compensation Plans”, for share information on the Company’s stock compensation plans.</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3435" cy="419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0" w:name="page31"/>
    <w:bookmarkEnd w:id="30"/>
    <w:p>
      <w:pPr>
        <w:ind w:left="62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NCR Voyix Corporation</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 (Unaudited)—(Continued)</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components of basic and diluted earnings (loss) per share are as follows: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6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60" w:type="dxa"/>
            <w:vAlign w:val="bottom"/>
            <w:gridSpan w:val="5"/>
          </w:tcPr>
          <w:p>
            <w:pPr>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40" w:type="dxa"/>
            <w:vAlign w:val="bottom"/>
          </w:tcPr>
          <w:p>
            <w:pPr>
              <w:spacing w:after="0"/>
              <w:rPr>
                <w:sz w:val="15"/>
                <w:szCs w:val="15"/>
                <w:color w:val="auto"/>
              </w:rPr>
            </w:pPr>
          </w:p>
        </w:tc>
        <w:tc>
          <w:tcPr>
            <w:tcW w:w="2160" w:type="dxa"/>
            <w:vAlign w:val="bottom"/>
            <w:gridSpan w:val="4"/>
          </w:tcPr>
          <w:p>
            <w:pPr>
              <w:jc w:val="right"/>
              <w:ind w:right="75"/>
              <w:spacing w:after="0"/>
              <w:rPr>
                <w:sz w:val="20"/>
                <w:szCs w:val="20"/>
                <w:color w:val="auto"/>
              </w:rPr>
            </w:pPr>
            <w:r>
              <w:rPr>
                <w:rFonts w:ascii="Times New Roman" w:cs="Times New Roman" w:eastAsia="Times New Roman" w:hAnsi="Times New Roman"/>
                <w:sz w:val="14"/>
                <w:szCs w:val="14"/>
                <w:b w:val="1"/>
                <w:bCs w:val="1"/>
                <w:color w:val="auto"/>
                <w:w w:val="98"/>
              </w:rPr>
              <w:t>Nine months ended September 30</w:t>
            </w:r>
          </w:p>
        </w:tc>
        <w:tc>
          <w:tcPr>
            <w:tcW w:w="0" w:type="dxa"/>
            <w:vAlign w:val="bottom"/>
          </w:tcPr>
          <w:p>
            <w:pPr>
              <w:spacing w:after="0"/>
              <w:rPr>
                <w:sz w:val="1"/>
                <w:szCs w:val="1"/>
                <w:color w:val="auto"/>
              </w:rPr>
            </w:pPr>
          </w:p>
        </w:tc>
      </w:tr>
      <w:tr>
        <w:trPr>
          <w:trHeight w:val="23"/>
        </w:trPr>
        <w:tc>
          <w:tcPr>
            <w:tcW w:w="65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5"/>
        </w:trPr>
        <w:tc>
          <w:tcPr>
            <w:tcW w:w="65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 except per share amounts</w:t>
            </w:r>
          </w:p>
        </w:tc>
        <w:tc>
          <w:tcPr>
            <w:tcW w:w="120" w:type="dxa"/>
            <w:vAlign w:val="bottom"/>
          </w:tcPr>
          <w:p>
            <w:pPr>
              <w:spacing w:after="0"/>
              <w:rPr>
                <w:sz w:val="22"/>
                <w:szCs w:val="22"/>
                <w:color w:val="auto"/>
              </w:rPr>
            </w:pPr>
          </w:p>
        </w:tc>
        <w:tc>
          <w:tcPr>
            <w:tcW w:w="980" w:type="dxa"/>
            <w:vAlign w:val="bottom"/>
          </w:tcPr>
          <w:p>
            <w:pPr>
              <w:jc w:val="right"/>
              <w:ind w:right="317"/>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40" w:type="dxa"/>
            <w:vAlign w:val="bottom"/>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tcPr>
          <w:p>
            <w:pPr>
              <w:jc w:val="right"/>
              <w:ind w:right="337"/>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40" w:type="dxa"/>
            <w:vAlign w:val="bottom"/>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3"/>
        </w:trPr>
        <w:tc>
          <w:tcPr>
            <w:tcW w:w="65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0"/>
        </w:trPr>
        <w:tc>
          <w:tcPr>
            <w:tcW w:w="6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Numerator:</w:t>
            </w: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656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Income (loss) from continuing operations</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(31)</w:t>
            </w:r>
          </w:p>
        </w:tc>
        <w:tc>
          <w:tcPr>
            <w:tcW w:w="100" w:type="dxa"/>
            <w:vAlign w:val="bottom"/>
          </w:tcPr>
          <w:p>
            <w:pPr>
              <w:spacing w:after="0"/>
              <w:rPr>
                <w:sz w:val="19"/>
                <w:szCs w:val="19"/>
                <w:color w:val="auto"/>
              </w:rPr>
            </w:pPr>
          </w:p>
        </w:tc>
        <w:tc>
          <w:tcPr>
            <w:tcW w:w="26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(266)</w:t>
            </w:r>
          </w:p>
        </w:tc>
        <w:tc>
          <w:tcPr>
            <w:tcW w:w="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(193)</w:t>
            </w:r>
          </w:p>
        </w:tc>
        <w:tc>
          <w:tcPr>
            <w:tcW w:w="80" w:type="dxa"/>
            <w:vAlign w:val="bottom"/>
          </w:tcPr>
          <w:p>
            <w:pPr>
              <w:spacing w:after="0"/>
              <w:rPr>
                <w:sz w:val="19"/>
                <w:szCs w:val="19"/>
                <w:color w:val="auto"/>
              </w:rPr>
            </w:pPr>
          </w:p>
        </w:tc>
        <w:tc>
          <w:tcPr>
            <w:tcW w:w="26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(457)</w:t>
            </w:r>
          </w:p>
        </w:tc>
        <w:tc>
          <w:tcPr>
            <w:tcW w:w="0" w:type="dxa"/>
            <w:vAlign w:val="bottom"/>
          </w:tcPr>
          <w:p>
            <w:pPr>
              <w:spacing w:after="0"/>
              <w:rPr>
                <w:sz w:val="1"/>
                <w:szCs w:val="1"/>
                <w:color w:val="auto"/>
              </w:rPr>
            </w:pPr>
          </w:p>
        </w:tc>
      </w:tr>
      <w:tr>
        <w:trPr>
          <w:trHeight w:val="220"/>
        </w:trPr>
        <w:tc>
          <w:tcPr>
            <w:tcW w:w="65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Series A convertible preferred stock dividends</w:t>
            </w:r>
          </w:p>
        </w:tc>
        <w:tc>
          <w:tcPr>
            <w:tcW w:w="1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(4)</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(12)</w:t>
            </w:r>
          </w:p>
        </w:tc>
        <w:tc>
          <w:tcPr>
            <w:tcW w:w="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w:t>
            </w:r>
          </w:p>
        </w:tc>
        <w:tc>
          <w:tcPr>
            <w:tcW w:w="0" w:type="dxa"/>
            <w:vAlign w:val="bottom"/>
          </w:tcPr>
          <w:p>
            <w:pPr>
              <w:spacing w:after="0"/>
              <w:rPr>
                <w:sz w:val="1"/>
                <w:szCs w:val="1"/>
                <w:color w:val="auto"/>
              </w:rPr>
            </w:pPr>
          </w:p>
        </w:tc>
      </w:tr>
      <w:tr>
        <w:trPr>
          <w:trHeight w:val="149"/>
        </w:trPr>
        <w:tc>
          <w:tcPr>
            <w:tcW w:w="6560" w:type="dxa"/>
            <w:vAlign w:val="bottom"/>
          </w:tcPr>
          <w:p>
            <w:pPr>
              <w:ind w:left="20"/>
              <w:spacing w:after="0" w:line="149" w:lineRule="exact"/>
              <w:rPr>
                <w:sz w:val="20"/>
                <w:szCs w:val="20"/>
                <w:color w:val="auto"/>
              </w:rPr>
            </w:pPr>
            <w:r>
              <w:rPr>
                <w:rFonts w:ascii="Times New Roman" w:cs="Times New Roman" w:eastAsia="Times New Roman" w:hAnsi="Times New Roman"/>
                <w:sz w:val="17"/>
                <w:szCs w:val="17"/>
                <w:b w:val="1"/>
                <w:bCs w:val="1"/>
                <w:color w:val="auto"/>
              </w:rPr>
              <w:t>Income (loss) from continuing operations attributable to NCR Voyix common</w:t>
            </w:r>
          </w:p>
        </w:tc>
        <w:tc>
          <w:tcPr>
            <w:tcW w:w="120" w:type="dxa"/>
            <w:vAlign w:val="bottom"/>
          </w:tcPr>
          <w:p>
            <w:pPr>
              <w:spacing w:after="0"/>
              <w:rPr>
                <w:sz w:val="12"/>
                <w:szCs w:val="12"/>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7"/>
                <w:szCs w:val="17"/>
                <w:b w:val="1"/>
                <w:bCs w:val="1"/>
                <w:color w:val="auto"/>
              </w:rPr>
              <w:t>(35)</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7"/>
                <w:szCs w:val="17"/>
                <w:b w:val="1"/>
                <w:bCs w:val="1"/>
                <w:color w:val="auto"/>
              </w:rPr>
              <w:t>(205)</w:t>
            </w: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3"/>
        </w:trPr>
        <w:tc>
          <w:tcPr>
            <w:tcW w:w="656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stockholders</w:t>
            </w:r>
          </w:p>
        </w:tc>
        <w:tc>
          <w:tcPr>
            <w:tcW w:w="120" w:type="dxa"/>
            <w:vAlign w:val="bottom"/>
          </w:tcPr>
          <w:p>
            <w:pPr>
              <w:spacing w:after="0"/>
              <w:rPr>
                <w:sz w:val="20"/>
                <w:szCs w:val="20"/>
                <w:color w:val="auto"/>
              </w:rPr>
            </w:pPr>
          </w:p>
        </w:tc>
        <w:tc>
          <w:tcPr>
            <w:tcW w:w="98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(270)</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(469)</w:t>
            </w:r>
          </w:p>
        </w:tc>
        <w:tc>
          <w:tcPr>
            <w:tcW w:w="0" w:type="dxa"/>
            <w:vAlign w:val="bottom"/>
          </w:tcPr>
          <w:p>
            <w:pPr>
              <w:spacing w:after="0"/>
              <w:rPr>
                <w:sz w:val="1"/>
                <w:szCs w:val="1"/>
                <w:color w:val="auto"/>
              </w:rPr>
            </w:pPr>
          </w:p>
        </w:tc>
      </w:tr>
      <w:tr>
        <w:trPr>
          <w:trHeight w:val="220"/>
        </w:trPr>
        <w:tc>
          <w:tcPr>
            <w:tcW w:w="65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Income (loss) from discontinued operations, net of tax</w:t>
            </w:r>
          </w:p>
        </w:tc>
        <w:tc>
          <w:tcPr>
            <w:tcW w:w="1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1,113</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137</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1,162</w:t>
            </w:r>
          </w:p>
        </w:tc>
        <w:tc>
          <w:tcPr>
            <w:tcW w:w="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352</w:t>
            </w:r>
          </w:p>
        </w:tc>
        <w:tc>
          <w:tcPr>
            <w:tcW w:w="0" w:type="dxa"/>
            <w:vAlign w:val="bottom"/>
          </w:tcPr>
          <w:p>
            <w:pPr>
              <w:spacing w:after="0"/>
              <w:rPr>
                <w:sz w:val="1"/>
                <w:szCs w:val="1"/>
                <w:color w:val="auto"/>
              </w:rPr>
            </w:pPr>
          </w:p>
        </w:tc>
      </w:tr>
      <w:tr>
        <w:trPr>
          <w:trHeight w:val="213"/>
        </w:trPr>
        <w:tc>
          <w:tcPr>
            <w:tcW w:w="656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Net income (loss) attributable to NCR Voyix common stockholders</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1,078</w:t>
            </w:r>
          </w:p>
        </w:tc>
        <w:tc>
          <w:tcPr>
            <w:tcW w:w="100" w:type="dxa"/>
            <w:vAlign w:val="bottom"/>
          </w:tcPr>
          <w:p>
            <w:pPr>
              <w:spacing w:after="0"/>
              <w:rPr>
                <w:sz w:val="18"/>
                <w:szCs w:val="18"/>
                <w:color w:val="auto"/>
              </w:rPr>
            </w:pPr>
          </w:p>
        </w:tc>
        <w:tc>
          <w:tcPr>
            <w:tcW w:w="26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(133)</w:t>
            </w:r>
          </w:p>
        </w:tc>
        <w:tc>
          <w:tcPr>
            <w:tcW w:w="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957</w:t>
            </w:r>
          </w:p>
        </w:tc>
        <w:tc>
          <w:tcPr>
            <w:tcW w:w="80" w:type="dxa"/>
            <w:vAlign w:val="bottom"/>
          </w:tcPr>
          <w:p>
            <w:pPr>
              <w:spacing w:after="0"/>
              <w:rPr>
                <w:sz w:val="18"/>
                <w:szCs w:val="18"/>
                <w:color w:val="auto"/>
              </w:rPr>
            </w:pPr>
          </w:p>
        </w:tc>
        <w:tc>
          <w:tcPr>
            <w:tcW w:w="26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(117)</w:t>
            </w:r>
          </w:p>
        </w:tc>
        <w:tc>
          <w:tcPr>
            <w:tcW w:w="0" w:type="dxa"/>
            <w:vAlign w:val="bottom"/>
          </w:tcPr>
          <w:p>
            <w:pPr>
              <w:spacing w:after="0"/>
              <w:rPr>
                <w:sz w:val="1"/>
                <w:szCs w:val="1"/>
                <w:color w:val="auto"/>
              </w:rPr>
            </w:pPr>
          </w:p>
        </w:tc>
      </w:tr>
      <w:tr>
        <w:trPr>
          <w:trHeight w:val="207"/>
        </w:trPr>
        <w:tc>
          <w:tcPr>
            <w:tcW w:w="6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656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Denominator:</w:t>
            </w: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65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Basic and diluted weighted average number of shares outstanding</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145.4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140.9</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144.6</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140.3</w:t>
            </w:r>
          </w:p>
        </w:tc>
        <w:tc>
          <w:tcPr>
            <w:tcW w:w="0" w:type="dxa"/>
            <w:vAlign w:val="bottom"/>
          </w:tcPr>
          <w:p>
            <w:pPr>
              <w:spacing w:after="0"/>
              <w:rPr>
                <w:sz w:val="1"/>
                <w:szCs w:val="1"/>
                <w:color w:val="auto"/>
              </w:rPr>
            </w:pPr>
          </w:p>
        </w:tc>
      </w:tr>
      <w:tr>
        <w:trPr>
          <w:trHeight w:val="207"/>
        </w:trPr>
        <w:tc>
          <w:tcPr>
            <w:tcW w:w="6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6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Basic and diluted earnings (loss) per share:</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656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From continuing operations</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(0.24)</w:t>
            </w:r>
          </w:p>
        </w:tc>
        <w:tc>
          <w:tcPr>
            <w:tcW w:w="100" w:type="dxa"/>
            <w:vAlign w:val="bottom"/>
          </w:tcPr>
          <w:p>
            <w:pPr>
              <w:spacing w:after="0"/>
              <w:rPr>
                <w:sz w:val="19"/>
                <w:szCs w:val="19"/>
                <w:color w:val="auto"/>
              </w:rPr>
            </w:pPr>
          </w:p>
        </w:tc>
        <w:tc>
          <w:tcPr>
            <w:tcW w:w="26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(1.92)</w:t>
            </w:r>
          </w:p>
        </w:tc>
        <w:tc>
          <w:tcPr>
            <w:tcW w:w="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(1.42)</w:t>
            </w:r>
          </w:p>
        </w:tc>
        <w:tc>
          <w:tcPr>
            <w:tcW w:w="80" w:type="dxa"/>
            <w:vAlign w:val="bottom"/>
          </w:tcPr>
          <w:p>
            <w:pPr>
              <w:spacing w:after="0"/>
              <w:rPr>
                <w:sz w:val="19"/>
                <w:szCs w:val="19"/>
                <w:color w:val="auto"/>
              </w:rPr>
            </w:pPr>
          </w:p>
        </w:tc>
        <w:tc>
          <w:tcPr>
            <w:tcW w:w="26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(3.34)</w:t>
            </w:r>
          </w:p>
        </w:tc>
        <w:tc>
          <w:tcPr>
            <w:tcW w:w="0" w:type="dxa"/>
            <w:vAlign w:val="bottom"/>
          </w:tcPr>
          <w:p>
            <w:pPr>
              <w:spacing w:after="0"/>
              <w:rPr>
                <w:sz w:val="1"/>
                <w:szCs w:val="1"/>
                <w:color w:val="auto"/>
              </w:rPr>
            </w:pPr>
          </w:p>
        </w:tc>
      </w:tr>
      <w:tr>
        <w:trPr>
          <w:trHeight w:val="220"/>
        </w:trPr>
        <w:tc>
          <w:tcPr>
            <w:tcW w:w="65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From discontinued operations</w:t>
            </w:r>
          </w:p>
        </w:tc>
        <w:tc>
          <w:tcPr>
            <w:tcW w:w="1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7.65</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0.98</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8.04</w:t>
            </w:r>
          </w:p>
        </w:tc>
        <w:tc>
          <w:tcPr>
            <w:tcW w:w="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2.51</w:t>
            </w:r>
          </w:p>
        </w:tc>
        <w:tc>
          <w:tcPr>
            <w:tcW w:w="0" w:type="dxa"/>
            <w:vAlign w:val="bottom"/>
          </w:tcPr>
          <w:p>
            <w:pPr>
              <w:spacing w:after="0"/>
              <w:rPr>
                <w:sz w:val="1"/>
                <w:szCs w:val="1"/>
                <w:color w:val="auto"/>
              </w:rPr>
            </w:pPr>
          </w:p>
        </w:tc>
      </w:tr>
      <w:tr>
        <w:trPr>
          <w:trHeight w:val="213"/>
        </w:trPr>
        <w:tc>
          <w:tcPr>
            <w:tcW w:w="656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Total basic and diluted earnings per share</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7.41</w:t>
            </w: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(0.94)</w:t>
            </w:r>
          </w:p>
        </w:tc>
        <w:tc>
          <w:tcPr>
            <w:tcW w:w="8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6.62</w:t>
            </w:r>
          </w:p>
        </w:tc>
        <w:tc>
          <w:tcPr>
            <w:tcW w:w="80" w:type="dxa"/>
            <w:vAlign w:val="bottom"/>
          </w:tcPr>
          <w:p>
            <w:pPr>
              <w:spacing w:after="0"/>
              <w:rPr>
                <w:sz w:val="18"/>
                <w:szCs w:val="18"/>
                <w:color w:val="auto"/>
              </w:rPr>
            </w:pPr>
          </w:p>
        </w:tc>
        <w:tc>
          <w:tcPr>
            <w:tcW w:w="26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(0.83)</w:t>
            </w:r>
          </w:p>
        </w:tc>
        <w:tc>
          <w:tcPr>
            <w:tcW w:w="0" w:type="dxa"/>
            <w:vAlign w:val="bottom"/>
          </w:tcPr>
          <w:p>
            <w:pPr>
              <w:spacing w:after="0"/>
              <w:rPr>
                <w:sz w:val="1"/>
                <w:szCs w:val="1"/>
                <w:color w:val="auto"/>
              </w:rPr>
            </w:pPr>
          </w:p>
        </w:tc>
      </w:tr>
      <w:tr>
        <w:trPr>
          <w:trHeight w:val="20"/>
        </w:trPr>
        <w:tc>
          <w:tcPr>
            <w:tcW w:w="65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8"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For the three months ended September 30, 2024, due to the net loss from continuing operations attributable to NCR Voyix common stockholders, potential common shares that would have caused dilution, such as the Series A Convertible Preferred Stock, restricted stock units and stock options, have been excluded from the diluted share count because their effect would have been anti-dilutive. The weighted average outstanding shares of common stock were not adjusted by 15.9 million for the as-if converted Series A Preferred Stock because their effect would have been anti-dilutive. Additionally, weighted average restricted stock units and stock options of 10.2 million were excluded from the diluted share count because their effect would have been anti-dilutive.</w:t>
      </w:r>
    </w:p>
    <w:p>
      <w:pPr>
        <w:spacing w:after="0" w:line="195"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For the three months ended September 30, 2023, due to the net loss from continuing operations attributable to NCR Voyix common stockholders, shares related to the as-if converted Series A Convertible Preferred Stock of 9.2 million were excluded from the diluted share count because their effect would have been anti-dilutive. Additionally, weighted average restricted stock units and stock options of 10.9 million were excluded from the diluted share count because their effect would have been anti-dilutive.</w:t>
      </w:r>
    </w:p>
    <w:p>
      <w:pPr>
        <w:spacing w:after="0" w:line="193"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For the nine months ended September 30, 2024, due to the net loss from continuing operations attributable to NCR Voyix common stockholders, potential common shares that would have caused dilution, such as the Series A Convertible Preferred Stock, restricted stock units and stock options, have been excluded from the diluted share count because their effect would have been anti-dilutive. The weighted average outstanding shares of common stock were not adjusted by 15.9 million for the as-if converted Series A Preferred Stock because their effect would have been anti-dilutive. Additionally, for the nine months ended September 30, 2024, weighted average restricted stock units and stock options of 10.3 million were excluded from the diluted share count because their effect would have been anti-dilutive.</w:t>
      </w:r>
    </w:p>
    <w:p>
      <w:pPr>
        <w:spacing w:after="0" w:line="198"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For the nine months ended September 30, 2023, due to the net loss from continuing operations attributable to NCR Voyix common stockholders, shares related to the as-if converted Series A Convertible Preferred Stock of 9.2 million were excluded from the dilution share count because their effect would have anti-dilutive. Additionally, for the nine months ended September 30, 2023, weighted average restricted stock units and stock options of 14.5 million were excluded from the diluted share count because their effect would have been anti-dilutive.</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13. DERIVATIVES AND HEDGING INSTRUMENTS</w:t>
      </w:r>
    </w:p>
    <w:p>
      <w:pPr>
        <w:spacing w:after="0" w:line="247"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The Company is exposed to certain risks arising from both our business operations and economic conditions. We principally manage exposures to a wide variety of business and operational risk through management of core business activities. We manage interest rate risk associated with floating rate-debt by managing the amount, sources, and duration of debt funding and the use of derivative financial instruments. The Company has historically used interest rate cap agreements or interest rate swap</w:t>
      </w: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3435" cy="419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1" w:name="page32"/>
    <w:bookmarkEnd w:id="31"/>
    <w:p>
      <w:pPr>
        <w:ind w:left="62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NCR Voyix Corporation</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 (Unaudited)—(Continued)</w:t>
      </w:r>
    </w:p>
    <w:p>
      <w:pPr>
        <w:spacing w:after="0" w:line="200" w:lineRule="exact"/>
        <w:rPr>
          <w:sz w:val="20"/>
          <w:szCs w:val="20"/>
          <w:color w:val="auto"/>
        </w:rPr>
      </w:pPr>
    </w:p>
    <w:p>
      <w:pPr>
        <w:spacing w:after="0" w:line="221"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7"/>
          <w:szCs w:val="17"/>
          <w:color w:val="auto"/>
        </w:rPr>
        <w:t>contracts (“Interest Rate Derivatives”) to manage differences in the amount, timing and duration of known or expected cash payments related to floating rate-debt agreements.</w:t>
      </w:r>
    </w:p>
    <w:p>
      <w:pPr>
        <w:spacing w:after="0" w:line="173"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Further, a portion of our operations and revenue occur outside the United States and, as such, the Company has exposure to approximately 30 functional currencies. Our results can be significantly impacted, both positively and negatively, by changes in foreign currency exchange rates. The Company seeks to mitigate such impact by hedging its foreign currency transaction exposure using foreign currency forward and option contracts. We do not enter into hedges for speculative purposes.</w:t>
      </w:r>
    </w:p>
    <w:p>
      <w:pPr>
        <w:spacing w:after="0" w:line="191"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7"/>
          <w:szCs w:val="17"/>
          <w:b w:val="1"/>
          <w:bCs w:val="1"/>
          <w:color w:val="auto"/>
        </w:rPr>
        <w:t xml:space="preserve">Foreign Currency Exchange Risk </w:t>
      </w:r>
      <w:r>
        <w:rPr>
          <w:rFonts w:ascii="Times New Roman" w:cs="Times New Roman" w:eastAsia="Times New Roman" w:hAnsi="Times New Roman"/>
          <w:sz w:val="17"/>
          <w:szCs w:val="17"/>
          <w:color w:val="auto"/>
        </w:rPr>
        <w:t>We utilize foreign exchange contracts to hedge our exposure of assets and liabilities denominated in non-functional</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currencies. We recognize the gains and losses on these types of hedges in earnings as exchange rates change.</w:t>
      </w:r>
    </w:p>
    <w:p>
      <w:pPr>
        <w:spacing w:after="0" w:line="17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Historically, our risk management strategy included hedging, on behalf of certain subsidiaries, a portion of our forecasted, non-functional currency denominated cash flows for a period of up to 15 months. If the hedge was designated as a highly effective cash flow hedge, the gains or losses were deferred into accumulated other comprehensive income (“AOCI”). The gains or losses from derivative contracts that were designated as highly effective cash flow hedges related to inventory purchases were recorded in cost of products when the inventory is sold to an unrelated third party. Otherwise, they were recorded in earnings when the exchange rates change. As of September 30, 2024 and December 31, 2023, the balance in AOCI related to foreign exchange derivative transactions was zero.</w:t>
      </w:r>
    </w:p>
    <w:p>
      <w:pPr>
        <w:spacing w:after="0" w:line="195"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7"/>
          <w:szCs w:val="17"/>
          <w:color w:val="auto"/>
        </w:rPr>
        <w:t>The accounting guidance for derivatives and hedging requires companies to recognize all derivative instruments as either assets or liabilities at fair value in the Condensed Consolidated Balance Sheets. The Company designates foreign exchange contracts as cash flow hedges of forecasted transactions when they are determined to be highly effective at inception.</w:t>
      </w:r>
    </w:p>
    <w:p>
      <w:pPr>
        <w:spacing w:after="0" w:line="187"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7"/>
          <w:szCs w:val="17"/>
          <w:b w:val="1"/>
          <w:bCs w:val="1"/>
          <w:color w:val="auto"/>
        </w:rPr>
        <w:t xml:space="preserve">Interest Rate Risk </w:t>
      </w:r>
      <w:r>
        <w:rPr>
          <w:rFonts w:ascii="Times New Roman" w:cs="Times New Roman" w:eastAsia="Times New Roman" w:hAnsi="Times New Roman"/>
          <w:sz w:val="17"/>
          <w:szCs w:val="17"/>
          <w:color w:val="auto"/>
        </w:rPr>
        <w:t>We historically utilized interest rate swap contracts or interest rate cap agreements to add stability to interest cost and to manage exposure to</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interest rate movements as part of our interest rate risk management strategy.</w:t>
      </w:r>
    </w:p>
    <w:p>
      <w:pPr>
        <w:spacing w:after="0" w:line="171"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7"/>
          <w:szCs w:val="17"/>
          <w:color w:val="auto"/>
        </w:rPr>
        <w:t>The Company designates Interest Rate Derivative contracts as cash flow hedges of forecasted transactions when they are determined to be highly effective at inception. Payments and receipts related to Interest Rate Derivatives are included in cash flows from operating activities in the Condensed Consolidated Statements of Cash Flows.</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3435" cy="419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2" w:name="page33"/>
    <w:bookmarkEnd w:id="32"/>
    <w:p>
      <w:pPr>
        <w:ind w:left="62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NCR Voyix Corporation</w:t>
      </w:r>
    </w:p>
    <w:p>
      <w:pPr>
        <w:spacing w:after="0" w:line="2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 (Unaudited)—(Continued)</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tables provide information on the location and amounts of derivative fair values in the Condensed Consolidated Balance Sheets: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412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460" w:type="dxa"/>
            <w:vAlign w:val="bottom"/>
            <w:gridSpan w:val="7"/>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w w:val="97"/>
              </w:rPr>
              <w:t>Fair Values of Derivative Instruments</w:t>
            </w: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4120" w:type="dxa"/>
            <w:vAlign w:val="bottom"/>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560" w:type="dxa"/>
            <w:vAlign w:val="bottom"/>
            <w:tcBorders>
              <w:bottom w:val="single" w:sz="8" w:color="auto"/>
            </w:tcBorders>
            <w:gridSpan w:val="4"/>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2"/>
        </w:trPr>
        <w:tc>
          <w:tcPr>
            <w:tcW w:w="4120" w:type="dxa"/>
            <w:vAlign w:val="bottom"/>
          </w:tcPr>
          <w:p>
            <w:pPr>
              <w:spacing w:after="0"/>
              <w:rPr>
                <w:sz w:val="15"/>
                <w:szCs w:val="15"/>
                <w:color w:val="auto"/>
              </w:rPr>
            </w:pPr>
          </w:p>
        </w:tc>
        <w:tc>
          <w:tcPr>
            <w:tcW w:w="18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560" w:type="dxa"/>
            <w:vAlign w:val="bottom"/>
            <w:tcBorders>
              <w:bottom w:val="single" w:sz="8" w:color="auto"/>
            </w:tcBorders>
            <w:gridSpan w:val="4"/>
          </w:tcPr>
          <w:p>
            <w:pPr>
              <w:jc w:val="center"/>
              <w:ind w:right="1400"/>
              <w:spacing w:after="0"/>
              <w:rPr>
                <w:sz w:val="20"/>
                <w:szCs w:val="20"/>
                <w:color w:val="auto"/>
              </w:rPr>
            </w:pPr>
            <w:r>
              <w:rPr>
                <w:rFonts w:ascii="Times New Roman" w:cs="Times New Roman" w:eastAsia="Times New Roman" w:hAnsi="Times New Roman"/>
                <w:sz w:val="14"/>
                <w:szCs w:val="14"/>
                <w:b w:val="1"/>
                <w:bCs w:val="1"/>
                <w:color w:val="auto"/>
                <w:w w:val="99"/>
              </w:rPr>
              <w:t>September 30, 2024</w:t>
            </w:r>
          </w:p>
        </w:tc>
        <w:tc>
          <w:tcPr>
            <w:tcW w:w="1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67"/>
        </w:trPr>
        <w:tc>
          <w:tcPr>
            <w:tcW w:w="41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9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8"/>
              </w:rPr>
              <w:t>Balance Sheet</w:t>
            </w:r>
          </w:p>
        </w:tc>
        <w:tc>
          <w:tcPr>
            <w:tcW w:w="140" w:type="dxa"/>
            <w:vAlign w:val="bottom"/>
          </w:tcPr>
          <w:p>
            <w:pPr>
              <w:spacing w:after="0"/>
              <w:rPr>
                <w:sz w:val="14"/>
                <w:szCs w:val="14"/>
                <w:color w:val="auto"/>
              </w:rPr>
            </w:pPr>
          </w:p>
        </w:tc>
        <w:tc>
          <w:tcPr>
            <w:tcW w:w="7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Notional</w:t>
            </w:r>
          </w:p>
        </w:tc>
        <w:tc>
          <w:tcPr>
            <w:tcW w:w="120" w:type="dxa"/>
            <w:vAlign w:val="bottom"/>
          </w:tcPr>
          <w:p>
            <w:pPr>
              <w:spacing w:after="0"/>
              <w:rPr>
                <w:sz w:val="14"/>
                <w:szCs w:val="14"/>
                <w:color w:val="auto"/>
              </w:rPr>
            </w:pPr>
          </w:p>
        </w:tc>
        <w:tc>
          <w:tcPr>
            <w:tcW w:w="540" w:type="dxa"/>
            <w:vAlign w:val="bottom"/>
          </w:tcPr>
          <w:p>
            <w:pPr>
              <w:jc w:val="center"/>
              <w:ind w:right="42"/>
              <w:spacing w:after="0"/>
              <w:rPr>
                <w:sz w:val="20"/>
                <w:szCs w:val="20"/>
                <w:color w:val="auto"/>
              </w:rPr>
            </w:pPr>
            <w:r>
              <w:rPr>
                <w:rFonts w:ascii="Times New Roman" w:cs="Times New Roman" w:eastAsia="Times New Roman" w:hAnsi="Times New Roman"/>
                <w:sz w:val="14"/>
                <w:szCs w:val="14"/>
                <w:b w:val="1"/>
                <w:bCs w:val="1"/>
                <w:color w:val="auto"/>
              </w:rPr>
              <w:t>Fair</w:t>
            </w:r>
          </w:p>
        </w:tc>
        <w:tc>
          <w:tcPr>
            <w:tcW w:w="100" w:type="dxa"/>
            <w:vAlign w:val="bottom"/>
          </w:tcPr>
          <w:p>
            <w:pPr>
              <w:spacing w:after="0"/>
              <w:rPr>
                <w:sz w:val="14"/>
                <w:szCs w:val="14"/>
                <w:color w:val="auto"/>
              </w:rPr>
            </w:pPr>
          </w:p>
        </w:tc>
        <w:tc>
          <w:tcPr>
            <w:tcW w:w="19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8"/>
              </w:rPr>
              <w:t>Balance Sheet</w:t>
            </w:r>
          </w:p>
        </w:tc>
        <w:tc>
          <w:tcPr>
            <w:tcW w:w="120" w:type="dxa"/>
            <w:vAlign w:val="bottom"/>
          </w:tcPr>
          <w:p>
            <w:pPr>
              <w:spacing w:after="0"/>
              <w:rPr>
                <w:sz w:val="14"/>
                <w:szCs w:val="14"/>
                <w:color w:val="auto"/>
              </w:rPr>
            </w:pPr>
          </w:p>
        </w:tc>
        <w:tc>
          <w:tcPr>
            <w:tcW w:w="7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Notional</w:t>
            </w:r>
          </w:p>
        </w:tc>
        <w:tc>
          <w:tcPr>
            <w:tcW w:w="140" w:type="dxa"/>
            <w:vAlign w:val="bottom"/>
          </w:tcPr>
          <w:p>
            <w:pPr>
              <w:spacing w:after="0"/>
              <w:rPr>
                <w:sz w:val="14"/>
                <w:szCs w:val="14"/>
                <w:color w:val="auto"/>
              </w:rPr>
            </w:pPr>
          </w:p>
        </w:tc>
        <w:tc>
          <w:tcPr>
            <w:tcW w:w="520" w:type="dxa"/>
            <w:vAlign w:val="bottom"/>
          </w:tcPr>
          <w:p>
            <w:pPr>
              <w:jc w:val="center"/>
              <w:ind w:right="61"/>
              <w:spacing w:after="0"/>
              <w:rPr>
                <w:sz w:val="20"/>
                <w:szCs w:val="20"/>
                <w:color w:val="auto"/>
              </w:rPr>
            </w:pPr>
            <w:r>
              <w:rPr>
                <w:rFonts w:ascii="Times New Roman" w:cs="Times New Roman" w:eastAsia="Times New Roman" w:hAnsi="Times New Roman"/>
                <w:sz w:val="14"/>
                <w:szCs w:val="14"/>
                <w:b w:val="1"/>
                <w:bCs w:val="1"/>
                <w:color w:val="auto"/>
              </w:rPr>
              <w:t>Fair</w:t>
            </w:r>
          </w:p>
        </w:tc>
        <w:tc>
          <w:tcPr>
            <w:tcW w:w="0" w:type="dxa"/>
            <w:vAlign w:val="bottom"/>
          </w:tcPr>
          <w:p>
            <w:pPr>
              <w:spacing w:after="0"/>
              <w:rPr>
                <w:sz w:val="1"/>
                <w:szCs w:val="1"/>
                <w:color w:val="auto"/>
              </w:rPr>
            </w:pPr>
          </w:p>
        </w:tc>
      </w:tr>
      <w:tr>
        <w:trPr>
          <w:trHeight w:val="189"/>
        </w:trPr>
        <w:tc>
          <w:tcPr>
            <w:tcW w:w="4120" w:type="dxa"/>
            <w:vAlign w:val="bottom"/>
            <w:vMerge w:val="continue"/>
          </w:tcPr>
          <w:p>
            <w:pPr>
              <w:spacing w:after="0"/>
              <w:rPr>
                <w:sz w:val="16"/>
                <w:szCs w:val="16"/>
                <w:color w:val="auto"/>
              </w:rPr>
            </w:pPr>
          </w:p>
        </w:tc>
        <w:tc>
          <w:tcPr>
            <w:tcW w:w="19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8"/>
              </w:rPr>
              <w:t>Location</w:t>
            </w:r>
          </w:p>
        </w:tc>
        <w:tc>
          <w:tcPr>
            <w:tcW w:w="140" w:type="dxa"/>
            <w:vAlign w:val="bottom"/>
          </w:tcPr>
          <w:p>
            <w:pPr>
              <w:spacing w:after="0"/>
              <w:rPr>
                <w:sz w:val="16"/>
                <w:szCs w:val="16"/>
                <w:color w:val="auto"/>
              </w:rPr>
            </w:pPr>
          </w:p>
        </w:tc>
        <w:tc>
          <w:tcPr>
            <w:tcW w:w="7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16"/>
                <w:szCs w:val="16"/>
                <w:color w:val="auto"/>
              </w:rPr>
            </w:pPr>
          </w:p>
        </w:tc>
        <w:tc>
          <w:tcPr>
            <w:tcW w:w="540" w:type="dxa"/>
            <w:vAlign w:val="bottom"/>
          </w:tcPr>
          <w:p>
            <w:pPr>
              <w:jc w:val="center"/>
              <w:ind w:right="42"/>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100" w:type="dxa"/>
            <w:vAlign w:val="bottom"/>
          </w:tcPr>
          <w:p>
            <w:pPr>
              <w:spacing w:after="0"/>
              <w:rPr>
                <w:sz w:val="16"/>
                <w:szCs w:val="16"/>
                <w:color w:val="auto"/>
              </w:rPr>
            </w:pPr>
          </w:p>
        </w:tc>
        <w:tc>
          <w:tcPr>
            <w:tcW w:w="19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8"/>
              </w:rPr>
              <w:t>Location</w:t>
            </w:r>
          </w:p>
        </w:tc>
        <w:tc>
          <w:tcPr>
            <w:tcW w:w="120" w:type="dxa"/>
            <w:vAlign w:val="bottom"/>
          </w:tcPr>
          <w:p>
            <w:pPr>
              <w:spacing w:after="0"/>
              <w:rPr>
                <w:sz w:val="16"/>
                <w:szCs w:val="16"/>
                <w:color w:val="auto"/>
              </w:rPr>
            </w:pPr>
          </w:p>
        </w:tc>
        <w:tc>
          <w:tcPr>
            <w:tcW w:w="78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40" w:type="dxa"/>
            <w:vAlign w:val="bottom"/>
          </w:tcPr>
          <w:p>
            <w:pPr>
              <w:spacing w:after="0"/>
              <w:rPr>
                <w:sz w:val="16"/>
                <w:szCs w:val="16"/>
                <w:color w:val="auto"/>
              </w:rPr>
            </w:pPr>
          </w:p>
        </w:tc>
        <w:tc>
          <w:tcPr>
            <w:tcW w:w="520" w:type="dxa"/>
            <w:vAlign w:val="bottom"/>
          </w:tcPr>
          <w:p>
            <w:pPr>
              <w:jc w:val="center"/>
              <w:ind w:right="61"/>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0" w:type="dxa"/>
            <w:vAlign w:val="bottom"/>
          </w:tcPr>
          <w:p>
            <w:pPr>
              <w:spacing w:after="0"/>
              <w:rPr>
                <w:sz w:val="1"/>
                <w:szCs w:val="1"/>
                <w:color w:val="auto"/>
              </w:rPr>
            </w:pPr>
          </w:p>
        </w:tc>
      </w:tr>
      <w:tr>
        <w:trPr>
          <w:trHeight w:val="206"/>
        </w:trPr>
        <w:tc>
          <w:tcPr>
            <w:tcW w:w="41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Derivatives not designated as hedging instruments</w:t>
            </w:r>
          </w:p>
        </w:tc>
        <w:tc>
          <w:tcPr>
            <w:tcW w:w="18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9"/>
        </w:trPr>
        <w:tc>
          <w:tcPr>
            <w:tcW w:w="4120" w:type="dxa"/>
            <w:vAlign w:val="bottom"/>
          </w:tcPr>
          <w:p>
            <w:pPr>
              <w:ind w:left="20"/>
              <w:spacing w:after="0" w:line="168" w:lineRule="exact"/>
              <w:rPr>
                <w:sz w:val="20"/>
                <w:szCs w:val="20"/>
                <w:color w:val="auto"/>
              </w:rPr>
            </w:pPr>
            <w:r>
              <w:rPr>
                <w:rFonts w:ascii="Times New Roman" w:cs="Times New Roman" w:eastAsia="Times New Roman" w:hAnsi="Times New Roman"/>
                <w:sz w:val="17"/>
                <w:szCs w:val="17"/>
                <w:color w:val="auto"/>
              </w:rPr>
              <w:t>Foreign exchange contracts</w:t>
            </w:r>
          </w:p>
        </w:tc>
        <w:tc>
          <w:tcPr>
            <w:tcW w:w="1920" w:type="dxa"/>
            <w:vAlign w:val="bottom"/>
            <w:gridSpan w:val="2"/>
          </w:tcPr>
          <w:p>
            <w:pPr>
              <w:jc w:val="center"/>
              <w:ind w:right="120"/>
              <w:spacing w:after="0" w:line="168" w:lineRule="exact"/>
              <w:rPr>
                <w:sz w:val="20"/>
                <w:szCs w:val="20"/>
                <w:color w:val="auto"/>
              </w:rPr>
            </w:pPr>
            <w:r>
              <w:rPr>
                <w:rFonts w:ascii="Times New Roman" w:cs="Times New Roman" w:eastAsia="Times New Roman" w:hAnsi="Times New Roman"/>
                <w:sz w:val="17"/>
                <w:szCs w:val="17"/>
                <w:color w:val="auto"/>
              </w:rPr>
              <w:t>Prepaid and other current</w:t>
            </w: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540" w:type="dxa"/>
            <w:vAlign w:val="bottom"/>
            <w:vMerge w:val="restart"/>
          </w:tcPr>
          <w:p>
            <w:pPr>
              <w:jc w:val="right"/>
              <w:ind w:right="2"/>
              <w:spacing w:after="0"/>
              <w:rPr>
                <w:sz w:val="20"/>
                <w:szCs w:val="20"/>
                <w:color w:val="auto"/>
              </w:rPr>
            </w:pPr>
            <w:r>
              <w:rPr>
                <w:rFonts w:ascii="Times New Roman" w:cs="Times New Roman" w:eastAsia="Times New Roman" w:hAnsi="Times New Roman"/>
                <w:sz w:val="17"/>
                <w:szCs w:val="17"/>
                <w:b w:val="1"/>
                <w:bCs w:val="1"/>
                <w:color w:val="auto"/>
              </w:rPr>
              <w:t>—</w:t>
            </w:r>
          </w:p>
        </w:tc>
        <w:tc>
          <w:tcPr>
            <w:tcW w:w="10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520" w:type="dxa"/>
            <w:vAlign w:val="bottom"/>
            <w:vMerge w:val="restart"/>
          </w:tcPr>
          <w:p>
            <w:pPr>
              <w:ind w:left="280"/>
              <w:spacing w:after="0"/>
              <w:rPr>
                <w:sz w:val="20"/>
                <w:szCs w:val="20"/>
                <w:color w:val="auto"/>
              </w:rPr>
            </w:pPr>
            <w:r>
              <w:rPr>
                <w:rFonts w:ascii="Times New Roman" w:cs="Times New Roman" w:eastAsia="Times New Roman" w:hAnsi="Times New Roman"/>
                <w:sz w:val="17"/>
                <w:szCs w:val="17"/>
                <w:b w:val="1"/>
                <w:bCs w:val="1"/>
                <w:color w:val="auto"/>
              </w:rPr>
              <w:t>—</w:t>
            </w:r>
          </w:p>
        </w:tc>
        <w:tc>
          <w:tcPr>
            <w:tcW w:w="0" w:type="dxa"/>
            <w:vAlign w:val="bottom"/>
          </w:tcPr>
          <w:p>
            <w:pPr>
              <w:spacing w:after="0"/>
              <w:rPr>
                <w:sz w:val="1"/>
                <w:szCs w:val="1"/>
                <w:color w:val="auto"/>
              </w:rPr>
            </w:pPr>
          </w:p>
        </w:tc>
      </w:tr>
      <w:tr>
        <w:trPr>
          <w:trHeight w:val="233"/>
        </w:trPr>
        <w:tc>
          <w:tcPr>
            <w:tcW w:w="4120" w:type="dxa"/>
            <w:vAlign w:val="bottom"/>
            <w:tcBorders>
              <w:bottom w:val="single" w:sz="8" w:color="CCEEFF"/>
            </w:tcBorders>
          </w:tcPr>
          <w:p>
            <w:pPr>
              <w:spacing w:after="0"/>
              <w:rPr>
                <w:sz w:val="20"/>
                <w:szCs w:val="20"/>
                <w:color w:val="auto"/>
              </w:rPr>
            </w:pPr>
          </w:p>
        </w:tc>
        <w:tc>
          <w:tcPr>
            <w:tcW w:w="19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7"/>
                <w:szCs w:val="17"/>
                <w:color w:val="auto"/>
              </w:rPr>
              <w:t>assets</w:t>
            </w:r>
          </w:p>
        </w:tc>
        <w:tc>
          <w:tcPr>
            <w:tcW w:w="140" w:type="dxa"/>
            <w:vAlign w:val="bottom"/>
            <w:tcBorders>
              <w:bottom w:val="single" w:sz="8" w:color="CCEEFF"/>
            </w:tcBorders>
          </w:tcPr>
          <w:p>
            <w:pPr>
              <w:spacing w:after="0"/>
              <w:rPr>
                <w:sz w:val="20"/>
                <w:szCs w:val="20"/>
                <w:color w:val="auto"/>
              </w:rPr>
            </w:pPr>
          </w:p>
        </w:tc>
        <w:tc>
          <w:tcPr>
            <w:tcW w:w="66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vMerge w:val="continue"/>
          </w:tcPr>
          <w:p>
            <w:pPr>
              <w:spacing w:after="0"/>
              <w:rPr>
                <w:sz w:val="20"/>
                <w:szCs w:val="20"/>
                <w:color w:val="auto"/>
              </w:rPr>
            </w:pPr>
          </w:p>
        </w:tc>
        <w:tc>
          <w:tcPr>
            <w:tcW w:w="540" w:type="dxa"/>
            <w:vAlign w:val="bottom"/>
            <w:tcBorders>
              <w:bottom w:val="single" w:sz="8" w:color="auto"/>
            </w:tcBorders>
            <w:vMerge w:val="continue"/>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9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7"/>
                <w:szCs w:val="17"/>
                <w:color w:val="auto"/>
              </w:rPr>
              <w:t>Other current liabilities</w:t>
            </w:r>
          </w:p>
        </w:tc>
        <w:tc>
          <w:tcPr>
            <w:tcW w:w="120" w:type="dxa"/>
            <w:vAlign w:val="bottom"/>
            <w:tcBorders>
              <w:bottom w:val="single" w:sz="8" w:color="CCEEFF"/>
            </w:tcBorders>
          </w:tcPr>
          <w:p>
            <w:pPr>
              <w:spacing w:after="0"/>
              <w:rPr>
                <w:sz w:val="20"/>
                <w:szCs w:val="20"/>
                <w:color w:val="auto"/>
              </w:rPr>
            </w:pPr>
          </w:p>
        </w:tc>
        <w:tc>
          <w:tcPr>
            <w:tcW w:w="68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vMerge w:val="continue"/>
          </w:tcPr>
          <w:p>
            <w:pPr>
              <w:spacing w:after="0"/>
              <w:rPr>
                <w:sz w:val="20"/>
                <w:szCs w:val="20"/>
                <w:color w:val="auto"/>
              </w:rPr>
            </w:pPr>
          </w:p>
        </w:tc>
        <w:tc>
          <w:tcPr>
            <w:tcW w:w="52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Total foreign exchange contracts</w:t>
            </w:r>
          </w:p>
        </w:tc>
        <w:tc>
          <w:tcPr>
            <w:tcW w:w="1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b w:val="1"/>
                <w:bCs w:val="1"/>
                <w:color w:val="auto"/>
              </w:rPr>
              <w:t>—</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54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7"/>
                <w:szCs w:val="17"/>
                <w:b w:val="1"/>
                <w:bCs w:val="1"/>
                <w:color w:val="auto"/>
              </w:rPr>
              <w:t>—</w:t>
            </w:r>
          </w:p>
        </w:tc>
        <w:tc>
          <w:tcPr>
            <w:tcW w:w="10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38</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520" w:type="dxa"/>
            <w:vAlign w:val="bottom"/>
            <w:tcBorders>
              <w:bottom w:val="single" w:sz="8" w:color="auto"/>
            </w:tcBorders>
            <w:shd w:val="clear" w:color="auto" w:fill="CCEEFF"/>
          </w:tcPr>
          <w:p>
            <w:pPr>
              <w:ind w:left="280"/>
              <w:spacing w:after="0"/>
              <w:rPr>
                <w:sz w:val="20"/>
                <w:szCs w:val="20"/>
                <w:color w:val="auto"/>
              </w:rPr>
            </w:pPr>
            <w:r>
              <w:rPr>
                <w:rFonts w:ascii="Times New Roman" w:cs="Times New Roman" w:eastAsia="Times New Roman" w:hAnsi="Times New Roman"/>
                <w:sz w:val="17"/>
                <w:szCs w:val="17"/>
                <w:b w:val="1"/>
                <w:bCs w:val="1"/>
                <w:color w:val="auto"/>
              </w:rPr>
              <w:t>—</w:t>
            </w:r>
          </w:p>
        </w:tc>
        <w:tc>
          <w:tcPr>
            <w:tcW w:w="0" w:type="dxa"/>
            <w:vAlign w:val="bottom"/>
          </w:tcPr>
          <w:p>
            <w:pPr>
              <w:spacing w:after="0"/>
              <w:rPr>
                <w:sz w:val="1"/>
                <w:szCs w:val="1"/>
                <w:color w:val="auto"/>
              </w:rPr>
            </w:pPr>
          </w:p>
        </w:tc>
      </w:tr>
      <w:tr>
        <w:trPr>
          <w:trHeight w:val="149"/>
        </w:trPr>
        <w:tc>
          <w:tcPr>
            <w:tcW w:w="4120" w:type="dxa"/>
            <w:vAlign w:val="bottom"/>
          </w:tcPr>
          <w:p>
            <w:pPr>
              <w:ind w:left="20"/>
              <w:spacing w:after="0" w:line="149" w:lineRule="exact"/>
              <w:rPr>
                <w:sz w:val="20"/>
                <w:szCs w:val="20"/>
                <w:color w:val="auto"/>
              </w:rPr>
            </w:pPr>
            <w:r>
              <w:rPr>
                <w:rFonts w:ascii="Times New Roman" w:cs="Times New Roman" w:eastAsia="Times New Roman" w:hAnsi="Times New Roman"/>
                <w:sz w:val="17"/>
                <w:szCs w:val="17"/>
                <w:b w:val="1"/>
                <w:bCs w:val="1"/>
                <w:color w:val="auto"/>
              </w:rPr>
              <w:t>Total derivatives not designated as hedging</w:t>
            </w:r>
          </w:p>
        </w:tc>
        <w:tc>
          <w:tcPr>
            <w:tcW w:w="1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540" w:type="dxa"/>
            <w:vAlign w:val="bottom"/>
            <w:vMerge w:val="restart"/>
          </w:tcPr>
          <w:p>
            <w:pPr>
              <w:jc w:val="right"/>
              <w:ind w:right="2"/>
              <w:spacing w:after="0"/>
              <w:rPr>
                <w:sz w:val="20"/>
                <w:szCs w:val="20"/>
                <w:color w:val="auto"/>
              </w:rPr>
            </w:pPr>
            <w:r>
              <w:rPr>
                <w:rFonts w:ascii="Times New Roman" w:cs="Times New Roman" w:eastAsia="Times New Roman" w:hAnsi="Times New Roman"/>
                <w:sz w:val="17"/>
                <w:szCs w:val="17"/>
                <w:b w:val="1"/>
                <w:bCs w:val="1"/>
                <w:color w:val="auto"/>
              </w:rPr>
              <w:t>—</w:t>
            </w:r>
          </w:p>
        </w:tc>
        <w:tc>
          <w:tcPr>
            <w:tcW w:w="10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520" w:type="dxa"/>
            <w:vAlign w:val="bottom"/>
            <w:vMerge w:val="restart"/>
          </w:tcPr>
          <w:p>
            <w:pPr>
              <w:ind w:left="280"/>
              <w:spacing w:after="0"/>
              <w:rPr>
                <w:sz w:val="20"/>
                <w:szCs w:val="20"/>
                <w:color w:val="auto"/>
              </w:rPr>
            </w:pPr>
            <w:r>
              <w:rPr>
                <w:rFonts w:ascii="Times New Roman" w:cs="Times New Roman" w:eastAsia="Times New Roman" w:hAnsi="Times New Roman"/>
                <w:sz w:val="17"/>
                <w:szCs w:val="17"/>
                <w:b w:val="1"/>
                <w:bCs w:val="1"/>
                <w:color w:val="auto"/>
              </w:rPr>
              <w:t>—</w:t>
            </w:r>
          </w:p>
        </w:tc>
        <w:tc>
          <w:tcPr>
            <w:tcW w:w="0" w:type="dxa"/>
            <w:vAlign w:val="bottom"/>
          </w:tcPr>
          <w:p>
            <w:pPr>
              <w:spacing w:after="0"/>
              <w:rPr>
                <w:sz w:val="1"/>
                <w:szCs w:val="1"/>
                <w:color w:val="auto"/>
              </w:rPr>
            </w:pPr>
          </w:p>
        </w:tc>
      </w:tr>
      <w:tr>
        <w:trPr>
          <w:trHeight w:val="212"/>
        </w:trPr>
        <w:tc>
          <w:tcPr>
            <w:tcW w:w="412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instruments</w:t>
            </w:r>
          </w:p>
        </w:tc>
        <w:tc>
          <w:tcPr>
            <w:tcW w:w="1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bottom w:val="single" w:sz="8" w:color="auto"/>
            </w:tcBorders>
            <w:vMerge w:val="continue"/>
          </w:tcPr>
          <w:p>
            <w:pPr>
              <w:spacing w:after="0"/>
              <w:rPr>
                <w:sz w:val="18"/>
                <w:szCs w:val="18"/>
                <w:color w:val="auto"/>
              </w:rPr>
            </w:pPr>
          </w:p>
        </w:tc>
        <w:tc>
          <w:tcPr>
            <w:tcW w:w="54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vMerge w:val="continue"/>
          </w:tcPr>
          <w:p>
            <w:pPr>
              <w:spacing w:after="0"/>
              <w:rPr>
                <w:sz w:val="18"/>
                <w:szCs w:val="18"/>
                <w:color w:val="auto"/>
              </w:rPr>
            </w:pPr>
          </w:p>
        </w:tc>
        <w:tc>
          <w:tcPr>
            <w:tcW w:w="5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660" w:type="dxa"/>
            <w:vAlign w:val="bottom"/>
            <w:tcBorders>
              <w:bottom w:val="single" w:sz="8" w:color="auto"/>
            </w:tcBorders>
            <w:gridSpan w:val="2"/>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91"/>
        </w:trPr>
        <w:tc>
          <w:tcPr>
            <w:tcW w:w="41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60" w:type="dxa"/>
            <w:vAlign w:val="bottom"/>
            <w:gridSpan w:val="7"/>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w w:val="97"/>
              </w:rPr>
              <w:t>Fair Values of Derivative Instruments</w:t>
            </w: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4120" w:type="dxa"/>
            <w:vAlign w:val="bottom"/>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560" w:type="dxa"/>
            <w:vAlign w:val="bottom"/>
            <w:tcBorders>
              <w:bottom w:val="single" w:sz="8" w:color="auto"/>
            </w:tcBorders>
            <w:gridSpan w:val="4"/>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2"/>
        </w:trPr>
        <w:tc>
          <w:tcPr>
            <w:tcW w:w="4120" w:type="dxa"/>
            <w:vAlign w:val="bottom"/>
          </w:tcPr>
          <w:p>
            <w:pPr>
              <w:spacing w:after="0"/>
              <w:rPr>
                <w:sz w:val="15"/>
                <w:szCs w:val="15"/>
                <w:color w:val="auto"/>
              </w:rPr>
            </w:pPr>
          </w:p>
        </w:tc>
        <w:tc>
          <w:tcPr>
            <w:tcW w:w="18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560" w:type="dxa"/>
            <w:vAlign w:val="bottom"/>
            <w:tcBorders>
              <w:bottom w:val="single" w:sz="8" w:color="auto"/>
            </w:tcBorders>
            <w:gridSpan w:val="4"/>
          </w:tcPr>
          <w:p>
            <w:pPr>
              <w:jc w:val="center"/>
              <w:ind w:right="1400"/>
              <w:spacing w:after="0"/>
              <w:rPr>
                <w:sz w:val="20"/>
                <w:szCs w:val="20"/>
                <w:color w:val="auto"/>
              </w:rPr>
            </w:pPr>
            <w:r>
              <w:rPr>
                <w:rFonts w:ascii="Times New Roman" w:cs="Times New Roman" w:eastAsia="Times New Roman" w:hAnsi="Times New Roman"/>
                <w:sz w:val="14"/>
                <w:szCs w:val="14"/>
                <w:b w:val="1"/>
                <w:bCs w:val="1"/>
                <w:color w:val="auto"/>
                <w:w w:val="98"/>
              </w:rPr>
              <w:t>December 31, 2023</w:t>
            </w:r>
          </w:p>
        </w:tc>
        <w:tc>
          <w:tcPr>
            <w:tcW w:w="1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67"/>
        </w:trPr>
        <w:tc>
          <w:tcPr>
            <w:tcW w:w="41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9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8"/>
              </w:rPr>
              <w:t>Balance Sheet</w:t>
            </w:r>
          </w:p>
        </w:tc>
        <w:tc>
          <w:tcPr>
            <w:tcW w:w="140" w:type="dxa"/>
            <w:vAlign w:val="bottom"/>
          </w:tcPr>
          <w:p>
            <w:pPr>
              <w:spacing w:after="0"/>
              <w:rPr>
                <w:sz w:val="14"/>
                <w:szCs w:val="14"/>
                <w:color w:val="auto"/>
              </w:rPr>
            </w:pPr>
          </w:p>
        </w:tc>
        <w:tc>
          <w:tcPr>
            <w:tcW w:w="7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Notional</w:t>
            </w:r>
          </w:p>
        </w:tc>
        <w:tc>
          <w:tcPr>
            <w:tcW w:w="120" w:type="dxa"/>
            <w:vAlign w:val="bottom"/>
          </w:tcPr>
          <w:p>
            <w:pPr>
              <w:spacing w:after="0"/>
              <w:rPr>
                <w:sz w:val="14"/>
                <w:szCs w:val="14"/>
                <w:color w:val="auto"/>
              </w:rPr>
            </w:pPr>
          </w:p>
        </w:tc>
        <w:tc>
          <w:tcPr>
            <w:tcW w:w="540" w:type="dxa"/>
            <w:vAlign w:val="bottom"/>
          </w:tcPr>
          <w:p>
            <w:pPr>
              <w:jc w:val="center"/>
              <w:ind w:right="42"/>
              <w:spacing w:after="0"/>
              <w:rPr>
                <w:sz w:val="20"/>
                <w:szCs w:val="20"/>
                <w:color w:val="auto"/>
              </w:rPr>
            </w:pPr>
            <w:r>
              <w:rPr>
                <w:rFonts w:ascii="Times New Roman" w:cs="Times New Roman" w:eastAsia="Times New Roman" w:hAnsi="Times New Roman"/>
                <w:sz w:val="14"/>
                <w:szCs w:val="14"/>
                <w:b w:val="1"/>
                <w:bCs w:val="1"/>
                <w:color w:val="auto"/>
              </w:rPr>
              <w:t>Fair</w:t>
            </w:r>
          </w:p>
        </w:tc>
        <w:tc>
          <w:tcPr>
            <w:tcW w:w="100" w:type="dxa"/>
            <w:vAlign w:val="bottom"/>
          </w:tcPr>
          <w:p>
            <w:pPr>
              <w:spacing w:after="0"/>
              <w:rPr>
                <w:sz w:val="14"/>
                <w:szCs w:val="14"/>
                <w:color w:val="auto"/>
              </w:rPr>
            </w:pPr>
          </w:p>
        </w:tc>
        <w:tc>
          <w:tcPr>
            <w:tcW w:w="19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8"/>
              </w:rPr>
              <w:t>Balance Sheet</w:t>
            </w:r>
          </w:p>
        </w:tc>
        <w:tc>
          <w:tcPr>
            <w:tcW w:w="120" w:type="dxa"/>
            <w:vAlign w:val="bottom"/>
          </w:tcPr>
          <w:p>
            <w:pPr>
              <w:spacing w:after="0"/>
              <w:rPr>
                <w:sz w:val="14"/>
                <w:szCs w:val="14"/>
                <w:color w:val="auto"/>
              </w:rPr>
            </w:pPr>
          </w:p>
        </w:tc>
        <w:tc>
          <w:tcPr>
            <w:tcW w:w="7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Notional</w:t>
            </w:r>
          </w:p>
        </w:tc>
        <w:tc>
          <w:tcPr>
            <w:tcW w:w="140" w:type="dxa"/>
            <w:vAlign w:val="bottom"/>
          </w:tcPr>
          <w:p>
            <w:pPr>
              <w:spacing w:after="0"/>
              <w:rPr>
                <w:sz w:val="14"/>
                <w:szCs w:val="14"/>
                <w:color w:val="auto"/>
              </w:rPr>
            </w:pPr>
          </w:p>
        </w:tc>
        <w:tc>
          <w:tcPr>
            <w:tcW w:w="520" w:type="dxa"/>
            <w:vAlign w:val="bottom"/>
          </w:tcPr>
          <w:p>
            <w:pPr>
              <w:jc w:val="center"/>
              <w:ind w:right="61"/>
              <w:spacing w:after="0"/>
              <w:rPr>
                <w:sz w:val="20"/>
                <w:szCs w:val="20"/>
                <w:color w:val="auto"/>
              </w:rPr>
            </w:pPr>
            <w:r>
              <w:rPr>
                <w:rFonts w:ascii="Times New Roman" w:cs="Times New Roman" w:eastAsia="Times New Roman" w:hAnsi="Times New Roman"/>
                <w:sz w:val="14"/>
                <w:szCs w:val="14"/>
                <w:b w:val="1"/>
                <w:bCs w:val="1"/>
                <w:color w:val="auto"/>
              </w:rPr>
              <w:t>Fair</w:t>
            </w:r>
          </w:p>
        </w:tc>
        <w:tc>
          <w:tcPr>
            <w:tcW w:w="0" w:type="dxa"/>
            <w:vAlign w:val="bottom"/>
          </w:tcPr>
          <w:p>
            <w:pPr>
              <w:spacing w:after="0"/>
              <w:rPr>
                <w:sz w:val="1"/>
                <w:szCs w:val="1"/>
                <w:color w:val="auto"/>
              </w:rPr>
            </w:pPr>
          </w:p>
        </w:tc>
      </w:tr>
      <w:tr>
        <w:trPr>
          <w:trHeight w:val="189"/>
        </w:trPr>
        <w:tc>
          <w:tcPr>
            <w:tcW w:w="4120" w:type="dxa"/>
            <w:vAlign w:val="bottom"/>
            <w:vMerge w:val="continue"/>
          </w:tcPr>
          <w:p>
            <w:pPr>
              <w:spacing w:after="0"/>
              <w:rPr>
                <w:sz w:val="16"/>
                <w:szCs w:val="16"/>
                <w:color w:val="auto"/>
              </w:rPr>
            </w:pPr>
          </w:p>
        </w:tc>
        <w:tc>
          <w:tcPr>
            <w:tcW w:w="19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8"/>
              </w:rPr>
              <w:t>Location</w:t>
            </w:r>
          </w:p>
        </w:tc>
        <w:tc>
          <w:tcPr>
            <w:tcW w:w="140" w:type="dxa"/>
            <w:vAlign w:val="bottom"/>
          </w:tcPr>
          <w:p>
            <w:pPr>
              <w:spacing w:after="0"/>
              <w:rPr>
                <w:sz w:val="16"/>
                <w:szCs w:val="16"/>
                <w:color w:val="auto"/>
              </w:rPr>
            </w:pPr>
          </w:p>
        </w:tc>
        <w:tc>
          <w:tcPr>
            <w:tcW w:w="7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16"/>
                <w:szCs w:val="16"/>
                <w:color w:val="auto"/>
              </w:rPr>
            </w:pPr>
          </w:p>
        </w:tc>
        <w:tc>
          <w:tcPr>
            <w:tcW w:w="540" w:type="dxa"/>
            <w:vAlign w:val="bottom"/>
          </w:tcPr>
          <w:p>
            <w:pPr>
              <w:jc w:val="center"/>
              <w:ind w:right="42"/>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100" w:type="dxa"/>
            <w:vAlign w:val="bottom"/>
          </w:tcPr>
          <w:p>
            <w:pPr>
              <w:spacing w:after="0"/>
              <w:rPr>
                <w:sz w:val="16"/>
                <w:szCs w:val="16"/>
                <w:color w:val="auto"/>
              </w:rPr>
            </w:pPr>
          </w:p>
        </w:tc>
        <w:tc>
          <w:tcPr>
            <w:tcW w:w="19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8"/>
              </w:rPr>
              <w:t>Location</w:t>
            </w:r>
          </w:p>
        </w:tc>
        <w:tc>
          <w:tcPr>
            <w:tcW w:w="120" w:type="dxa"/>
            <w:vAlign w:val="bottom"/>
          </w:tcPr>
          <w:p>
            <w:pPr>
              <w:spacing w:after="0"/>
              <w:rPr>
                <w:sz w:val="16"/>
                <w:szCs w:val="16"/>
                <w:color w:val="auto"/>
              </w:rPr>
            </w:pPr>
          </w:p>
        </w:tc>
        <w:tc>
          <w:tcPr>
            <w:tcW w:w="78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40" w:type="dxa"/>
            <w:vAlign w:val="bottom"/>
          </w:tcPr>
          <w:p>
            <w:pPr>
              <w:spacing w:after="0"/>
              <w:rPr>
                <w:sz w:val="16"/>
                <w:szCs w:val="16"/>
                <w:color w:val="auto"/>
              </w:rPr>
            </w:pPr>
          </w:p>
        </w:tc>
        <w:tc>
          <w:tcPr>
            <w:tcW w:w="520" w:type="dxa"/>
            <w:vAlign w:val="bottom"/>
          </w:tcPr>
          <w:p>
            <w:pPr>
              <w:jc w:val="center"/>
              <w:ind w:right="61"/>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0" w:type="dxa"/>
            <w:vAlign w:val="bottom"/>
          </w:tcPr>
          <w:p>
            <w:pPr>
              <w:spacing w:after="0"/>
              <w:rPr>
                <w:sz w:val="1"/>
                <w:szCs w:val="1"/>
                <w:color w:val="auto"/>
              </w:rPr>
            </w:pPr>
          </w:p>
        </w:tc>
      </w:tr>
      <w:tr>
        <w:trPr>
          <w:trHeight w:val="206"/>
        </w:trPr>
        <w:tc>
          <w:tcPr>
            <w:tcW w:w="41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Derivatives not designated as hedging instruments</w:t>
            </w:r>
          </w:p>
        </w:tc>
        <w:tc>
          <w:tcPr>
            <w:tcW w:w="18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9"/>
        </w:trPr>
        <w:tc>
          <w:tcPr>
            <w:tcW w:w="4120" w:type="dxa"/>
            <w:vAlign w:val="bottom"/>
          </w:tcPr>
          <w:p>
            <w:pPr>
              <w:ind w:left="20"/>
              <w:spacing w:after="0" w:line="168" w:lineRule="exact"/>
              <w:rPr>
                <w:sz w:val="20"/>
                <w:szCs w:val="20"/>
                <w:color w:val="auto"/>
              </w:rPr>
            </w:pPr>
            <w:r>
              <w:rPr>
                <w:rFonts w:ascii="Times New Roman" w:cs="Times New Roman" w:eastAsia="Times New Roman" w:hAnsi="Times New Roman"/>
                <w:sz w:val="17"/>
                <w:szCs w:val="17"/>
                <w:color w:val="auto"/>
              </w:rPr>
              <w:t>Foreign exchange contracts</w:t>
            </w:r>
          </w:p>
        </w:tc>
        <w:tc>
          <w:tcPr>
            <w:tcW w:w="1920" w:type="dxa"/>
            <w:vAlign w:val="bottom"/>
            <w:gridSpan w:val="2"/>
          </w:tcPr>
          <w:p>
            <w:pPr>
              <w:jc w:val="center"/>
              <w:ind w:right="120"/>
              <w:spacing w:after="0" w:line="168" w:lineRule="exact"/>
              <w:rPr>
                <w:sz w:val="20"/>
                <w:szCs w:val="20"/>
                <w:color w:val="auto"/>
              </w:rPr>
            </w:pPr>
            <w:r>
              <w:rPr>
                <w:rFonts w:ascii="Times New Roman" w:cs="Times New Roman" w:eastAsia="Times New Roman" w:hAnsi="Times New Roman"/>
                <w:sz w:val="17"/>
                <w:szCs w:val="17"/>
                <w:color w:val="auto"/>
              </w:rPr>
              <w:t>Prepaid and other current</w:t>
            </w: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3"/>
        </w:trPr>
        <w:tc>
          <w:tcPr>
            <w:tcW w:w="4120" w:type="dxa"/>
            <w:vAlign w:val="bottom"/>
            <w:tcBorders>
              <w:bottom w:val="single" w:sz="8" w:color="CCEEFF"/>
            </w:tcBorders>
          </w:tcPr>
          <w:p>
            <w:pPr>
              <w:spacing w:after="0"/>
              <w:rPr>
                <w:sz w:val="20"/>
                <w:szCs w:val="20"/>
                <w:color w:val="auto"/>
              </w:rPr>
            </w:pPr>
          </w:p>
        </w:tc>
        <w:tc>
          <w:tcPr>
            <w:tcW w:w="19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7"/>
                <w:szCs w:val="17"/>
                <w:color w:val="auto"/>
              </w:rPr>
              <w:t>assets</w:t>
            </w:r>
          </w:p>
        </w:tc>
        <w:tc>
          <w:tcPr>
            <w:tcW w:w="140" w:type="dxa"/>
            <w:vAlign w:val="bottom"/>
            <w:tcBorders>
              <w:bottom w:val="single" w:sz="8" w:color="CCEEFF"/>
            </w:tcBorders>
          </w:tcPr>
          <w:p>
            <w:pPr>
              <w:spacing w:after="0"/>
              <w:rPr>
                <w:sz w:val="20"/>
                <w:szCs w:val="20"/>
                <w:color w:val="auto"/>
              </w:rPr>
            </w:pPr>
          </w:p>
        </w:tc>
        <w:tc>
          <w:tcPr>
            <w:tcW w:w="66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54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7"/>
                <w:szCs w:val="17"/>
                <w:color w:val="auto"/>
              </w:rPr>
              <w:t>5</w:t>
            </w:r>
          </w:p>
        </w:tc>
        <w:tc>
          <w:tcPr>
            <w:tcW w:w="100" w:type="dxa"/>
            <w:vAlign w:val="bottom"/>
            <w:tcBorders>
              <w:bottom w:val="single" w:sz="8" w:color="CCEEFF"/>
            </w:tcBorders>
          </w:tcPr>
          <w:p>
            <w:pPr>
              <w:spacing w:after="0"/>
              <w:rPr>
                <w:sz w:val="20"/>
                <w:szCs w:val="20"/>
                <w:color w:val="auto"/>
              </w:rPr>
            </w:pPr>
          </w:p>
        </w:tc>
        <w:tc>
          <w:tcPr>
            <w:tcW w:w="19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7"/>
                <w:szCs w:val="17"/>
                <w:color w:val="auto"/>
              </w:rPr>
              <w:t>Other current liabilities</w:t>
            </w:r>
          </w:p>
        </w:tc>
        <w:tc>
          <w:tcPr>
            <w:tcW w:w="120" w:type="dxa"/>
            <w:vAlign w:val="bottom"/>
            <w:tcBorders>
              <w:bottom w:val="single" w:sz="8" w:color="CCEEFF"/>
            </w:tcBorders>
          </w:tcPr>
          <w:p>
            <w:pPr>
              <w:spacing w:after="0"/>
              <w:rPr>
                <w:sz w:val="20"/>
                <w:szCs w:val="20"/>
                <w:color w:val="auto"/>
              </w:rPr>
            </w:pPr>
          </w:p>
        </w:tc>
        <w:tc>
          <w:tcPr>
            <w:tcW w:w="68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52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7"/>
                <w:szCs w:val="17"/>
                <w:color w:val="auto"/>
              </w:rPr>
              <w:t>(4)</w:t>
            </w:r>
          </w:p>
        </w:tc>
        <w:tc>
          <w:tcPr>
            <w:tcW w:w="0" w:type="dxa"/>
            <w:vAlign w:val="bottom"/>
          </w:tcPr>
          <w:p>
            <w:pPr>
              <w:spacing w:after="0"/>
              <w:rPr>
                <w:sz w:val="1"/>
                <w:szCs w:val="1"/>
                <w:color w:val="auto"/>
              </w:rPr>
            </w:pPr>
          </w:p>
        </w:tc>
      </w:tr>
      <w:tr>
        <w:trPr>
          <w:trHeight w:val="213"/>
        </w:trPr>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Total foreign exchange contracts</w:t>
            </w:r>
          </w:p>
        </w:tc>
        <w:tc>
          <w:tcPr>
            <w:tcW w:w="1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402</w:t>
            </w: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54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7"/>
                <w:szCs w:val="17"/>
                <w:color w:val="auto"/>
              </w:rPr>
              <w:t>5</w:t>
            </w:r>
          </w:p>
        </w:tc>
        <w:tc>
          <w:tcPr>
            <w:tcW w:w="10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207</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520" w:type="dxa"/>
            <w:vAlign w:val="bottom"/>
            <w:tcBorders>
              <w:bottom w:val="single" w:sz="8" w:color="auto"/>
            </w:tcBorders>
            <w:shd w:val="clear" w:color="auto" w:fill="CCEEFF"/>
          </w:tcPr>
          <w:p>
            <w:pPr>
              <w:ind w:left="300"/>
              <w:spacing w:after="0"/>
              <w:rPr>
                <w:sz w:val="20"/>
                <w:szCs w:val="20"/>
                <w:color w:val="auto"/>
              </w:rPr>
            </w:pPr>
            <w:r>
              <w:rPr>
                <w:rFonts w:ascii="Times New Roman" w:cs="Times New Roman" w:eastAsia="Times New Roman" w:hAnsi="Times New Roman"/>
                <w:sz w:val="17"/>
                <w:szCs w:val="17"/>
                <w:color w:val="auto"/>
              </w:rPr>
              <w:t>(4)</w:t>
            </w:r>
          </w:p>
        </w:tc>
        <w:tc>
          <w:tcPr>
            <w:tcW w:w="0" w:type="dxa"/>
            <w:vAlign w:val="bottom"/>
          </w:tcPr>
          <w:p>
            <w:pPr>
              <w:spacing w:after="0"/>
              <w:rPr>
                <w:sz w:val="1"/>
                <w:szCs w:val="1"/>
                <w:color w:val="auto"/>
              </w:rPr>
            </w:pPr>
          </w:p>
        </w:tc>
      </w:tr>
      <w:tr>
        <w:trPr>
          <w:trHeight w:val="149"/>
        </w:trPr>
        <w:tc>
          <w:tcPr>
            <w:tcW w:w="4120" w:type="dxa"/>
            <w:vAlign w:val="bottom"/>
          </w:tcPr>
          <w:p>
            <w:pPr>
              <w:ind w:left="20"/>
              <w:spacing w:after="0" w:line="149" w:lineRule="exact"/>
              <w:rPr>
                <w:sz w:val="20"/>
                <w:szCs w:val="20"/>
                <w:color w:val="auto"/>
              </w:rPr>
            </w:pPr>
            <w:r>
              <w:rPr>
                <w:rFonts w:ascii="Times New Roman" w:cs="Times New Roman" w:eastAsia="Times New Roman" w:hAnsi="Times New Roman"/>
                <w:sz w:val="17"/>
                <w:szCs w:val="17"/>
                <w:b w:val="1"/>
                <w:bCs w:val="1"/>
                <w:color w:val="auto"/>
              </w:rPr>
              <w:t>Total derivatives not designated as hedging</w:t>
            </w:r>
          </w:p>
        </w:tc>
        <w:tc>
          <w:tcPr>
            <w:tcW w:w="1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540" w:type="dxa"/>
            <w:vAlign w:val="bottom"/>
            <w:vMerge w:val="restart"/>
          </w:tcPr>
          <w:p>
            <w:pPr>
              <w:jc w:val="right"/>
              <w:ind w:right="2"/>
              <w:spacing w:after="0"/>
              <w:rPr>
                <w:sz w:val="20"/>
                <w:szCs w:val="20"/>
                <w:color w:val="auto"/>
              </w:rPr>
            </w:pPr>
            <w:r>
              <w:rPr>
                <w:rFonts w:ascii="Times New Roman" w:cs="Times New Roman" w:eastAsia="Times New Roman" w:hAnsi="Times New Roman"/>
                <w:sz w:val="17"/>
                <w:szCs w:val="17"/>
                <w:color w:val="auto"/>
              </w:rPr>
              <w:t>5</w:t>
            </w:r>
          </w:p>
        </w:tc>
        <w:tc>
          <w:tcPr>
            <w:tcW w:w="10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520" w:type="dxa"/>
            <w:vAlign w:val="bottom"/>
            <w:vMerge w:val="restart"/>
          </w:tcPr>
          <w:p>
            <w:pPr>
              <w:ind w:left="300"/>
              <w:spacing w:after="0"/>
              <w:rPr>
                <w:sz w:val="20"/>
                <w:szCs w:val="20"/>
                <w:color w:val="auto"/>
              </w:rPr>
            </w:pPr>
            <w:r>
              <w:rPr>
                <w:rFonts w:ascii="Times New Roman" w:cs="Times New Roman" w:eastAsia="Times New Roman" w:hAnsi="Times New Roman"/>
                <w:sz w:val="17"/>
                <w:szCs w:val="17"/>
                <w:color w:val="auto"/>
              </w:rPr>
              <w:t>(4)</w:t>
            </w:r>
          </w:p>
        </w:tc>
        <w:tc>
          <w:tcPr>
            <w:tcW w:w="0" w:type="dxa"/>
            <w:vAlign w:val="bottom"/>
          </w:tcPr>
          <w:p>
            <w:pPr>
              <w:spacing w:after="0"/>
              <w:rPr>
                <w:sz w:val="1"/>
                <w:szCs w:val="1"/>
                <w:color w:val="auto"/>
              </w:rPr>
            </w:pPr>
          </w:p>
        </w:tc>
      </w:tr>
      <w:tr>
        <w:trPr>
          <w:trHeight w:val="212"/>
        </w:trPr>
        <w:tc>
          <w:tcPr>
            <w:tcW w:w="412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instruments</w:t>
            </w:r>
          </w:p>
        </w:tc>
        <w:tc>
          <w:tcPr>
            <w:tcW w:w="1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bottom w:val="single" w:sz="8" w:color="auto"/>
            </w:tcBorders>
            <w:vMerge w:val="continue"/>
          </w:tcPr>
          <w:p>
            <w:pPr>
              <w:spacing w:after="0"/>
              <w:rPr>
                <w:sz w:val="18"/>
                <w:szCs w:val="18"/>
                <w:color w:val="auto"/>
              </w:rPr>
            </w:pPr>
          </w:p>
        </w:tc>
        <w:tc>
          <w:tcPr>
            <w:tcW w:w="54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vMerge w:val="continue"/>
          </w:tcPr>
          <w:p>
            <w:pPr>
              <w:spacing w:after="0"/>
              <w:rPr>
                <w:sz w:val="18"/>
                <w:szCs w:val="18"/>
                <w:color w:val="auto"/>
              </w:rPr>
            </w:pPr>
          </w:p>
        </w:tc>
        <w:tc>
          <w:tcPr>
            <w:tcW w:w="5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3435" cy="419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33" w:name="page34"/>
    <w:bookmarkEnd w:id="33"/>
    <w:p>
      <w:pPr>
        <w:ind w:left="62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NCR Voyix Corporation</w:t>
      </w:r>
    </w:p>
    <w:p>
      <w:pPr>
        <w:spacing w:after="0" w:line="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 (Unaudited)—(Continued)</w:t>
      </w:r>
    </w:p>
    <w:p>
      <w:pPr>
        <w:spacing w:after="0" w:line="200" w:lineRule="exact"/>
        <w:rPr>
          <w:sz w:val="20"/>
          <w:szCs w:val="20"/>
          <w:color w:val="auto"/>
        </w:rPr>
      </w:pPr>
    </w:p>
    <w:p>
      <w:pPr>
        <w:spacing w:after="0" w:line="221" w:lineRule="exact"/>
        <w:rPr>
          <w:sz w:val="20"/>
          <w:szCs w:val="20"/>
          <w:color w:val="auto"/>
        </w:rPr>
      </w:pPr>
    </w:p>
    <w:p>
      <w:pPr>
        <w:ind w:right="480"/>
        <w:spacing w:after="0" w:line="292" w:lineRule="auto"/>
        <w:rPr>
          <w:sz w:val="20"/>
          <w:szCs w:val="20"/>
          <w:color w:val="auto"/>
        </w:rPr>
      </w:pPr>
      <w:r>
        <w:rPr>
          <w:rFonts w:ascii="Times New Roman" w:cs="Times New Roman" w:eastAsia="Times New Roman" w:hAnsi="Times New Roman"/>
          <w:sz w:val="17"/>
          <w:szCs w:val="17"/>
          <w:color w:val="auto"/>
        </w:rPr>
        <w:t>The effects of derivative instruments on the Condensed Consolidated Statements of Operations and Condensed Consolidated Statements of Comprehensive Income for the three and nine months ended September 30, 2024 and 2023 were as follows: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0" w:type="dxa"/>
            <w:vAlign w:val="bottom"/>
          </w:tcPr>
          <w:p>
            <w:pPr>
              <w:spacing w:after="0"/>
              <w:rPr>
                <w:sz w:val="13"/>
                <w:szCs w:val="13"/>
                <w:color w:val="auto"/>
              </w:rPr>
            </w:pPr>
          </w:p>
        </w:tc>
        <w:tc>
          <w:tcPr>
            <w:tcW w:w="2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740" w:type="dxa"/>
            <w:vAlign w:val="bottom"/>
            <w:gridSpan w:val="5"/>
          </w:tcPr>
          <w:p>
            <w:pPr>
              <w:jc w:val="center"/>
              <w:ind w:right="19"/>
              <w:spacing w:after="0"/>
              <w:rPr>
                <w:sz w:val="20"/>
                <w:szCs w:val="20"/>
                <w:color w:val="auto"/>
              </w:rPr>
            </w:pPr>
            <w:r>
              <w:rPr>
                <w:rFonts w:ascii="Times New Roman" w:cs="Times New Roman" w:eastAsia="Times New Roman" w:hAnsi="Times New Roman"/>
                <w:sz w:val="14"/>
                <w:szCs w:val="14"/>
                <w:b w:val="1"/>
                <w:bCs w:val="1"/>
                <w:color w:val="auto"/>
                <w:w w:val="98"/>
              </w:rPr>
              <w:t>Amount of Gain (Loss) Recognized in Other</w:t>
            </w:r>
          </w:p>
        </w:tc>
        <w:tc>
          <w:tcPr>
            <w:tcW w:w="1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500" w:type="dxa"/>
            <w:vAlign w:val="bottom"/>
            <w:gridSpan w:val="11"/>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Amount of (Gain) Loss Reclassified from</w:t>
            </w:r>
          </w:p>
        </w:tc>
        <w:tc>
          <w:tcPr>
            <w:tcW w:w="0" w:type="dxa"/>
            <w:vAlign w:val="bottom"/>
          </w:tcPr>
          <w:p>
            <w:pPr>
              <w:spacing w:after="0"/>
              <w:rPr>
                <w:sz w:val="1"/>
                <w:szCs w:val="1"/>
                <w:color w:val="auto"/>
              </w:rPr>
            </w:pPr>
          </w:p>
        </w:tc>
      </w:tr>
      <w:tr>
        <w:trPr>
          <w:trHeight w:val="131"/>
        </w:trPr>
        <w:tc>
          <w:tcPr>
            <w:tcW w:w="26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00" w:type="dxa"/>
            <w:vAlign w:val="bottom"/>
          </w:tcPr>
          <w:p>
            <w:pPr>
              <w:spacing w:after="0"/>
              <w:rPr>
                <w:sz w:val="11"/>
                <w:szCs w:val="11"/>
                <w:color w:val="auto"/>
              </w:rPr>
            </w:pPr>
          </w:p>
        </w:tc>
        <w:tc>
          <w:tcPr>
            <w:tcW w:w="2740" w:type="dxa"/>
            <w:vAlign w:val="bottom"/>
            <w:gridSpan w:val="5"/>
          </w:tcPr>
          <w:p>
            <w:pPr>
              <w:jc w:val="center"/>
              <w:ind w:right="19"/>
              <w:spacing w:after="0" w:line="131" w:lineRule="exact"/>
              <w:rPr>
                <w:sz w:val="20"/>
                <w:szCs w:val="20"/>
                <w:color w:val="auto"/>
              </w:rPr>
            </w:pPr>
            <w:r>
              <w:rPr>
                <w:rFonts w:ascii="Times New Roman" w:cs="Times New Roman" w:eastAsia="Times New Roman" w:hAnsi="Times New Roman"/>
                <w:sz w:val="14"/>
                <w:szCs w:val="14"/>
                <w:b w:val="1"/>
                <w:bCs w:val="1"/>
                <w:color w:val="auto"/>
                <w:w w:val="98"/>
              </w:rPr>
              <w:t>Comprehensive Income (OCI) on Derivative</w:t>
            </w:r>
          </w:p>
        </w:tc>
        <w:tc>
          <w:tcPr>
            <w:tcW w:w="1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500" w:type="dxa"/>
            <w:vAlign w:val="bottom"/>
            <w:gridSpan w:val="11"/>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w w:val="98"/>
              </w:rPr>
              <w:t>AOCI into the Condensed Consolidated</w:t>
            </w:r>
          </w:p>
        </w:tc>
        <w:tc>
          <w:tcPr>
            <w:tcW w:w="0" w:type="dxa"/>
            <w:vAlign w:val="bottom"/>
          </w:tcPr>
          <w:p>
            <w:pPr>
              <w:spacing w:after="0"/>
              <w:rPr>
                <w:sz w:val="1"/>
                <w:szCs w:val="1"/>
                <w:color w:val="auto"/>
              </w:rPr>
            </w:pPr>
          </w:p>
        </w:tc>
      </w:tr>
      <w:tr>
        <w:trPr>
          <w:trHeight w:val="183"/>
        </w:trPr>
        <w:tc>
          <w:tcPr>
            <w:tcW w:w="268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860" w:type="dxa"/>
            <w:vAlign w:val="bottom"/>
            <w:gridSpan w:val="4"/>
          </w:tcPr>
          <w:p>
            <w:pPr>
              <w:jc w:val="center"/>
              <w:ind w:left="683"/>
              <w:spacing w:after="0"/>
              <w:rPr>
                <w:sz w:val="20"/>
                <w:szCs w:val="20"/>
                <w:color w:val="auto"/>
              </w:rPr>
            </w:pPr>
            <w:r>
              <w:rPr>
                <w:rFonts w:ascii="Times New Roman" w:cs="Times New Roman" w:eastAsia="Times New Roman" w:hAnsi="Times New Roman"/>
                <w:sz w:val="14"/>
                <w:szCs w:val="14"/>
                <w:b w:val="1"/>
                <w:bCs w:val="1"/>
                <w:color w:val="auto"/>
                <w:w w:val="98"/>
              </w:rPr>
              <w:t>Contracts</w:t>
            </w:r>
          </w:p>
        </w:tc>
        <w:tc>
          <w:tcPr>
            <w:tcW w:w="8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00" w:type="dxa"/>
            <w:vAlign w:val="bottom"/>
            <w:gridSpan w:val="6"/>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Statement of Operations</w:t>
            </w:r>
          </w:p>
        </w:tc>
        <w:tc>
          <w:tcPr>
            <w:tcW w:w="4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10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1320" w:type="dxa"/>
            <w:vAlign w:val="bottom"/>
            <w:tcBorders>
              <w:bottom w:val="single" w:sz="8" w:color="auto"/>
            </w:tcBorders>
            <w:gridSpan w:val="2"/>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gridSpan w:val="2"/>
          </w:tcPr>
          <w:p>
            <w:pPr>
              <w:spacing w:after="0" w:line="20" w:lineRule="exact"/>
              <w:rPr>
                <w:sz w:val="1"/>
                <w:szCs w:val="1"/>
                <w:color w:val="auto"/>
              </w:rPr>
            </w:pPr>
          </w:p>
        </w:tc>
        <w:tc>
          <w:tcPr>
            <w:tcW w:w="3200" w:type="dxa"/>
            <w:vAlign w:val="bottom"/>
            <w:gridSpan w:val="8"/>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Location of (Gain) Loss Reclassified from AOCI</w:t>
            </w: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gridSpan w:val="4"/>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gridSpan w:val="2"/>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23"/>
        </w:trPr>
        <w:tc>
          <w:tcPr>
            <w:tcW w:w="26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Derivatives in Cash Flow Hedging</w:t>
            </w:r>
          </w:p>
        </w:tc>
        <w:tc>
          <w:tcPr>
            <w:tcW w:w="1320" w:type="dxa"/>
            <w:vAlign w:val="bottom"/>
            <w:gridSpan w:val="2"/>
          </w:tcPr>
          <w:p>
            <w:pPr>
              <w:jc w:val="center"/>
              <w:spacing w:after="0" w:line="123" w:lineRule="exact"/>
              <w:rPr>
                <w:sz w:val="20"/>
                <w:szCs w:val="20"/>
                <w:color w:val="auto"/>
              </w:rPr>
            </w:pPr>
            <w:r>
              <w:rPr>
                <w:rFonts w:ascii="Times New Roman" w:cs="Times New Roman" w:eastAsia="Times New Roman" w:hAnsi="Times New Roman"/>
                <w:sz w:val="14"/>
                <w:szCs w:val="14"/>
                <w:b w:val="1"/>
                <w:bCs w:val="1"/>
                <w:color w:val="auto"/>
                <w:w w:val="98"/>
              </w:rPr>
              <w:t>For the three months</w:t>
            </w: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80" w:type="dxa"/>
            <w:vAlign w:val="bottom"/>
            <w:gridSpan w:val="2"/>
          </w:tcPr>
          <w:p>
            <w:pPr>
              <w:jc w:val="right"/>
              <w:spacing w:after="0" w:line="123" w:lineRule="exact"/>
              <w:rPr>
                <w:sz w:val="20"/>
                <w:szCs w:val="20"/>
                <w:color w:val="auto"/>
              </w:rPr>
            </w:pPr>
            <w:r>
              <w:rPr>
                <w:rFonts w:ascii="Times New Roman" w:cs="Times New Roman" w:eastAsia="Times New Roman" w:hAnsi="Times New Roman"/>
                <w:sz w:val="14"/>
                <w:szCs w:val="14"/>
                <w:b w:val="1"/>
                <w:bCs w:val="1"/>
                <w:color w:val="auto"/>
              </w:rPr>
              <w:t>For the three months</w:t>
            </w:r>
          </w:p>
        </w:tc>
        <w:tc>
          <w:tcPr>
            <w:tcW w:w="3200" w:type="dxa"/>
            <w:vAlign w:val="bottom"/>
            <w:gridSpan w:val="8"/>
            <w:vMerge w:val="continue"/>
          </w:tcPr>
          <w:p>
            <w:pPr>
              <w:spacing w:after="0"/>
              <w:rPr>
                <w:sz w:val="10"/>
                <w:szCs w:val="10"/>
                <w:color w:val="auto"/>
              </w:rPr>
            </w:pPr>
          </w:p>
        </w:tc>
        <w:tc>
          <w:tcPr>
            <w:tcW w:w="1300" w:type="dxa"/>
            <w:vAlign w:val="bottom"/>
            <w:gridSpan w:val="5"/>
          </w:tcPr>
          <w:p>
            <w:pPr>
              <w:jc w:val="center"/>
              <w:ind w:right="80"/>
              <w:spacing w:after="0" w:line="123" w:lineRule="exact"/>
              <w:rPr>
                <w:sz w:val="20"/>
                <w:szCs w:val="20"/>
                <w:color w:val="auto"/>
              </w:rPr>
            </w:pPr>
            <w:r>
              <w:rPr>
                <w:rFonts w:ascii="Times New Roman" w:cs="Times New Roman" w:eastAsia="Times New Roman" w:hAnsi="Times New Roman"/>
                <w:sz w:val="14"/>
                <w:szCs w:val="14"/>
                <w:b w:val="1"/>
                <w:bCs w:val="1"/>
                <w:color w:val="auto"/>
                <w:w w:val="99"/>
              </w:rPr>
              <w:t>For the three</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80" w:type="dxa"/>
            <w:vAlign w:val="bottom"/>
            <w:gridSpan w:val="3"/>
          </w:tcPr>
          <w:p>
            <w:pPr>
              <w:jc w:val="center"/>
              <w:ind w:right="220"/>
              <w:spacing w:after="0" w:line="123" w:lineRule="exact"/>
              <w:rPr>
                <w:sz w:val="20"/>
                <w:szCs w:val="20"/>
                <w:color w:val="auto"/>
              </w:rPr>
            </w:pPr>
            <w:r>
              <w:rPr>
                <w:rFonts w:ascii="Times New Roman" w:cs="Times New Roman" w:eastAsia="Times New Roman" w:hAnsi="Times New Roman"/>
                <w:sz w:val="14"/>
                <w:szCs w:val="14"/>
                <w:b w:val="1"/>
                <w:bCs w:val="1"/>
                <w:color w:val="auto"/>
                <w:w w:val="96"/>
              </w:rPr>
              <w:t>For the three</w:t>
            </w:r>
          </w:p>
        </w:tc>
        <w:tc>
          <w:tcPr>
            <w:tcW w:w="0" w:type="dxa"/>
            <w:vAlign w:val="bottom"/>
          </w:tcPr>
          <w:p>
            <w:pPr>
              <w:spacing w:after="0"/>
              <w:rPr>
                <w:sz w:val="1"/>
                <w:szCs w:val="1"/>
                <w:color w:val="auto"/>
              </w:rPr>
            </w:pPr>
          </w:p>
        </w:tc>
      </w:tr>
      <w:tr>
        <w:trPr>
          <w:trHeight w:val="143"/>
        </w:trPr>
        <w:tc>
          <w:tcPr>
            <w:tcW w:w="2680" w:type="dxa"/>
            <w:vAlign w:val="bottom"/>
            <w:gridSpan w:val="2"/>
            <w:vMerge w:val="continue"/>
          </w:tcPr>
          <w:p>
            <w:pPr>
              <w:spacing w:after="0"/>
              <w:rPr>
                <w:sz w:val="12"/>
                <w:szCs w:val="12"/>
                <w:color w:val="auto"/>
              </w:rPr>
            </w:pPr>
          </w:p>
        </w:tc>
        <w:tc>
          <w:tcPr>
            <w:tcW w:w="1320" w:type="dxa"/>
            <w:vAlign w:val="bottom"/>
            <w:gridSpan w:val="2"/>
          </w:tcPr>
          <w:p>
            <w:pPr>
              <w:jc w:val="right"/>
              <w:spacing w:after="0" w:line="143" w:lineRule="exact"/>
              <w:rPr>
                <w:sz w:val="20"/>
                <w:szCs w:val="20"/>
                <w:color w:val="auto"/>
              </w:rPr>
            </w:pPr>
            <w:r>
              <w:rPr>
                <w:rFonts w:ascii="Times New Roman" w:cs="Times New Roman" w:eastAsia="Times New Roman" w:hAnsi="Times New Roman"/>
                <w:sz w:val="14"/>
                <w:szCs w:val="14"/>
                <w:b w:val="1"/>
                <w:bCs w:val="1"/>
                <w:color w:val="auto"/>
              </w:rPr>
              <w:t>ended September 30,</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gridSpan w:val="2"/>
          </w:tcPr>
          <w:p>
            <w:pPr>
              <w:jc w:val="right"/>
              <w:spacing w:after="0" w:line="143" w:lineRule="exact"/>
              <w:rPr>
                <w:sz w:val="20"/>
                <w:szCs w:val="20"/>
                <w:color w:val="auto"/>
              </w:rPr>
            </w:pPr>
            <w:r>
              <w:rPr>
                <w:rFonts w:ascii="Times New Roman" w:cs="Times New Roman" w:eastAsia="Times New Roman" w:hAnsi="Times New Roman"/>
                <w:sz w:val="14"/>
                <w:szCs w:val="14"/>
                <w:b w:val="1"/>
                <w:bCs w:val="1"/>
                <w:color w:val="auto"/>
              </w:rPr>
              <w:t>ended September 30,</w:t>
            </w:r>
          </w:p>
        </w:tc>
        <w:tc>
          <w:tcPr>
            <w:tcW w:w="3200" w:type="dxa"/>
            <w:vAlign w:val="bottom"/>
            <w:gridSpan w:val="8"/>
          </w:tcPr>
          <w:p>
            <w:pPr>
              <w:jc w:val="center"/>
              <w:spacing w:after="0" w:line="143" w:lineRule="exact"/>
              <w:rPr>
                <w:sz w:val="20"/>
                <w:szCs w:val="20"/>
                <w:color w:val="auto"/>
              </w:rPr>
            </w:pPr>
            <w:r>
              <w:rPr>
                <w:rFonts w:ascii="Times New Roman" w:cs="Times New Roman" w:eastAsia="Times New Roman" w:hAnsi="Times New Roman"/>
                <w:sz w:val="14"/>
                <w:szCs w:val="14"/>
                <w:b w:val="1"/>
                <w:bCs w:val="1"/>
                <w:color w:val="auto"/>
                <w:w w:val="98"/>
              </w:rPr>
              <w:t>into the Condensed Consolidated Statement of</w:t>
            </w:r>
          </w:p>
        </w:tc>
        <w:tc>
          <w:tcPr>
            <w:tcW w:w="1300" w:type="dxa"/>
            <w:vAlign w:val="bottom"/>
            <w:gridSpan w:val="5"/>
          </w:tcPr>
          <w:p>
            <w:pPr>
              <w:jc w:val="center"/>
              <w:ind w:right="80"/>
              <w:spacing w:after="0" w:line="143" w:lineRule="exact"/>
              <w:rPr>
                <w:sz w:val="20"/>
                <w:szCs w:val="20"/>
                <w:color w:val="auto"/>
              </w:rPr>
            </w:pPr>
            <w:r>
              <w:rPr>
                <w:rFonts w:ascii="Times New Roman" w:cs="Times New Roman" w:eastAsia="Times New Roman" w:hAnsi="Times New Roman"/>
                <w:sz w:val="14"/>
                <w:szCs w:val="14"/>
                <w:b w:val="1"/>
                <w:bCs w:val="1"/>
                <w:color w:val="auto"/>
                <w:w w:val="98"/>
              </w:rPr>
              <w:t>months ended</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60" w:type="dxa"/>
            <w:vAlign w:val="bottom"/>
            <w:gridSpan w:val="4"/>
          </w:tcPr>
          <w:p>
            <w:pPr>
              <w:jc w:val="center"/>
              <w:ind w:right="140"/>
              <w:spacing w:after="0" w:line="143" w:lineRule="exact"/>
              <w:rPr>
                <w:sz w:val="20"/>
                <w:szCs w:val="20"/>
                <w:color w:val="auto"/>
              </w:rPr>
            </w:pPr>
            <w:r>
              <w:rPr>
                <w:rFonts w:ascii="Times New Roman" w:cs="Times New Roman" w:eastAsia="Times New Roman" w:hAnsi="Times New Roman"/>
                <w:sz w:val="14"/>
                <w:szCs w:val="14"/>
                <w:b w:val="1"/>
                <w:bCs w:val="1"/>
                <w:color w:val="auto"/>
              </w:rPr>
              <w:t>months ended</w:t>
            </w:r>
          </w:p>
        </w:tc>
        <w:tc>
          <w:tcPr>
            <w:tcW w:w="0" w:type="dxa"/>
            <w:vAlign w:val="bottom"/>
          </w:tcPr>
          <w:p>
            <w:pPr>
              <w:spacing w:after="0"/>
              <w:rPr>
                <w:sz w:val="1"/>
                <w:szCs w:val="1"/>
                <w:color w:val="auto"/>
              </w:rPr>
            </w:pPr>
          </w:p>
        </w:tc>
      </w:tr>
      <w:tr>
        <w:trPr>
          <w:trHeight w:val="189"/>
        </w:trPr>
        <w:tc>
          <w:tcPr>
            <w:tcW w:w="26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Relationships</w:t>
            </w:r>
          </w:p>
        </w:tc>
        <w:tc>
          <w:tcPr>
            <w:tcW w:w="100" w:type="dxa"/>
            <w:vAlign w:val="bottom"/>
          </w:tcPr>
          <w:p>
            <w:pPr>
              <w:spacing w:after="0"/>
              <w:rPr>
                <w:sz w:val="16"/>
                <w:szCs w:val="16"/>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80" w:type="dxa"/>
            <w:vAlign w:val="bottom"/>
          </w:tcPr>
          <w:p>
            <w:pPr>
              <w:jc w:val="right"/>
              <w:ind w:right="479"/>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60" w:type="dxa"/>
            <w:vAlign w:val="bottom"/>
          </w:tcPr>
          <w:p>
            <w:pPr>
              <w:spacing w:after="0"/>
              <w:rPr>
                <w:sz w:val="16"/>
                <w:szCs w:val="16"/>
                <w:color w:val="auto"/>
              </w:rPr>
            </w:pPr>
          </w:p>
        </w:tc>
        <w:tc>
          <w:tcPr>
            <w:tcW w:w="860" w:type="dxa"/>
            <w:vAlign w:val="bottom"/>
            <w:gridSpan w:val="3"/>
          </w:tcPr>
          <w:p>
            <w:pPr>
              <w:jc w:val="center"/>
              <w:ind w:right="85"/>
              <w:spacing w:after="0"/>
              <w:rPr>
                <w:sz w:val="20"/>
                <w:szCs w:val="20"/>
                <w:color w:val="auto"/>
              </w:rPr>
            </w:pPr>
            <w:r>
              <w:rPr>
                <w:rFonts w:ascii="Times New Roman" w:cs="Times New Roman" w:eastAsia="Times New Roman" w:hAnsi="Times New Roman"/>
                <w:sz w:val="14"/>
                <w:szCs w:val="14"/>
                <w:b w:val="1"/>
                <w:bCs w:val="1"/>
                <w:color w:val="auto"/>
                <w:w w:val="98"/>
              </w:rPr>
              <w:t>Operations</w:t>
            </w: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300" w:type="dxa"/>
            <w:vAlign w:val="bottom"/>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1200" w:type="dxa"/>
            <w:vAlign w:val="bottom"/>
            <w:gridSpan w:val="6"/>
          </w:tcPr>
          <w:p>
            <w:pPr>
              <w:ind w:left="20"/>
              <w:spacing w:after="0"/>
              <w:rPr>
                <w:sz w:val="20"/>
                <w:szCs w:val="20"/>
                <w:color w:val="auto"/>
              </w:rPr>
            </w:pPr>
            <w:r>
              <w:rPr>
                <w:rFonts w:ascii="Times New Roman" w:cs="Times New Roman" w:eastAsia="Times New Roman" w:hAnsi="Times New Roman"/>
                <w:sz w:val="14"/>
                <w:szCs w:val="14"/>
                <w:b w:val="1"/>
                <w:bCs w:val="1"/>
                <w:color w:val="auto"/>
                <w:w w:val="99"/>
              </w:rPr>
              <w:t>September 30, 2023</w:t>
            </w:r>
          </w:p>
        </w:tc>
        <w:tc>
          <w:tcPr>
            <w:tcW w:w="0" w:type="dxa"/>
            <w:vAlign w:val="bottom"/>
          </w:tcPr>
          <w:p>
            <w:pPr>
              <w:spacing w:after="0"/>
              <w:rPr>
                <w:sz w:val="1"/>
                <w:szCs w:val="1"/>
                <w:color w:val="auto"/>
              </w:rPr>
            </w:pPr>
          </w:p>
        </w:tc>
      </w:tr>
      <w:tr>
        <w:trPr>
          <w:trHeight w:val="226"/>
        </w:trPr>
        <w:tc>
          <w:tcPr>
            <w:tcW w:w="2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Interest rate contracts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640" w:type="dxa"/>
            <w:vAlign w:val="bottom"/>
            <w:gridSpan w:val="3"/>
            <w:shd w:val="clear" w:color="auto" w:fill="CCEEFF"/>
          </w:tcPr>
          <w:p>
            <w:pPr>
              <w:jc w:val="right"/>
              <w:ind w:right="327"/>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Cost of services</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7"/>
                <w:szCs w:val="17"/>
                <w:b w:val="1"/>
                <w:bCs w:val="1"/>
                <w:color w:val="auto"/>
              </w:rPr>
              <w:t>—</w:t>
            </w:r>
          </w:p>
        </w:tc>
        <w:tc>
          <w:tcPr>
            <w:tcW w:w="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4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(100)</w:t>
            </w:r>
          </w:p>
        </w:tc>
        <w:tc>
          <w:tcPr>
            <w:tcW w:w="0" w:type="dxa"/>
            <w:vAlign w:val="bottom"/>
          </w:tcPr>
          <w:p>
            <w:pPr>
              <w:spacing w:after="0"/>
              <w:rPr>
                <w:sz w:val="1"/>
                <w:szCs w:val="1"/>
                <w:color w:val="auto"/>
              </w:rPr>
            </w:pPr>
          </w:p>
        </w:tc>
      </w:tr>
      <w:tr>
        <w:trPr>
          <w:trHeight w:val="228"/>
        </w:trPr>
        <w:tc>
          <w:tcPr>
            <w:tcW w:w="26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Interest rate contracts</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640" w:type="dxa"/>
            <w:vAlign w:val="bottom"/>
            <w:gridSpan w:val="3"/>
          </w:tcPr>
          <w:p>
            <w:pPr>
              <w:jc w:val="right"/>
              <w:ind w:right="327"/>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Interest expense</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0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gridSpan w:val="2"/>
          </w:tcPr>
          <w:p>
            <w:pPr>
              <w:ind w:left="420"/>
              <w:spacing w:after="0"/>
              <w:rPr>
                <w:sz w:val="20"/>
                <w:szCs w:val="20"/>
                <w:color w:val="auto"/>
              </w:rPr>
            </w:pPr>
            <w:r>
              <w:rPr>
                <w:rFonts w:ascii="Times New Roman" w:cs="Times New Roman" w:eastAsia="Times New Roman" w:hAnsi="Times New Roman"/>
                <w:sz w:val="17"/>
                <w:szCs w:val="17"/>
                <w:b w:val="1"/>
                <w:bCs w:val="1"/>
                <w:color w:val="auto"/>
              </w:rPr>
              <w:t>—</w:t>
            </w:r>
          </w:p>
        </w:tc>
        <w:tc>
          <w:tcPr>
            <w:tcW w:w="1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6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(22)</w:t>
            </w:r>
          </w:p>
        </w:tc>
        <w:tc>
          <w:tcPr>
            <w:tcW w:w="0" w:type="dxa"/>
            <w:vAlign w:val="bottom"/>
          </w:tcPr>
          <w:p>
            <w:pPr>
              <w:spacing w:after="0"/>
              <w:rPr>
                <w:sz w:val="1"/>
                <w:szCs w:val="1"/>
                <w:color w:val="auto"/>
              </w:rPr>
            </w:pPr>
          </w:p>
        </w:tc>
      </w:tr>
      <w:tr>
        <w:trPr>
          <w:trHeight w:val="381"/>
        </w:trPr>
        <w:tc>
          <w:tcPr>
            <w:tcW w:w="10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740" w:type="dxa"/>
            <w:vAlign w:val="bottom"/>
            <w:gridSpan w:val="5"/>
            <w:vMerge w:val="restart"/>
          </w:tcPr>
          <w:p>
            <w:pPr>
              <w:jc w:val="center"/>
              <w:ind w:right="19"/>
              <w:spacing w:after="0"/>
              <w:rPr>
                <w:sz w:val="20"/>
                <w:szCs w:val="20"/>
                <w:color w:val="auto"/>
              </w:rPr>
            </w:pPr>
            <w:r>
              <w:rPr>
                <w:rFonts w:ascii="Times New Roman" w:cs="Times New Roman" w:eastAsia="Times New Roman" w:hAnsi="Times New Roman"/>
                <w:sz w:val="14"/>
                <w:szCs w:val="14"/>
                <w:b w:val="1"/>
                <w:bCs w:val="1"/>
                <w:color w:val="auto"/>
                <w:w w:val="98"/>
              </w:rPr>
              <w:t>Amount of Gain (Loss) Recognized in Other</w:t>
            </w:r>
          </w:p>
        </w:tc>
        <w:tc>
          <w:tcPr>
            <w:tcW w:w="1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500" w:type="dxa"/>
            <w:vAlign w:val="bottom"/>
            <w:gridSpan w:val="11"/>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Amount of (Gain) Loss Reclassified from</w:t>
            </w:r>
          </w:p>
        </w:tc>
        <w:tc>
          <w:tcPr>
            <w:tcW w:w="0" w:type="dxa"/>
            <w:vAlign w:val="bottom"/>
          </w:tcPr>
          <w:p>
            <w:pPr>
              <w:spacing w:after="0"/>
              <w:rPr>
                <w:sz w:val="1"/>
                <w:szCs w:val="1"/>
                <w:color w:val="auto"/>
              </w:rPr>
            </w:pPr>
          </w:p>
        </w:tc>
      </w:tr>
      <w:tr>
        <w:trPr>
          <w:trHeight w:val="143"/>
        </w:trPr>
        <w:tc>
          <w:tcPr>
            <w:tcW w:w="26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00" w:type="dxa"/>
            <w:vAlign w:val="bottom"/>
          </w:tcPr>
          <w:p>
            <w:pPr>
              <w:spacing w:after="0"/>
              <w:rPr>
                <w:sz w:val="12"/>
                <w:szCs w:val="12"/>
                <w:color w:val="auto"/>
              </w:rPr>
            </w:pPr>
          </w:p>
        </w:tc>
        <w:tc>
          <w:tcPr>
            <w:tcW w:w="2740" w:type="dxa"/>
            <w:vAlign w:val="bottom"/>
            <w:gridSpan w:val="5"/>
            <w:vMerge w:val="continue"/>
          </w:tcPr>
          <w:p>
            <w:pPr>
              <w:spacing w:after="0"/>
              <w:rPr>
                <w:sz w:val="12"/>
                <w:szCs w:val="12"/>
                <w:color w:val="auto"/>
              </w:rPr>
            </w:pPr>
          </w:p>
        </w:tc>
        <w:tc>
          <w:tcPr>
            <w:tcW w:w="1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500" w:type="dxa"/>
            <w:vAlign w:val="bottom"/>
            <w:gridSpan w:val="11"/>
          </w:tcPr>
          <w:p>
            <w:pPr>
              <w:jc w:val="center"/>
              <w:spacing w:after="0" w:line="143" w:lineRule="exact"/>
              <w:rPr>
                <w:sz w:val="20"/>
                <w:szCs w:val="20"/>
                <w:color w:val="auto"/>
              </w:rPr>
            </w:pPr>
            <w:r>
              <w:rPr>
                <w:rFonts w:ascii="Times New Roman" w:cs="Times New Roman" w:eastAsia="Times New Roman" w:hAnsi="Times New Roman"/>
                <w:sz w:val="14"/>
                <w:szCs w:val="14"/>
                <w:b w:val="1"/>
                <w:bCs w:val="1"/>
                <w:color w:val="auto"/>
                <w:w w:val="98"/>
              </w:rPr>
              <w:t>AOCI into the Condensed Consolidated</w:t>
            </w:r>
          </w:p>
        </w:tc>
        <w:tc>
          <w:tcPr>
            <w:tcW w:w="0" w:type="dxa"/>
            <w:vAlign w:val="bottom"/>
          </w:tcPr>
          <w:p>
            <w:pPr>
              <w:spacing w:after="0"/>
              <w:rPr>
                <w:sz w:val="1"/>
                <w:szCs w:val="1"/>
                <w:color w:val="auto"/>
              </w:rPr>
            </w:pPr>
          </w:p>
        </w:tc>
      </w:tr>
      <w:tr>
        <w:trPr>
          <w:trHeight w:val="187"/>
        </w:trPr>
        <w:tc>
          <w:tcPr>
            <w:tcW w:w="2680" w:type="dxa"/>
            <w:vAlign w:val="bottom"/>
            <w:gridSpan w:val="2"/>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740" w:type="dxa"/>
            <w:vAlign w:val="bottom"/>
            <w:tcBorders>
              <w:bottom w:val="single" w:sz="8" w:color="auto"/>
            </w:tcBorders>
            <w:gridSpan w:val="5"/>
          </w:tcPr>
          <w:p>
            <w:pPr>
              <w:jc w:val="center"/>
              <w:ind w:right="19"/>
              <w:spacing w:after="0"/>
              <w:rPr>
                <w:sz w:val="20"/>
                <w:szCs w:val="20"/>
                <w:color w:val="auto"/>
              </w:rPr>
            </w:pPr>
            <w:r>
              <w:rPr>
                <w:rFonts w:ascii="Times New Roman" w:cs="Times New Roman" w:eastAsia="Times New Roman" w:hAnsi="Times New Roman"/>
                <w:sz w:val="14"/>
                <w:szCs w:val="14"/>
                <w:b w:val="1"/>
                <w:bCs w:val="1"/>
                <w:color w:val="auto"/>
                <w:w w:val="98"/>
              </w:rPr>
              <w:t>Comprehensive Income (OCI) on Derivative</w:t>
            </w:r>
          </w:p>
        </w:tc>
        <w:tc>
          <w:tcPr>
            <w:tcW w:w="1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6"/>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Statement of Operations</w:t>
            </w:r>
          </w:p>
        </w:tc>
        <w:tc>
          <w:tcPr>
            <w:tcW w:w="40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0"/>
        </w:trPr>
        <w:tc>
          <w:tcPr>
            <w:tcW w:w="26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Derivatives in Cash Flow Hedging</w:t>
            </w:r>
          </w:p>
        </w:tc>
        <w:tc>
          <w:tcPr>
            <w:tcW w:w="1320" w:type="dxa"/>
            <w:vAlign w:val="bottom"/>
            <w:gridSpan w:val="2"/>
          </w:tcPr>
          <w:p>
            <w:pPr>
              <w:jc w:val="center"/>
              <w:spacing w:after="0" w:line="130" w:lineRule="exact"/>
              <w:rPr>
                <w:sz w:val="20"/>
                <w:szCs w:val="20"/>
                <w:color w:val="auto"/>
              </w:rPr>
            </w:pPr>
            <w:r>
              <w:rPr>
                <w:rFonts w:ascii="Times New Roman" w:cs="Times New Roman" w:eastAsia="Times New Roman" w:hAnsi="Times New Roman"/>
                <w:sz w:val="14"/>
                <w:szCs w:val="14"/>
                <w:b w:val="1"/>
                <w:bCs w:val="1"/>
                <w:color w:val="auto"/>
                <w:w w:val="99"/>
              </w:rPr>
              <w:t>For the nine months</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80" w:type="dxa"/>
            <w:vAlign w:val="bottom"/>
            <w:gridSpan w:val="2"/>
          </w:tcPr>
          <w:p>
            <w:pPr>
              <w:jc w:val="right"/>
              <w:ind w:right="19"/>
              <w:spacing w:after="0" w:line="130" w:lineRule="exact"/>
              <w:rPr>
                <w:sz w:val="20"/>
                <w:szCs w:val="20"/>
                <w:color w:val="auto"/>
              </w:rPr>
            </w:pPr>
            <w:r>
              <w:rPr>
                <w:rFonts w:ascii="Times New Roman" w:cs="Times New Roman" w:eastAsia="Times New Roman" w:hAnsi="Times New Roman"/>
                <w:sz w:val="14"/>
                <w:szCs w:val="14"/>
                <w:b w:val="1"/>
                <w:bCs w:val="1"/>
                <w:color w:val="auto"/>
              </w:rPr>
              <w:t>For the nine months</w:t>
            </w:r>
          </w:p>
        </w:tc>
        <w:tc>
          <w:tcPr>
            <w:tcW w:w="3200" w:type="dxa"/>
            <w:vAlign w:val="bottom"/>
            <w:gridSpan w:val="8"/>
          </w:tcPr>
          <w:p>
            <w:pPr>
              <w:jc w:val="center"/>
              <w:spacing w:after="0" w:line="130" w:lineRule="exact"/>
              <w:rPr>
                <w:sz w:val="20"/>
                <w:szCs w:val="20"/>
                <w:color w:val="auto"/>
              </w:rPr>
            </w:pPr>
            <w:r>
              <w:rPr>
                <w:rFonts w:ascii="Times New Roman" w:cs="Times New Roman" w:eastAsia="Times New Roman" w:hAnsi="Times New Roman"/>
                <w:sz w:val="14"/>
                <w:szCs w:val="14"/>
                <w:b w:val="1"/>
                <w:bCs w:val="1"/>
                <w:color w:val="auto"/>
                <w:w w:val="98"/>
              </w:rPr>
              <w:t>Location of (Gain) Loss Reclassified from AOCI</w:t>
            </w:r>
          </w:p>
        </w:tc>
        <w:tc>
          <w:tcPr>
            <w:tcW w:w="1300" w:type="dxa"/>
            <w:vAlign w:val="bottom"/>
            <w:gridSpan w:val="5"/>
          </w:tcPr>
          <w:p>
            <w:pPr>
              <w:jc w:val="center"/>
              <w:ind w:right="100"/>
              <w:spacing w:after="0" w:line="130" w:lineRule="exact"/>
              <w:rPr>
                <w:sz w:val="20"/>
                <w:szCs w:val="20"/>
                <w:color w:val="auto"/>
              </w:rPr>
            </w:pPr>
            <w:r>
              <w:rPr>
                <w:rFonts w:ascii="Times New Roman" w:cs="Times New Roman" w:eastAsia="Times New Roman" w:hAnsi="Times New Roman"/>
                <w:sz w:val="14"/>
                <w:szCs w:val="14"/>
                <w:b w:val="1"/>
                <w:bCs w:val="1"/>
                <w:color w:val="auto"/>
                <w:w w:val="98"/>
              </w:rPr>
              <w:t>For the nine</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gridSpan w:val="3"/>
          </w:tcPr>
          <w:p>
            <w:pPr>
              <w:jc w:val="center"/>
              <w:ind w:right="220"/>
              <w:spacing w:after="0" w:line="130" w:lineRule="exact"/>
              <w:rPr>
                <w:sz w:val="20"/>
                <w:szCs w:val="20"/>
                <w:color w:val="auto"/>
              </w:rPr>
            </w:pPr>
            <w:r>
              <w:rPr>
                <w:rFonts w:ascii="Times New Roman" w:cs="Times New Roman" w:eastAsia="Times New Roman" w:hAnsi="Times New Roman"/>
                <w:sz w:val="14"/>
                <w:szCs w:val="14"/>
                <w:b w:val="1"/>
                <w:bCs w:val="1"/>
                <w:color w:val="auto"/>
                <w:w w:val="98"/>
              </w:rPr>
              <w:t>For the nine</w:t>
            </w:r>
          </w:p>
        </w:tc>
        <w:tc>
          <w:tcPr>
            <w:tcW w:w="0" w:type="dxa"/>
            <w:vAlign w:val="bottom"/>
          </w:tcPr>
          <w:p>
            <w:pPr>
              <w:spacing w:after="0"/>
              <w:rPr>
                <w:sz w:val="1"/>
                <w:szCs w:val="1"/>
                <w:color w:val="auto"/>
              </w:rPr>
            </w:pPr>
          </w:p>
        </w:tc>
      </w:tr>
      <w:tr>
        <w:trPr>
          <w:trHeight w:val="143"/>
        </w:trPr>
        <w:tc>
          <w:tcPr>
            <w:tcW w:w="2680" w:type="dxa"/>
            <w:vAlign w:val="bottom"/>
            <w:gridSpan w:val="2"/>
            <w:vMerge w:val="continue"/>
          </w:tcPr>
          <w:p>
            <w:pPr>
              <w:spacing w:after="0"/>
              <w:rPr>
                <w:sz w:val="12"/>
                <w:szCs w:val="12"/>
                <w:color w:val="auto"/>
              </w:rPr>
            </w:pPr>
          </w:p>
        </w:tc>
        <w:tc>
          <w:tcPr>
            <w:tcW w:w="1320" w:type="dxa"/>
            <w:vAlign w:val="bottom"/>
            <w:gridSpan w:val="2"/>
          </w:tcPr>
          <w:p>
            <w:pPr>
              <w:jc w:val="right"/>
              <w:spacing w:after="0" w:line="143" w:lineRule="exact"/>
              <w:rPr>
                <w:sz w:val="20"/>
                <w:szCs w:val="20"/>
                <w:color w:val="auto"/>
              </w:rPr>
            </w:pPr>
            <w:r>
              <w:rPr>
                <w:rFonts w:ascii="Times New Roman" w:cs="Times New Roman" w:eastAsia="Times New Roman" w:hAnsi="Times New Roman"/>
                <w:sz w:val="14"/>
                <w:szCs w:val="14"/>
                <w:b w:val="1"/>
                <w:bCs w:val="1"/>
                <w:color w:val="auto"/>
              </w:rPr>
              <w:t>ended September 30,</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gridSpan w:val="2"/>
          </w:tcPr>
          <w:p>
            <w:pPr>
              <w:jc w:val="right"/>
              <w:spacing w:after="0" w:line="143" w:lineRule="exact"/>
              <w:rPr>
                <w:sz w:val="20"/>
                <w:szCs w:val="20"/>
                <w:color w:val="auto"/>
              </w:rPr>
            </w:pPr>
            <w:r>
              <w:rPr>
                <w:rFonts w:ascii="Times New Roman" w:cs="Times New Roman" w:eastAsia="Times New Roman" w:hAnsi="Times New Roman"/>
                <w:sz w:val="14"/>
                <w:szCs w:val="14"/>
                <w:b w:val="1"/>
                <w:bCs w:val="1"/>
                <w:color w:val="auto"/>
              </w:rPr>
              <w:t>ended September 30,</w:t>
            </w:r>
          </w:p>
        </w:tc>
        <w:tc>
          <w:tcPr>
            <w:tcW w:w="3200" w:type="dxa"/>
            <w:vAlign w:val="bottom"/>
            <w:gridSpan w:val="8"/>
          </w:tcPr>
          <w:p>
            <w:pPr>
              <w:jc w:val="center"/>
              <w:spacing w:after="0" w:line="143" w:lineRule="exact"/>
              <w:rPr>
                <w:sz w:val="20"/>
                <w:szCs w:val="20"/>
                <w:color w:val="auto"/>
              </w:rPr>
            </w:pPr>
            <w:r>
              <w:rPr>
                <w:rFonts w:ascii="Times New Roman" w:cs="Times New Roman" w:eastAsia="Times New Roman" w:hAnsi="Times New Roman"/>
                <w:sz w:val="14"/>
                <w:szCs w:val="14"/>
                <w:b w:val="1"/>
                <w:bCs w:val="1"/>
                <w:color w:val="auto"/>
                <w:w w:val="98"/>
              </w:rPr>
              <w:t>into the Condensed Consolidated Statement of</w:t>
            </w:r>
          </w:p>
        </w:tc>
        <w:tc>
          <w:tcPr>
            <w:tcW w:w="1300" w:type="dxa"/>
            <w:vAlign w:val="bottom"/>
            <w:gridSpan w:val="5"/>
          </w:tcPr>
          <w:p>
            <w:pPr>
              <w:jc w:val="center"/>
              <w:ind w:right="80"/>
              <w:spacing w:after="0" w:line="143" w:lineRule="exact"/>
              <w:rPr>
                <w:sz w:val="20"/>
                <w:szCs w:val="20"/>
                <w:color w:val="auto"/>
              </w:rPr>
            </w:pPr>
            <w:r>
              <w:rPr>
                <w:rFonts w:ascii="Times New Roman" w:cs="Times New Roman" w:eastAsia="Times New Roman" w:hAnsi="Times New Roman"/>
                <w:sz w:val="14"/>
                <w:szCs w:val="14"/>
                <w:b w:val="1"/>
                <w:bCs w:val="1"/>
                <w:color w:val="auto"/>
                <w:w w:val="98"/>
              </w:rPr>
              <w:t>months ended</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60" w:type="dxa"/>
            <w:vAlign w:val="bottom"/>
            <w:gridSpan w:val="4"/>
          </w:tcPr>
          <w:p>
            <w:pPr>
              <w:jc w:val="center"/>
              <w:ind w:right="140"/>
              <w:spacing w:after="0" w:line="143" w:lineRule="exact"/>
              <w:rPr>
                <w:sz w:val="20"/>
                <w:szCs w:val="20"/>
                <w:color w:val="auto"/>
              </w:rPr>
            </w:pPr>
            <w:r>
              <w:rPr>
                <w:rFonts w:ascii="Times New Roman" w:cs="Times New Roman" w:eastAsia="Times New Roman" w:hAnsi="Times New Roman"/>
                <w:sz w:val="14"/>
                <w:szCs w:val="14"/>
                <w:b w:val="1"/>
                <w:bCs w:val="1"/>
                <w:color w:val="auto"/>
              </w:rPr>
              <w:t>months ended</w:t>
            </w:r>
          </w:p>
        </w:tc>
        <w:tc>
          <w:tcPr>
            <w:tcW w:w="0" w:type="dxa"/>
            <w:vAlign w:val="bottom"/>
          </w:tcPr>
          <w:p>
            <w:pPr>
              <w:spacing w:after="0"/>
              <w:rPr>
                <w:sz w:val="1"/>
                <w:szCs w:val="1"/>
                <w:color w:val="auto"/>
              </w:rPr>
            </w:pPr>
          </w:p>
        </w:tc>
      </w:tr>
      <w:tr>
        <w:trPr>
          <w:trHeight w:val="189"/>
        </w:trPr>
        <w:tc>
          <w:tcPr>
            <w:tcW w:w="26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Relationships</w:t>
            </w:r>
          </w:p>
        </w:tc>
        <w:tc>
          <w:tcPr>
            <w:tcW w:w="100" w:type="dxa"/>
            <w:vAlign w:val="bottom"/>
          </w:tcPr>
          <w:p>
            <w:pPr>
              <w:spacing w:after="0"/>
              <w:rPr>
                <w:sz w:val="16"/>
                <w:szCs w:val="16"/>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80" w:type="dxa"/>
            <w:vAlign w:val="bottom"/>
          </w:tcPr>
          <w:p>
            <w:pPr>
              <w:jc w:val="right"/>
              <w:ind w:right="479"/>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60" w:type="dxa"/>
            <w:vAlign w:val="bottom"/>
          </w:tcPr>
          <w:p>
            <w:pPr>
              <w:spacing w:after="0"/>
              <w:rPr>
                <w:sz w:val="16"/>
                <w:szCs w:val="16"/>
                <w:color w:val="auto"/>
              </w:rPr>
            </w:pPr>
          </w:p>
        </w:tc>
        <w:tc>
          <w:tcPr>
            <w:tcW w:w="860" w:type="dxa"/>
            <w:vAlign w:val="bottom"/>
            <w:gridSpan w:val="3"/>
          </w:tcPr>
          <w:p>
            <w:pPr>
              <w:jc w:val="center"/>
              <w:ind w:right="85"/>
              <w:spacing w:after="0"/>
              <w:rPr>
                <w:sz w:val="20"/>
                <w:szCs w:val="20"/>
                <w:color w:val="auto"/>
              </w:rPr>
            </w:pPr>
            <w:r>
              <w:rPr>
                <w:rFonts w:ascii="Times New Roman" w:cs="Times New Roman" w:eastAsia="Times New Roman" w:hAnsi="Times New Roman"/>
                <w:sz w:val="14"/>
                <w:szCs w:val="14"/>
                <w:b w:val="1"/>
                <w:bCs w:val="1"/>
                <w:color w:val="auto"/>
                <w:w w:val="98"/>
              </w:rPr>
              <w:t>Operations</w:t>
            </w: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300" w:type="dxa"/>
            <w:vAlign w:val="bottom"/>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1200" w:type="dxa"/>
            <w:vAlign w:val="bottom"/>
            <w:gridSpan w:val="6"/>
          </w:tcPr>
          <w:p>
            <w:pPr>
              <w:ind w:left="20"/>
              <w:spacing w:after="0"/>
              <w:rPr>
                <w:sz w:val="20"/>
                <w:szCs w:val="20"/>
                <w:color w:val="auto"/>
              </w:rPr>
            </w:pPr>
            <w:r>
              <w:rPr>
                <w:rFonts w:ascii="Times New Roman" w:cs="Times New Roman" w:eastAsia="Times New Roman" w:hAnsi="Times New Roman"/>
                <w:sz w:val="14"/>
                <w:szCs w:val="14"/>
                <w:b w:val="1"/>
                <w:bCs w:val="1"/>
                <w:color w:val="auto"/>
                <w:w w:val="99"/>
              </w:rPr>
              <w:t>September 30, 2023</w:t>
            </w:r>
          </w:p>
        </w:tc>
        <w:tc>
          <w:tcPr>
            <w:tcW w:w="0" w:type="dxa"/>
            <w:vAlign w:val="bottom"/>
          </w:tcPr>
          <w:p>
            <w:pPr>
              <w:spacing w:after="0"/>
              <w:rPr>
                <w:sz w:val="1"/>
                <w:szCs w:val="1"/>
                <w:color w:val="auto"/>
              </w:rPr>
            </w:pPr>
          </w:p>
        </w:tc>
      </w:tr>
      <w:tr>
        <w:trPr>
          <w:trHeight w:val="219"/>
        </w:trPr>
        <w:tc>
          <w:tcPr>
            <w:tcW w:w="268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Interest rate contracts</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500" w:type="dxa"/>
            <w:vAlign w:val="bottom"/>
            <w:tcBorders>
              <w:top w:val="single" w:sz="8" w:color="auto"/>
            </w:tcBorders>
            <w:shd w:val="clear" w:color="auto" w:fill="CCEEFF"/>
          </w:tcPr>
          <w:p>
            <w:pPr>
              <w:jc w:val="right"/>
              <w:ind w:right="327"/>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w:t>
            </w:r>
          </w:p>
        </w:tc>
        <w:tc>
          <w:tcPr>
            <w:tcW w:w="1260" w:type="dxa"/>
            <w:vAlign w:val="bottom"/>
            <w:tcBorders>
              <w:top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Cost of services</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spacing w:after="0"/>
              <w:rPr>
                <w:sz w:val="19"/>
                <w:szCs w:val="19"/>
                <w:color w:val="auto"/>
              </w:rPr>
            </w:pPr>
          </w:p>
        </w:tc>
        <w:tc>
          <w:tcPr>
            <w:tcW w:w="64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spacing w:after="0"/>
              <w:rPr>
                <w:sz w:val="19"/>
                <w:szCs w:val="19"/>
                <w:color w:val="auto"/>
              </w:rPr>
            </w:pPr>
          </w:p>
        </w:tc>
        <w:tc>
          <w:tcPr>
            <w:tcW w:w="64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w:t>
            </w:r>
          </w:p>
        </w:tc>
        <w:tc>
          <w:tcPr>
            <w:tcW w:w="1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660" w:type="dxa"/>
            <w:vAlign w:val="bottom"/>
            <w:tcBorders>
              <w:top w:val="single" w:sz="8" w:color="auto"/>
            </w:tcBorders>
            <w:shd w:val="clear" w:color="auto" w:fill="CCEEFF"/>
          </w:tcPr>
          <w:p>
            <w:pPr>
              <w:ind w:left="420"/>
              <w:spacing w:after="0"/>
              <w:rPr>
                <w:sz w:val="20"/>
                <w:szCs w:val="20"/>
                <w:color w:val="auto"/>
              </w:rPr>
            </w:pPr>
            <w:r>
              <w:rPr>
                <w:rFonts w:ascii="Times New Roman" w:cs="Times New Roman" w:eastAsia="Times New Roman" w:hAnsi="Times New Roman"/>
                <w:sz w:val="17"/>
                <w:szCs w:val="17"/>
                <w:b w:val="1"/>
                <w:bCs w:val="1"/>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Borders>
              <w:top w:val="single" w:sz="8" w:color="auto"/>
            </w:tcBorders>
            <w:shd w:val="clear" w:color="auto" w:fill="CCEEFF"/>
          </w:tcPr>
          <w:p>
            <w:pPr>
              <w:spacing w:after="0"/>
              <w:rPr>
                <w:sz w:val="19"/>
                <w:szCs w:val="19"/>
                <w:color w:val="auto"/>
              </w:rPr>
            </w:pPr>
          </w:p>
        </w:tc>
        <w:tc>
          <w:tcPr>
            <w:tcW w:w="520" w:type="dxa"/>
            <w:vAlign w:val="bottom"/>
            <w:tcBorders>
              <w:top w:val="single" w:sz="8" w:color="auto"/>
            </w:tcBorders>
            <w:shd w:val="clear" w:color="auto" w:fill="CCEEFF"/>
          </w:tcPr>
          <w:p>
            <w:pPr>
              <w:spacing w:after="0"/>
              <w:rPr>
                <w:sz w:val="19"/>
                <w:szCs w:val="19"/>
                <w:color w:val="auto"/>
              </w:rPr>
            </w:pPr>
          </w:p>
        </w:tc>
        <w:tc>
          <w:tcPr>
            <w:tcW w:w="460" w:type="dxa"/>
            <w:vAlign w:val="bottom"/>
            <w:tcBorders>
              <w:top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(134)</w:t>
            </w:r>
          </w:p>
        </w:tc>
        <w:tc>
          <w:tcPr>
            <w:tcW w:w="0" w:type="dxa"/>
            <w:vAlign w:val="bottom"/>
          </w:tcPr>
          <w:p>
            <w:pPr>
              <w:spacing w:after="0"/>
              <w:rPr>
                <w:sz w:val="1"/>
                <w:szCs w:val="1"/>
                <w:color w:val="auto"/>
              </w:rPr>
            </w:pPr>
          </w:p>
        </w:tc>
      </w:tr>
      <w:tr>
        <w:trPr>
          <w:trHeight w:val="228"/>
        </w:trPr>
        <w:tc>
          <w:tcPr>
            <w:tcW w:w="26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Interest rate contracts</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640" w:type="dxa"/>
            <w:vAlign w:val="bottom"/>
            <w:gridSpan w:val="3"/>
          </w:tcPr>
          <w:p>
            <w:pPr>
              <w:jc w:val="right"/>
              <w:ind w:right="327"/>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Interest expense</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0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gridSpan w:val="2"/>
          </w:tcPr>
          <w:p>
            <w:pPr>
              <w:ind w:left="420"/>
              <w:spacing w:after="0"/>
              <w:rPr>
                <w:sz w:val="20"/>
                <w:szCs w:val="20"/>
                <w:color w:val="auto"/>
              </w:rPr>
            </w:pPr>
            <w:r>
              <w:rPr>
                <w:rFonts w:ascii="Times New Roman" w:cs="Times New Roman" w:eastAsia="Times New Roman" w:hAnsi="Times New Roman"/>
                <w:sz w:val="17"/>
                <w:szCs w:val="17"/>
                <w:b w:val="1"/>
                <w:bCs w:val="1"/>
                <w:color w:val="auto"/>
              </w:rPr>
              <w:t>—</w:t>
            </w:r>
          </w:p>
        </w:tc>
        <w:tc>
          <w:tcPr>
            <w:tcW w:w="1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6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(31)</w:t>
            </w:r>
          </w:p>
        </w:tc>
        <w:tc>
          <w:tcPr>
            <w:tcW w:w="0" w:type="dxa"/>
            <w:vAlign w:val="bottom"/>
          </w:tcPr>
          <w:p>
            <w:pPr>
              <w:spacing w:after="0"/>
              <w:rPr>
                <w:sz w:val="1"/>
                <w:szCs w:val="1"/>
                <w:color w:val="auto"/>
              </w:rPr>
            </w:pPr>
          </w:p>
        </w:tc>
      </w:tr>
      <w:tr>
        <w:trPr>
          <w:trHeight w:val="551"/>
        </w:trPr>
        <w:tc>
          <w:tcPr>
            <w:tcW w:w="10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20" w:type="dxa"/>
            <w:vAlign w:val="bottom"/>
            <w:gridSpan w:val="16"/>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w w:val="98"/>
              </w:rPr>
              <w:t>Amount of Gain (Loss) Recognized in the Condensed Consolidated</w:t>
            </w:r>
          </w:p>
        </w:tc>
        <w:tc>
          <w:tcPr>
            <w:tcW w:w="0" w:type="dxa"/>
            <w:vAlign w:val="bottom"/>
          </w:tcPr>
          <w:p>
            <w:pPr>
              <w:spacing w:after="0"/>
              <w:rPr>
                <w:sz w:val="1"/>
                <w:szCs w:val="1"/>
                <w:color w:val="auto"/>
              </w:rPr>
            </w:pPr>
          </w:p>
        </w:tc>
      </w:tr>
      <w:tr>
        <w:trPr>
          <w:trHeight w:val="188"/>
        </w:trPr>
        <w:tc>
          <w:tcPr>
            <w:tcW w:w="100" w:type="dxa"/>
            <w:vAlign w:val="bottom"/>
          </w:tcPr>
          <w:p>
            <w:pPr>
              <w:spacing w:after="0"/>
              <w:rPr>
                <w:sz w:val="16"/>
                <w:szCs w:val="16"/>
                <w:color w:val="auto"/>
              </w:rPr>
            </w:pPr>
          </w:p>
        </w:tc>
        <w:tc>
          <w:tcPr>
            <w:tcW w:w="2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gridSpan w:val="6"/>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Statement of Operations</w:t>
            </w:r>
          </w:p>
        </w:tc>
        <w:tc>
          <w:tcPr>
            <w:tcW w:w="8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9"/>
        </w:trPr>
        <w:tc>
          <w:tcPr>
            <w:tcW w:w="100" w:type="dxa"/>
            <w:vAlign w:val="bottom"/>
          </w:tcPr>
          <w:p>
            <w:pPr>
              <w:spacing w:after="0"/>
              <w:rPr>
                <w:sz w:val="11"/>
                <w:szCs w:val="11"/>
                <w:color w:val="auto"/>
              </w:rPr>
            </w:pPr>
          </w:p>
        </w:tc>
        <w:tc>
          <w:tcPr>
            <w:tcW w:w="25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160" w:type="dxa"/>
            <w:vAlign w:val="bottom"/>
            <w:gridSpan w:val="7"/>
          </w:tcPr>
          <w:p>
            <w:pPr>
              <w:jc w:val="center"/>
              <w:ind w:right="160"/>
              <w:spacing w:after="0" w:line="129" w:lineRule="exact"/>
              <w:rPr>
                <w:sz w:val="20"/>
                <w:szCs w:val="20"/>
                <w:color w:val="auto"/>
              </w:rPr>
            </w:pPr>
            <w:r>
              <w:rPr>
                <w:rFonts w:ascii="Times New Roman" w:cs="Times New Roman" w:eastAsia="Times New Roman" w:hAnsi="Times New Roman"/>
                <w:sz w:val="14"/>
                <w:szCs w:val="14"/>
                <w:b w:val="1"/>
                <w:bCs w:val="1"/>
                <w:color w:val="auto"/>
                <w:w w:val="98"/>
              </w:rPr>
              <w:t>Three months ended September</w:t>
            </w:r>
          </w:p>
        </w:tc>
        <w:tc>
          <w:tcPr>
            <w:tcW w:w="2000" w:type="dxa"/>
            <w:vAlign w:val="bottom"/>
            <w:gridSpan w:val="8"/>
          </w:tcPr>
          <w:p>
            <w:pPr>
              <w:jc w:val="right"/>
              <w:ind w:right="14"/>
              <w:spacing w:after="0" w:line="129" w:lineRule="exact"/>
              <w:rPr>
                <w:sz w:val="20"/>
                <w:szCs w:val="20"/>
                <w:color w:val="auto"/>
              </w:rPr>
            </w:pPr>
            <w:r>
              <w:rPr>
                <w:rFonts w:ascii="Times New Roman" w:cs="Times New Roman" w:eastAsia="Times New Roman" w:hAnsi="Times New Roman"/>
                <w:sz w:val="14"/>
                <w:szCs w:val="14"/>
                <w:b w:val="1"/>
                <w:bCs w:val="1"/>
                <w:color w:val="auto"/>
              </w:rPr>
              <w:t>Nine months ended September</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100" w:type="dxa"/>
            <w:vAlign w:val="bottom"/>
          </w:tcPr>
          <w:p>
            <w:pPr>
              <w:spacing w:after="0"/>
              <w:rPr>
                <w:sz w:val="16"/>
                <w:szCs w:val="16"/>
                <w:color w:val="auto"/>
              </w:rPr>
            </w:pPr>
          </w:p>
        </w:tc>
        <w:tc>
          <w:tcPr>
            <w:tcW w:w="25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4000" w:type="dxa"/>
            <w:vAlign w:val="bottom"/>
            <w:gridSpan w:val="6"/>
            <w:vMerge w:val="restart"/>
          </w:tcPr>
          <w:p>
            <w:pPr>
              <w:jc w:val="center"/>
              <w:ind w:left="683"/>
              <w:spacing w:after="0"/>
              <w:rPr>
                <w:sz w:val="20"/>
                <w:szCs w:val="20"/>
                <w:color w:val="auto"/>
              </w:rPr>
            </w:pPr>
            <w:r>
              <w:rPr>
                <w:rFonts w:ascii="Times New Roman" w:cs="Times New Roman" w:eastAsia="Times New Roman" w:hAnsi="Times New Roman"/>
                <w:sz w:val="14"/>
                <w:szCs w:val="14"/>
                <w:b w:val="1"/>
                <w:bCs w:val="1"/>
                <w:color w:val="auto"/>
                <w:w w:val="98"/>
              </w:rPr>
              <w:t>Location of Gain (Loss) Recognized in the Condensed</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w w:val="99"/>
              </w:rPr>
              <w:t>30</w:t>
            </w:r>
          </w:p>
        </w:tc>
        <w:tc>
          <w:tcPr>
            <w:tcW w:w="64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w w:val="99"/>
              </w:rPr>
              <w:t>30</w:t>
            </w:r>
          </w:p>
        </w:tc>
        <w:tc>
          <w:tcPr>
            <w:tcW w:w="52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5"/>
        </w:trPr>
        <w:tc>
          <w:tcPr>
            <w:tcW w:w="100" w:type="dxa"/>
            <w:vAlign w:val="bottom"/>
          </w:tcPr>
          <w:p>
            <w:pPr>
              <w:spacing w:after="0"/>
              <w:rPr>
                <w:sz w:val="9"/>
                <w:szCs w:val="9"/>
                <w:color w:val="auto"/>
              </w:rPr>
            </w:pPr>
          </w:p>
        </w:tc>
        <w:tc>
          <w:tcPr>
            <w:tcW w:w="2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0" w:type="dxa"/>
            <w:vAlign w:val="bottom"/>
            <w:gridSpan w:val="6"/>
            <w:vMerge w:val="continue"/>
          </w:tcPr>
          <w:p>
            <w:pPr>
              <w:spacing w:after="0"/>
              <w:rPr>
                <w:sz w:val="9"/>
                <w:szCs w:val="9"/>
                <w:color w:val="auto"/>
              </w:rPr>
            </w:pPr>
          </w:p>
        </w:tc>
        <w:tc>
          <w:tcPr>
            <w:tcW w:w="86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Pr>
          <w:p>
            <w:pPr>
              <w:spacing w:after="0"/>
              <w:rPr>
                <w:sz w:val="9"/>
                <w:szCs w:val="9"/>
                <w:color w:val="auto"/>
              </w:rPr>
            </w:pPr>
          </w:p>
        </w:tc>
        <w:tc>
          <w:tcPr>
            <w:tcW w:w="80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3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0" w:type="dxa"/>
            <w:vAlign w:val="bottom"/>
            <w:gridSpan w:val="3"/>
            <w:vMerge w:val="restart"/>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2023</w:t>
            </w: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0"/>
        </w:trPr>
        <w:tc>
          <w:tcPr>
            <w:tcW w:w="100" w:type="dxa"/>
            <w:vAlign w:val="bottom"/>
          </w:tcPr>
          <w:p>
            <w:pPr>
              <w:spacing w:after="0"/>
              <w:rPr>
                <w:sz w:val="16"/>
                <w:szCs w:val="16"/>
                <w:color w:val="auto"/>
              </w:rPr>
            </w:pPr>
          </w:p>
        </w:tc>
        <w:tc>
          <w:tcPr>
            <w:tcW w:w="39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Derivatives not Designated as Hedging Instruments</w:t>
            </w:r>
          </w:p>
        </w:tc>
        <w:tc>
          <w:tcPr>
            <w:tcW w:w="2780" w:type="dxa"/>
            <w:vAlign w:val="bottom"/>
            <w:gridSpan w:val="5"/>
          </w:tcPr>
          <w:p>
            <w:pPr>
              <w:jc w:val="center"/>
              <w:ind w:right="382"/>
              <w:spacing w:after="0"/>
              <w:rPr>
                <w:sz w:val="20"/>
                <w:szCs w:val="20"/>
                <w:color w:val="auto"/>
              </w:rPr>
            </w:pPr>
            <w:r>
              <w:rPr>
                <w:rFonts w:ascii="Times New Roman" w:cs="Times New Roman" w:eastAsia="Times New Roman" w:hAnsi="Times New Roman"/>
                <w:sz w:val="14"/>
                <w:szCs w:val="14"/>
                <w:b w:val="1"/>
                <w:bCs w:val="1"/>
                <w:color w:val="auto"/>
                <w:w w:val="98"/>
              </w:rPr>
              <w:t>Consolidated Statement of Operations</w:t>
            </w:r>
          </w:p>
        </w:tc>
        <w:tc>
          <w:tcPr>
            <w:tcW w:w="860" w:type="dxa"/>
            <w:vAlign w:val="bottom"/>
            <w:gridSpan w:val="3"/>
            <w:vMerge w:val="continue"/>
          </w:tcPr>
          <w:p>
            <w:pPr>
              <w:spacing w:after="0"/>
              <w:rPr>
                <w:sz w:val="16"/>
                <w:szCs w:val="16"/>
                <w:color w:val="auto"/>
              </w:rPr>
            </w:pPr>
          </w:p>
        </w:tc>
        <w:tc>
          <w:tcPr>
            <w:tcW w:w="280" w:type="dxa"/>
            <w:vAlign w:val="bottom"/>
          </w:tcPr>
          <w:p>
            <w:pPr>
              <w:spacing w:after="0"/>
              <w:rPr>
                <w:sz w:val="16"/>
                <w:szCs w:val="16"/>
                <w:color w:val="auto"/>
              </w:rPr>
            </w:pPr>
          </w:p>
        </w:tc>
        <w:tc>
          <w:tcPr>
            <w:tcW w:w="800" w:type="dxa"/>
            <w:vAlign w:val="bottom"/>
            <w:gridSpan w:val="3"/>
            <w:vMerge w:val="continue"/>
          </w:tcPr>
          <w:p>
            <w:pPr>
              <w:spacing w:after="0"/>
              <w:rPr>
                <w:sz w:val="16"/>
                <w:szCs w:val="16"/>
                <w:color w:val="auto"/>
              </w:rPr>
            </w:pPr>
          </w:p>
        </w:tc>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0" w:type="dxa"/>
            <w:vAlign w:val="bottom"/>
            <w:gridSpan w:val="3"/>
            <w:vMerge w:val="continue"/>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100" w:type="dxa"/>
            <w:vAlign w:val="bottom"/>
          </w:tcPr>
          <w:p>
            <w:pPr>
              <w:spacing w:after="0"/>
              <w:rPr>
                <w:sz w:val="18"/>
                <w:szCs w:val="18"/>
                <w:color w:val="auto"/>
              </w:rPr>
            </w:pPr>
          </w:p>
        </w:tc>
        <w:tc>
          <w:tcPr>
            <w:tcW w:w="25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Foreign exchange contracts</w:t>
            </w:r>
          </w:p>
        </w:tc>
        <w:tc>
          <w:tcPr>
            <w:tcW w:w="100" w:type="dxa"/>
            <w:vAlign w:val="bottom"/>
            <w:tcBorders>
              <w:top w:val="single" w:sz="8" w:color="CCEEFF"/>
            </w:tcBorders>
            <w:shd w:val="clear" w:color="auto" w:fill="CCEEFF"/>
          </w:tcPr>
          <w:p>
            <w:pPr>
              <w:spacing w:after="0"/>
              <w:rPr>
                <w:sz w:val="18"/>
                <w:szCs w:val="18"/>
                <w:color w:val="auto"/>
              </w:rPr>
            </w:pPr>
          </w:p>
        </w:tc>
        <w:tc>
          <w:tcPr>
            <w:tcW w:w="2740" w:type="dxa"/>
            <w:vAlign w:val="bottom"/>
            <w:tcBorders>
              <w:top w:val="single" w:sz="8" w:color="CCEEFF"/>
            </w:tcBorders>
            <w:gridSpan w:val="5"/>
            <w:shd w:val="clear" w:color="auto" w:fill="CCEEFF"/>
          </w:tcPr>
          <w:p>
            <w:pPr>
              <w:ind w:left="700"/>
              <w:spacing w:after="0"/>
              <w:rPr>
                <w:sz w:val="20"/>
                <w:szCs w:val="20"/>
                <w:color w:val="auto"/>
              </w:rPr>
            </w:pPr>
            <w:r>
              <w:rPr>
                <w:rFonts w:ascii="Times New Roman" w:cs="Times New Roman" w:eastAsia="Times New Roman" w:hAnsi="Times New Roman"/>
                <w:sz w:val="17"/>
                <w:szCs w:val="17"/>
                <w:color w:val="auto"/>
              </w:rPr>
              <w:t>Other income (expense), net</w:t>
            </w:r>
          </w:p>
        </w:tc>
        <w:tc>
          <w:tcPr>
            <w:tcW w:w="12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ind w:right="465"/>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280" w:type="dxa"/>
            <w:vAlign w:val="bottom"/>
            <w:tcBorders>
              <w:top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7"/>
                <w:szCs w:val="17"/>
                <w:b w:val="1"/>
                <w:bCs w:val="1"/>
                <w:color w:val="auto"/>
              </w:rPr>
              <w:t>(2)</w:t>
            </w:r>
          </w:p>
        </w:tc>
        <w:tc>
          <w:tcPr>
            <w:tcW w:w="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ind w:right="462"/>
              <w:spacing w:after="0"/>
              <w:rPr>
                <w:sz w:val="20"/>
                <w:szCs w:val="20"/>
                <w:color w:val="auto"/>
              </w:rPr>
            </w:pPr>
            <w:r>
              <w:rPr>
                <w:rFonts w:ascii="Times New Roman" w:cs="Times New Roman" w:eastAsia="Times New Roman" w:hAnsi="Times New Roman"/>
                <w:sz w:val="17"/>
                <w:szCs w:val="17"/>
                <w:color w:val="auto"/>
                <w:w w:val="93"/>
              </w:rPr>
              <w:t>$</w:t>
            </w:r>
          </w:p>
        </w:tc>
        <w:tc>
          <w:tcPr>
            <w:tcW w:w="300" w:type="dxa"/>
            <w:vAlign w:val="bottom"/>
            <w:tcBorders>
              <w:top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(3)</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840" w:type="dxa"/>
            <w:vAlign w:val="bottom"/>
            <w:tcBorders>
              <w:top w:val="single" w:sz="8" w:color="auto"/>
            </w:tcBorders>
            <w:gridSpan w:val="3"/>
            <w:shd w:val="clear" w:color="auto" w:fill="CCEEFF"/>
          </w:tcPr>
          <w:p>
            <w:pPr>
              <w:jc w:val="center"/>
              <w:ind w:left="479"/>
              <w:spacing w:after="0"/>
              <w:rPr>
                <w:sz w:val="20"/>
                <w:szCs w:val="20"/>
                <w:color w:val="auto"/>
              </w:rPr>
            </w:pPr>
            <w:r>
              <w:rPr>
                <w:rFonts w:ascii="Times New Roman" w:cs="Times New Roman" w:eastAsia="Times New Roman" w:hAnsi="Times New Roman"/>
                <w:sz w:val="17"/>
                <w:szCs w:val="17"/>
                <w:b w:val="1"/>
                <w:bCs w:val="1"/>
                <w:color w:val="auto"/>
              </w:rPr>
              <w:t>(8)</w:t>
            </w:r>
          </w:p>
        </w:tc>
        <w:tc>
          <w:tcPr>
            <w:tcW w:w="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ind w:right="345"/>
              <w:spacing w:after="0"/>
              <w:rPr>
                <w:sz w:val="20"/>
                <w:szCs w:val="20"/>
                <w:color w:val="auto"/>
              </w:rPr>
            </w:pPr>
            <w:r>
              <w:rPr>
                <w:rFonts w:ascii="Times New Roman" w:cs="Times New Roman" w:eastAsia="Times New Roman" w:hAnsi="Times New Roman"/>
                <w:sz w:val="17"/>
                <w:szCs w:val="17"/>
                <w:color w:val="auto"/>
                <w:w w:val="93"/>
              </w:rPr>
              <w:t>$</w:t>
            </w:r>
          </w:p>
        </w:tc>
        <w:tc>
          <w:tcPr>
            <w:tcW w:w="400" w:type="dxa"/>
            <w:vAlign w:val="bottom"/>
            <w:tcBorders>
              <w:top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100" w:type="dxa"/>
            <w:vAlign w:val="bottom"/>
          </w:tcPr>
          <w:p>
            <w:pPr>
              <w:spacing w:after="0"/>
              <w:rPr>
                <w:sz w:val="19"/>
                <w:szCs w:val="19"/>
                <w:color w:val="auto"/>
              </w:rPr>
            </w:pPr>
          </w:p>
        </w:tc>
        <w:tc>
          <w:tcPr>
            <w:tcW w:w="2580" w:type="dxa"/>
            <w:vAlign w:val="bottom"/>
          </w:tcPr>
          <w:p>
            <w:pPr>
              <w:spacing w:after="0"/>
              <w:rPr>
                <w:sz w:val="20"/>
                <w:szCs w:val="20"/>
                <w:color w:val="auto"/>
              </w:rPr>
            </w:pPr>
            <w:r>
              <w:rPr>
                <w:rFonts w:ascii="Times New Roman" w:cs="Times New Roman" w:eastAsia="Times New Roman" w:hAnsi="Times New Roman"/>
                <w:sz w:val="17"/>
                <w:szCs w:val="17"/>
                <w:color w:val="auto"/>
              </w:rPr>
              <w:t>Interest rate contracts</w:t>
            </w:r>
          </w:p>
        </w:tc>
        <w:tc>
          <w:tcPr>
            <w:tcW w:w="100" w:type="dxa"/>
            <w:vAlign w:val="bottom"/>
          </w:tcPr>
          <w:p>
            <w:pPr>
              <w:spacing w:after="0"/>
              <w:rPr>
                <w:sz w:val="19"/>
                <w:szCs w:val="19"/>
                <w:color w:val="auto"/>
              </w:rPr>
            </w:pPr>
          </w:p>
        </w:tc>
        <w:tc>
          <w:tcPr>
            <w:tcW w:w="1860" w:type="dxa"/>
            <w:vAlign w:val="bottom"/>
            <w:gridSpan w:val="4"/>
          </w:tcPr>
          <w:p>
            <w:pPr>
              <w:ind w:left="700"/>
              <w:spacing w:after="0"/>
              <w:rPr>
                <w:sz w:val="20"/>
                <w:szCs w:val="20"/>
                <w:color w:val="auto"/>
              </w:rPr>
            </w:pPr>
            <w:r>
              <w:rPr>
                <w:rFonts w:ascii="Times New Roman" w:cs="Times New Roman" w:eastAsia="Times New Roman" w:hAnsi="Times New Roman"/>
                <w:sz w:val="17"/>
                <w:szCs w:val="17"/>
                <w:color w:val="auto"/>
              </w:rPr>
              <w:t>Cost of services</w:t>
            </w:r>
          </w:p>
        </w:tc>
        <w:tc>
          <w:tcPr>
            <w:tcW w:w="8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860" w:type="dxa"/>
            <w:vAlign w:val="bottom"/>
            <w:gridSpan w:val="3"/>
          </w:tcPr>
          <w:p>
            <w:pPr>
              <w:jc w:val="right"/>
              <w:ind w:right="465"/>
              <w:spacing w:after="0"/>
              <w:rPr>
                <w:sz w:val="20"/>
                <w:szCs w:val="20"/>
                <w:color w:val="auto"/>
              </w:rPr>
            </w:pPr>
            <w:r>
              <w:rPr>
                <w:rFonts w:ascii="Times New Roman" w:cs="Times New Roman" w:eastAsia="Times New Roman" w:hAnsi="Times New Roman"/>
                <w:sz w:val="17"/>
                <w:szCs w:val="17"/>
                <w:b w:val="1"/>
                <w:bCs w:val="1"/>
                <w:color w:val="auto"/>
              </w:rPr>
              <w:t>$</w:t>
            </w:r>
          </w:p>
        </w:tc>
        <w:tc>
          <w:tcPr>
            <w:tcW w:w="280" w:type="dxa"/>
            <w:vAlign w:val="bottom"/>
          </w:tcPr>
          <w:p>
            <w:pPr>
              <w:ind w:left="40"/>
              <w:spacing w:after="0"/>
              <w:rPr>
                <w:sz w:val="20"/>
                <w:szCs w:val="20"/>
                <w:color w:val="auto"/>
              </w:rPr>
            </w:pPr>
            <w:r>
              <w:rPr>
                <w:rFonts w:ascii="Times New Roman" w:cs="Times New Roman" w:eastAsia="Times New Roman" w:hAnsi="Times New Roman"/>
                <w:sz w:val="17"/>
                <w:szCs w:val="17"/>
                <w:b w:val="1"/>
                <w:bCs w:val="1"/>
                <w:color w:val="auto"/>
              </w:rPr>
              <w:t>—</w:t>
            </w:r>
          </w:p>
        </w:tc>
        <w:tc>
          <w:tcPr>
            <w:tcW w:w="800" w:type="dxa"/>
            <w:vAlign w:val="bottom"/>
            <w:gridSpan w:val="3"/>
          </w:tcPr>
          <w:p>
            <w:pPr>
              <w:jc w:val="right"/>
              <w:ind w:right="462"/>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14</w:t>
            </w:r>
          </w:p>
        </w:tc>
        <w:tc>
          <w:tcPr>
            <w:tcW w:w="14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760" w:type="dxa"/>
            <w:vAlign w:val="bottom"/>
            <w:gridSpan w:val="2"/>
          </w:tcPr>
          <w:p>
            <w:pPr>
              <w:ind w:left="580"/>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0" w:type="dxa"/>
            <w:vAlign w:val="bottom"/>
            <w:gridSpan w:val="2"/>
          </w:tcPr>
          <w:p>
            <w:pPr>
              <w:jc w:val="right"/>
              <w:ind w:right="345"/>
              <w:spacing w:after="0"/>
              <w:rPr>
                <w:sz w:val="20"/>
                <w:szCs w:val="20"/>
                <w:color w:val="auto"/>
              </w:rPr>
            </w:pPr>
            <w:r>
              <w:rPr>
                <w:rFonts w:ascii="Times New Roman" w:cs="Times New Roman" w:eastAsia="Times New Roman" w:hAnsi="Times New Roman"/>
                <w:sz w:val="17"/>
                <w:szCs w:val="17"/>
                <w:color w:val="auto"/>
              </w:rPr>
              <w:t>$</w:t>
            </w:r>
          </w:p>
        </w:tc>
        <w:tc>
          <w:tcPr>
            <w:tcW w:w="40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14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3435" cy="419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34" w:name="page35"/>
    <w:bookmarkEnd w:id="34"/>
    <w:p>
      <w:pPr>
        <w:ind w:left="62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NCR Voyix Corporation</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 (Unaudited)—(Continued)</w:t>
      </w:r>
    </w:p>
    <w:p>
      <w:pPr>
        <w:spacing w:after="0" w:line="200" w:lineRule="exact"/>
        <w:rPr>
          <w:sz w:val="20"/>
          <w:szCs w:val="20"/>
          <w:color w:val="auto"/>
        </w:rPr>
      </w:pPr>
    </w:p>
    <w:p>
      <w:pPr>
        <w:spacing w:after="0" w:line="312"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7"/>
          <w:szCs w:val="17"/>
          <w:color w:val="auto"/>
        </w:rPr>
        <w:t>The following tables show the impact of the Company’s cash flow hedge accounting relationships on the Condensed Consolidated Statement of Operations for the three and nine months ended September 30, 2024 and 2023.</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160" w:type="dxa"/>
            <w:vAlign w:val="bottom"/>
          </w:tcPr>
          <w:p>
            <w:pPr>
              <w:spacing w:after="0"/>
              <w:rPr>
                <w:sz w:val="13"/>
                <w:szCs w:val="13"/>
                <w:color w:val="auto"/>
              </w:rPr>
            </w:pPr>
          </w:p>
        </w:tc>
        <w:tc>
          <w:tcPr>
            <w:tcW w:w="4080" w:type="dxa"/>
            <w:vAlign w:val="bottom"/>
            <w:gridSpan w:val="8"/>
          </w:tcPr>
          <w:p>
            <w:pPr>
              <w:ind w:left="40"/>
              <w:spacing w:after="0"/>
              <w:rPr>
                <w:sz w:val="20"/>
                <w:szCs w:val="20"/>
                <w:color w:val="auto"/>
              </w:rPr>
            </w:pPr>
            <w:r>
              <w:rPr>
                <w:rFonts w:ascii="Times New Roman" w:cs="Times New Roman" w:eastAsia="Times New Roman" w:hAnsi="Times New Roman"/>
                <w:sz w:val="14"/>
                <w:szCs w:val="14"/>
                <w:b w:val="1"/>
                <w:bCs w:val="1"/>
                <w:color w:val="auto"/>
                <w:w w:val="98"/>
              </w:rPr>
              <w:t>Location and Amount of (Gain) Loss Recognized in Income on Cash</w:t>
            </w:r>
          </w:p>
        </w:tc>
        <w:tc>
          <w:tcPr>
            <w:tcW w:w="0" w:type="dxa"/>
            <w:vAlign w:val="bottom"/>
          </w:tcPr>
          <w:p>
            <w:pPr>
              <w:spacing w:after="0"/>
              <w:rPr>
                <w:sz w:val="1"/>
                <w:szCs w:val="1"/>
                <w:color w:val="auto"/>
              </w:rPr>
            </w:pPr>
          </w:p>
        </w:tc>
      </w:tr>
      <w:tr>
        <w:trPr>
          <w:trHeight w:val="143"/>
        </w:trPr>
        <w:tc>
          <w:tcPr>
            <w:tcW w:w="7160" w:type="dxa"/>
            <w:vAlign w:val="bottom"/>
          </w:tcPr>
          <w:p>
            <w:pPr>
              <w:spacing w:after="0"/>
              <w:rPr>
                <w:sz w:val="12"/>
                <w:szCs w:val="12"/>
                <w:color w:val="auto"/>
              </w:rPr>
            </w:pPr>
          </w:p>
        </w:tc>
        <w:tc>
          <w:tcPr>
            <w:tcW w:w="4080" w:type="dxa"/>
            <w:vAlign w:val="bottom"/>
            <w:gridSpan w:val="8"/>
          </w:tcPr>
          <w:p>
            <w:pPr>
              <w:jc w:val="center"/>
              <w:spacing w:after="0" w:line="143" w:lineRule="exact"/>
              <w:rPr>
                <w:sz w:val="20"/>
                <w:szCs w:val="20"/>
                <w:color w:val="auto"/>
              </w:rPr>
            </w:pPr>
            <w:r>
              <w:rPr>
                <w:rFonts w:ascii="Times New Roman" w:cs="Times New Roman" w:eastAsia="Times New Roman" w:hAnsi="Times New Roman"/>
                <w:sz w:val="14"/>
                <w:szCs w:val="14"/>
                <w:b w:val="1"/>
                <w:bCs w:val="1"/>
                <w:color w:val="auto"/>
                <w:w w:val="98"/>
              </w:rPr>
              <w:t>Flow Hedging Relationships for the three months ended September</w:t>
            </w:r>
          </w:p>
        </w:tc>
        <w:tc>
          <w:tcPr>
            <w:tcW w:w="0" w:type="dxa"/>
            <w:vAlign w:val="bottom"/>
          </w:tcPr>
          <w:p>
            <w:pPr>
              <w:spacing w:after="0"/>
              <w:rPr>
                <w:sz w:val="1"/>
                <w:szCs w:val="1"/>
                <w:color w:val="auto"/>
              </w:rPr>
            </w:pPr>
          </w:p>
        </w:tc>
      </w:tr>
      <w:tr>
        <w:trPr>
          <w:trHeight w:val="186"/>
        </w:trPr>
        <w:tc>
          <w:tcPr>
            <w:tcW w:w="71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gridSpan w:val="3"/>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6"/>
              </w:rPr>
              <w:t>30:</w:t>
            </w:r>
          </w:p>
        </w:tc>
        <w:tc>
          <w:tcPr>
            <w:tcW w:w="9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1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2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2"/>
          </w:tcPr>
          <w:p>
            <w:pPr>
              <w:jc w:val="right"/>
              <w:ind w:right="405"/>
              <w:spacing w:after="0"/>
              <w:rPr>
                <w:sz w:val="20"/>
                <w:szCs w:val="20"/>
                <w:color w:val="auto"/>
              </w:rPr>
            </w:pPr>
            <w:r>
              <w:rPr>
                <w:rFonts w:ascii="Times New Roman" w:cs="Times New Roman" w:eastAsia="Times New Roman" w:hAnsi="Times New Roman"/>
                <w:sz w:val="14"/>
                <w:szCs w:val="14"/>
                <w:b w:val="1"/>
                <w:bCs w:val="1"/>
                <w:color w:val="auto"/>
              </w:rPr>
              <w:t>Cost of Services</w:t>
            </w:r>
          </w:p>
        </w:tc>
        <w:tc>
          <w:tcPr>
            <w:tcW w:w="4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2"/>
          </w:tcPr>
          <w:p>
            <w:pPr>
              <w:jc w:val="right"/>
              <w:ind w:right="405"/>
              <w:spacing w:after="0"/>
              <w:rPr>
                <w:sz w:val="20"/>
                <w:szCs w:val="20"/>
                <w:color w:val="auto"/>
              </w:rPr>
            </w:pPr>
            <w:r>
              <w:rPr>
                <w:rFonts w:ascii="Times New Roman" w:cs="Times New Roman" w:eastAsia="Times New Roman" w:hAnsi="Times New Roman"/>
                <w:sz w:val="14"/>
                <w:szCs w:val="14"/>
                <w:b w:val="1"/>
                <w:bCs w:val="1"/>
                <w:color w:val="auto"/>
              </w:rPr>
              <w:t>Interest Expense</w:t>
            </w:r>
          </w:p>
        </w:tc>
        <w:tc>
          <w:tcPr>
            <w:tcW w:w="0" w:type="dxa"/>
            <w:vAlign w:val="bottom"/>
          </w:tcPr>
          <w:p>
            <w:pPr>
              <w:spacing w:after="0"/>
              <w:rPr>
                <w:sz w:val="1"/>
                <w:szCs w:val="1"/>
                <w:color w:val="auto"/>
              </w:rPr>
            </w:pPr>
          </w:p>
        </w:tc>
      </w:tr>
      <w:tr>
        <w:trPr>
          <w:trHeight w:val="187"/>
        </w:trPr>
        <w:tc>
          <w:tcPr>
            <w:tcW w:w="7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jc w:val="right"/>
              <w:ind w:right="507"/>
              <w:spacing w:after="0"/>
              <w:rPr>
                <w:sz w:val="20"/>
                <w:szCs w:val="20"/>
                <w:color w:val="auto"/>
              </w:rPr>
            </w:pPr>
            <w:r>
              <w:rPr>
                <w:rFonts w:ascii="Times New Roman" w:cs="Times New Roman" w:eastAsia="Times New Roman" w:hAnsi="Times New Roman"/>
                <w:sz w:val="14"/>
                <w:szCs w:val="14"/>
                <w:b w:val="1"/>
                <w:bCs w:val="1"/>
                <w:color w:val="auto"/>
              </w:rPr>
              <w:t>2024</w:t>
            </w:r>
          </w:p>
        </w:tc>
        <w:tc>
          <w:tcPr>
            <w:tcW w:w="720" w:type="dxa"/>
            <w:vAlign w:val="bottom"/>
          </w:tcPr>
          <w:p>
            <w:pPr>
              <w:jc w:val="right"/>
              <w:ind w:right="245"/>
              <w:spacing w:after="0"/>
              <w:rPr>
                <w:sz w:val="20"/>
                <w:szCs w:val="20"/>
                <w:color w:val="auto"/>
              </w:rPr>
            </w:pPr>
            <w:r>
              <w:rPr>
                <w:rFonts w:ascii="Times New Roman" w:cs="Times New Roman" w:eastAsia="Times New Roman" w:hAnsi="Times New Roman"/>
                <w:sz w:val="14"/>
                <w:szCs w:val="14"/>
                <w:b w:val="1"/>
                <w:bCs w:val="1"/>
                <w:color w:val="auto"/>
              </w:rPr>
              <w:t>2023</w:t>
            </w: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tcPr>
          <w:p>
            <w:pPr>
              <w:jc w:val="right"/>
              <w:ind w:right="507"/>
              <w:spacing w:after="0"/>
              <w:rPr>
                <w:sz w:val="20"/>
                <w:szCs w:val="20"/>
                <w:color w:val="auto"/>
              </w:rPr>
            </w:pPr>
            <w:r>
              <w:rPr>
                <w:rFonts w:ascii="Times New Roman" w:cs="Times New Roman" w:eastAsia="Times New Roman" w:hAnsi="Times New Roman"/>
                <w:sz w:val="14"/>
                <w:szCs w:val="14"/>
                <w:b w:val="1"/>
                <w:bCs w:val="1"/>
                <w:color w:val="auto"/>
              </w:rPr>
              <w:t>2024</w:t>
            </w:r>
          </w:p>
        </w:tc>
        <w:tc>
          <w:tcPr>
            <w:tcW w:w="760" w:type="dxa"/>
            <w:vAlign w:val="bottom"/>
          </w:tcPr>
          <w:p>
            <w:pPr>
              <w:jc w:val="right"/>
              <w:ind w:right="285"/>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161"/>
        </w:trPr>
        <w:tc>
          <w:tcPr>
            <w:tcW w:w="7160" w:type="dxa"/>
            <w:vAlign w:val="bottom"/>
            <w:shd w:val="clear" w:color="auto" w:fill="CCEEFF"/>
          </w:tcPr>
          <w:p>
            <w:pPr>
              <w:ind w:left="20"/>
              <w:spacing w:after="0" w:line="161" w:lineRule="exact"/>
              <w:rPr>
                <w:sz w:val="20"/>
                <w:szCs w:val="20"/>
                <w:color w:val="auto"/>
              </w:rPr>
            </w:pPr>
            <w:r>
              <w:rPr>
                <w:rFonts w:ascii="Times New Roman" w:cs="Times New Roman" w:eastAsia="Times New Roman" w:hAnsi="Times New Roman"/>
                <w:sz w:val="16"/>
                <w:szCs w:val="16"/>
                <w:color w:val="auto"/>
              </w:rPr>
              <w:t>Total amount of expense presented in the Condensed Consolidated Statements of Operations in which the</w:t>
            </w:r>
          </w:p>
        </w:tc>
        <w:tc>
          <w:tcPr>
            <w:tcW w:w="22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w:t>
            </w:r>
          </w:p>
        </w:tc>
        <w:tc>
          <w:tcPr>
            <w:tcW w:w="1000" w:type="dxa"/>
            <w:vAlign w:val="bottom"/>
            <w:vMerge w:val="restart"/>
            <w:shd w:val="clear" w:color="auto" w:fill="CCEEFF"/>
          </w:tcPr>
          <w:p>
            <w:pPr>
              <w:jc w:val="right"/>
              <w:ind w:right="67"/>
              <w:spacing w:after="0"/>
              <w:rPr>
                <w:sz w:val="20"/>
                <w:szCs w:val="20"/>
                <w:color w:val="auto"/>
              </w:rPr>
            </w:pPr>
            <w:r>
              <w:rPr>
                <w:rFonts w:ascii="Times New Roman" w:cs="Times New Roman" w:eastAsia="Times New Roman" w:hAnsi="Times New Roman"/>
                <w:sz w:val="16"/>
                <w:szCs w:val="16"/>
                <w:b w:val="1"/>
                <w:bCs w:val="1"/>
                <w:color w:val="auto"/>
              </w:rPr>
              <w:t xml:space="preserve">360 </w:t>
            </w:r>
            <w:r>
              <w:rPr>
                <w:rFonts w:ascii="Times New Roman" w:cs="Times New Roman" w:eastAsia="Times New Roman" w:hAnsi="Times New Roman"/>
                <w:sz w:val="16"/>
                <w:szCs w:val="16"/>
                <w:color w:val="auto"/>
              </w:rPr>
              <w:t>$</w:t>
            </w: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361</w:t>
            </w:r>
          </w:p>
        </w:tc>
        <w:tc>
          <w:tcPr>
            <w:tcW w:w="400" w:type="dxa"/>
            <w:vAlign w:val="bottom"/>
            <w:gridSpan w:val="3"/>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w:t>
            </w:r>
          </w:p>
        </w:tc>
        <w:tc>
          <w:tcPr>
            <w:tcW w:w="980" w:type="dxa"/>
            <w:vAlign w:val="bottom"/>
            <w:vMerge w:val="restart"/>
            <w:shd w:val="clear" w:color="auto" w:fill="CCEEFF"/>
          </w:tcPr>
          <w:p>
            <w:pPr>
              <w:jc w:val="right"/>
              <w:ind w:right="47"/>
              <w:spacing w:after="0"/>
              <w:rPr>
                <w:sz w:val="20"/>
                <w:szCs w:val="20"/>
                <w:color w:val="auto"/>
              </w:rPr>
            </w:pPr>
            <w:r>
              <w:rPr>
                <w:rFonts w:ascii="Times New Roman" w:cs="Times New Roman" w:eastAsia="Times New Roman" w:hAnsi="Times New Roman"/>
                <w:sz w:val="16"/>
                <w:szCs w:val="16"/>
                <w:b w:val="1"/>
                <w:bCs w:val="1"/>
                <w:color w:val="auto"/>
              </w:rPr>
              <w:t xml:space="preserve">40 </w:t>
            </w:r>
            <w:r>
              <w:rPr>
                <w:rFonts w:ascii="Times New Roman" w:cs="Times New Roman" w:eastAsia="Times New Roman" w:hAnsi="Times New Roman"/>
                <w:sz w:val="16"/>
                <w:szCs w:val="16"/>
                <w:color w:val="auto"/>
              </w:rPr>
              <w:t>$</w:t>
            </w: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w:t>
            </w:r>
          </w:p>
        </w:tc>
        <w:tc>
          <w:tcPr>
            <w:tcW w:w="0" w:type="dxa"/>
            <w:vAlign w:val="bottom"/>
          </w:tcPr>
          <w:p>
            <w:pPr>
              <w:spacing w:after="0"/>
              <w:rPr>
                <w:sz w:val="1"/>
                <w:szCs w:val="1"/>
                <w:color w:val="auto"/>
              </w:rPr>
            </w:pPr>
          </w:p>
        </w:tc>
      </w:tr>
      <w:tr>
        <w:trPr>
          <w:trHeight w:val="207"/>
        </w:trPr>
        <w:tc>
          <w:tcPr>
            <w:tcW w:w="7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effects of cash flow hedges are recorded</w:t>
            </w:r>
          </w:p>
        </w:tc>
        <w:tc>
          <w:tcPr>
            <w:tcW w:w="220" w:type="dxa"/>
            <w:vAlign w:val="bottom"/>
            <w:vMerge w:val="continue"/>
            <w:shd w:val="clear" w:color="auto" w:fill="CCEEFF"/>
          </w:tcPr>
          <w:p>
            <w:pPr>
              <w:spacing w:after="0"/>
              <w:rPr>
                <w:sz w:val="18"/>
                <w:szCs w:val="18"/>
                <w:color w:val="auto"/>
              </w:rPr>
            </w:pPr>
          </w:p>
        </w:tc>
        <w:tc>
          <w:tcPr>
            <w:tcW w:w="1000" w:type="dxa"/>
            <w:vAlign w:val="bottom"/>
            <w:vMerge w:val="continue"/>
            <w:shd w:val="clear" w:color="auto" w:fill="CCEEFF"/>
          </w:tcPr>
          <w:p>
            <w:pPr>
              <w:spacing w:after="0"/>
              <w:rPr>
                <w:sz w:val="18"/>
                <w:szCs w:val="18"/>
                <w:color w:val="auto"/>
              </w:rPr>
            </w:pPr>
          </w:p>
        </w:tc>
        <w:tc>
          <w:tcPr>
            <w:tcW w:w="720" w:type="dxa"/>
            <w:vAlign w:val="bottom"/>
            <w:vMerge w:val="continue"/>
            <w:shd w:val="clear" w:color="auto" w:fill="CCEEFF"/>
          </w:tcPr>
          <w:p>
            <w:pPr>
              <w:spacing w:after="0"/>
              <w:rPr>
                <w:sz w:val="18"/>
                <w:szCs w:val="18"/>
                <w:color w:val="auto"/>
              </w:rPr>
            </w:pPr>
          </w:p>
        </w:tc>
        <w:tc>
          <w:tcPr>
            <w:tcW w:w="400" w:type="dxa"/>
            <w:vAlign w:val="bottom"/>
            <w:gridSpan w:val="3"/>
            <w:vMerge w:val="continue"/>
            <w:shd w:val="clear" w:color="auto" w:fill="CCEEFF"/>
          </w:tcPr>
          <w:p>
            <w:pPr>
              <w:spacing w:after="0"/>
              <w:rPr>
                <w:sz w:val="18"/>
                <w:szCs w:val="18"/>
                <w:color w:val="auto"/>
              </w:rPr>
            </w:pPr>
          </w:p>
        </w:tc>
        <w:tc>
          <w:tcPr>
            <w:tcW w:w="980" w:type="dxa"/>
            <w:vAlign w:val="bottom"/>
            <w:vMerge w:val="continue"/>
            <w:shd w:val="clear" w:color="auto" w:fill="CCEEFF"/>
          </w:tcPr>
          <w:p>
            <w:pPr>
              <w:spacing w:after="0"/>
              <w:rPr>
                <w:sz w:val="18"/>
                <w:szCs w:val="18"/>
                <w:color w:val="auto"/>
              </w:rPr>
            </w:pPr>
          </w:p>
        </w:tc>
        <w:tc>
          <w:tcPr>
            <w:tcW w:w="7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4"/>
        </w:trPr>
        <w:tc>
          <w:tcPr>
            <w:tcW w:w="71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72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220" w:type="dxa"/>
            <w:vAlign w:val="bottom"/>
          </w:tcPr>
          <w:p>
            <w:pPr>
              <w:spacing w:after="0"/>
              <w:rPr>
                <w:sz w:val="9"/>
                <w:szCs w:val="9"/>
                <w:color w:val="auto"/>
              </w:rPr>
            </w:pPr>
          </w:p>
        </w:tc>
        <w:tc>
          <w:tcPr>
            <w:tcW w:w="980" w:type="dxa"/>
            <w:vAlign w:val="bottom"/>
          </w:tcPr>
          <w:p>
            <w:pPr>
              <w:spacing w:after="0"/>
              <w:rPr>
                <w:sz w:val="9"/>
                <w:szCs w:val="9"/>
                <w:color w:val="auto"/>
              </w:rPr>
            </w:pPr>
          </w:p>
        </w:tc>
        <w:tc>
          <w:tcPr>
            <w:tcW w:w="7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7"/>
        </w:trPr>
        <w:tc>
          <w:tcPr>
            <w:tcW w:w="7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Amount of (gain) loss reclassified from Accumulated other comprehensive loss, net of expense</w:t>
            </w:r>
          </w:p>
        </w:tc>
        <w:tc>
          <w:tcPr>
            <w:tcW w:w="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w:t>
            </w:r>
          </w:p>
        </w:tc>
        <w:tc>
          <w:tcPr>
            <w:tcW w:w="1000" w:type="dxa"/>
            <w:vAlign w:val="bottom"/>
            <w:shd w:val="clear" w:color="auto" w:fill="CCEEFF"/>
          </w:tcPr>
          <w:p>
            <w:pPr>
              <w:jc w:val="right"/>
              <w:ind w:right="67"/>
              <w:spacing w:after="0"/>
              <w:rPr>
                <w:sz w:val="20"/>
                <w:szCs w:val="20"/>
                <w:color w:val="auto"/>
              </w:rPr>
            </w:pP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40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w:t>
            </w:r>
          </w:p>
        </w:tc>
        <w:tc>
          <w:tcPr>
            <w:tcW w:w="980" w:type="dxa"/>
            <w:vAlign w:val="bottom"/>
            <w:shd w:val="clear" w:color="auto" w:fill="CCEEFF"/>
          </w:tcPr>
          <w:p>
            <w:pPr>
              <w:jc w:val="right"/>
              <w:ind w:right="47"/>
              <w:spacing w:after="0"/>
              <w:rPr>
                <w:sz w:val="20"/>
                <w:szCs w:val="20"/>
                <w:color w:val="auto"/>
              </w:rPr>
            </w:pP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0" w:type="dxa"/>
            <w:vAlign w:val="bottom"/>
          </w:tcPr>
          <w:p>
            <w:pPr>
              <w:spacing w:after="0"/>
              <w:rPr>
                <w:sz w:val="1"/>
                <w:szCs w:val="1"/>
                <w:color w:val="auto"/>
              </w:rPr>
            </w:pPr>
          </w:p>
        </w:tc>
      </w:tr>
      <w:tr>
        <w:trPr>
          <w:trHeight w:val="337"/>
        </w:trPr>
        <w:tc>
          <w:tcPr>
            <w:tcW w:w="7160" w:type="dxa"/>
            <w:vAlign w:val="bottom"/>
          </w:tcPr>
          <w:p>
            <w:pPr>
              <w:spacing w:after="0"/>
              <w:rPr>
                <w:sz w:val="24"/>
                <w:szCs w:val="24"/>
                <w:color w:val="auto"/>
              </w:rPr>
            </w:pPr>
          </w:p>
        </w:tc>
        <w:tc>
          <w:tcPr>
            <w:tcW w:w="4080" w:type="dxa"/>
            <w:vAlign w:val="bottom"/>
            <w:gridSpan w:val="8"/>
          </w:tcPr>
          <w:p>
            <w:pPr>
              <w:ind w:left="40"/>
              <w:spacing w:after="0"/>
              <w:rPr>
                <w:sz w:val="20"/>
                <w:szCs w:val="20"/>
                <w:color w:val="auto"/>
              </w:rPr>
            </w:pPr>
            <w:r>
              <w:rPr>
                <w:rFonts w:ascii="Times New Roman" w:cs="Times New Roman" w:eastAsia="Times New Roman" w:hAnsi="Times New Roman"/>
                <w:sz w:val="14"/>
                <w:szCs w:val="14"/>
                <w:b w:val="1"/>
                <w:bCs w:val="1"/>
                <w:color w:val="auto"/>
                <w:w w:val="98"/>
              </w:rPr>
              <w:t>Location and Amount of (Gain) Loss Recognized in Income on Cash</w:t>
            </w:r>
          </w:p>
        </w:tc>
        <w:tc>
          <w:tcPr>
            <w:tcW w:w="0" w:type="dxa"/>
            <w:vAlign w:val="bottom"/>
          </w:tcPr>
          <w:p>
            <w:pPr>
              <w:spacing w:after="0"/>
              <w:rPr>
                <w:sz w:val="1"/>
                <w:szCs w:val="1"/>
                <w:color w:val="auto"/>
              </w:rPr>
            </w:pPr>
          </w:p>
        </w:tc>
      </w:tr>
      <w:tr>
        <w:trPr>
          <w:trHeight w:val="131"/>
        </w:trPr>
        <w:tc>
          <w:tcPr>
            <w:tcW w:w="7160" w:type="dxa"/>
            <w:vAlign w:val="bottom"/>
          </w:tcPr>
          <w:p>
            <w:pPr>
              <w:spacing w:after="0"/>
              <w:rPr>
                <w:sz w:val="11"/>
                <w:szCs w:val="11"/>
                <w:color w:val="auto"/>
              </w:rPr>
            </w:pPr>
          </w:p>
        </w:tc>
        <w:tc>
          <w:tcPr>
            <w:tcW w:w="4080" w:type="dxa"/>
            <w:vAlign w:val="bottom"/>
            <w:gridSpan w:val="8"/>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w w:val="99"/>
              </w:rPr>
              <w:t>Flow Hedging Relationships for the nine months ended September</w:t>
            </w:r>
          </w:p>
        </w:tc>
        <w:tc>
          <w:tcPr>
            <w:tcW w:w="0" w:type="dxa"/>
            <w:vAlign w:val="bottom"/>
          </w:tcPr>
          <w:p>
            <w:pPr>
              <w:spacing w:after="0"/>
              <w:rPr>
                <w:sz w:val="1"/>
                <w:szCs w:val="1"/>
                <w:color w:val="auto"/>
              </w:rPr>
            </w:pPr>
          </w:p>
        </w:tc>
      </w:tr>
      <w:tr>
        <w:trPr>
          <w:trHeight w:val="183"/>
        </w:trPr>
        <w:tc>
          <w:tcPr>
            <w:tcW w:w="7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00" w:type="dxa"/>
            <w:vAlign w:val="bottom"/>
            <w:gridSpan w:val="3"/>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6"/>
              </w:rPr>
              <w:t>30:</w:t>
            </w:r>
          </w:p>
        </w:tc>
        <w:tc>
          <w:tcPr>
            <w:tcW w:w="9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71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2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gridSpan w:val="2"/>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2"/>
        </w:trPr>
        <w:tc>
          <w:tcPr>
            <w:tcW w:w="7160" w:type="dxa"/>
            <w:vAlign w:val="bottom"/>
            <w:vMerge w:val="continue"/>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gridSpan w:val="2"/>
          </w:tcPr>
          <w:p>
            <w:pPr>
              <w:jc w:val="right"/>
              <w:ind w:right="405"/>
              <w:spacing w:after="0"/>
              <w:rPr>
                <w:sz w:val="20"/>
                <w:szCs w:val="20"/>
                <w:color w:val="auto"/>
              </w:rPr>
            </w:pPr>
            <w:r>
              <w:rPr>
                <w:rFonts w:ascii="Times New Roman" w:cs="Times New Roman" w:eastAsia="Times New Roman" w:hAnsi="Times New Roman"/>
                <w:sz w:val="14"/>
                <w:szCs w:val="14"/>
                <w:b w:val="1"/>
                <w:bCs w:val="1"/>
                <w:color w:val="auto"/>
              </w:rPr>
              <w:t>Cost of Services</w:t>
            </w:r>
          </w:p>
        </w:tc>
        <w:tc>
          <w:tcPr>
            <w:tcW w:w="4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740" w:type="dxa"/>
            <w:vAlign w:val="bottom"/>
            <w:tcBorders>
              <w:bottom w:val="single" w:sz="8" w:color="auto"/>
            </w:tcBorders>
            <w:gridSpan w:val="2"/>
          </w:tcPr>
          <w:p>
            <w:pPr>
              <w:jc w:val="right"/>
              <w:ind w:right="405"/>
              <w:spacing w:after="0"/>
              <w:rPr>
                <w:sz w:val="20"/>
                <w:szCs w:val="20"/>
                <w:color w:val="auto"/>
              </w:rPr>
            </w:pPr>
            <w:r>
              <w:rPr>
                <w:rFonts w:ascii="Times New Roman" w:cs="Times New Roman" w:eastAsia="Times New Roman" w:hAnsi="Times New Roman"/>
                <w:sz w:val="14"/>
                <w:szCs w:val="14"/>
                <w:b w:val="1"/>
                <w:bCs w:val="1"/>
                <w:color w:val="auto"/>
              </w:rPr>
              <w:t>Interest Expense</w:t>
            </w:r>
          </w:p>
        </w:tc>
        <w:tc>
          <w:tcPr>
            <w:tcW w:w="0" w:type="dxa"/>
            <w:vAlign w:val="bottom"/>
          </w:tcPr>
          <w:p>
            <w:pPr>
              <w:spacing w:after="0"/>
              <w:rPr>
                <w:sz w:val="1"/>
                <w:szCs w:val="1"/>
                <w:color w:val="auto"/>
              </w:rPr>
            </w:pPr>
          </w:p>
        </w:tc>
      </w:tr>
      <w:tr>
        <w:trPr>
          <w:trHeight w:val="187"/>
        </w:trPr>
        <w:tc>
          <w:tcPr>
            <w:tcW w:w="7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jc w:val="right"/>
              <w:ind w:right="507"/>
              <w:spacing w:after="0"/>
              <w:rPr>
                <w:sz w:val="20"/>
                <w:szCs w:val="20"/>
                <w:color w:val="auto"/>
              </w:rPr>
            </w:pPr>
            <w:r>
              <w:rPr>
                <w:rFonts w:ascii="Times New Roman" w:cs="Times New Roman" w:eastAsia="Times New Roman" w:hAnsi="Times New Roman"/>
                <w:sz w:val="14"/>
                <w:szCs w:val="14"/>
                <w:b w:val="1"/>
                <w:bCs w:val="1"/>
                <w:color w:val="auto"/>
              </w:rPr>
              <w:t>2024</w:t>
            </w:r>
          </w:p>
        </w:tc>
        <w:tc>
          <w:tcPr>
            <w:tcW w:w="720" w:type="dxa"/>
            <w:vAlign w:val="bottom"/>
          </w:tcPr>
          <w:p>
            <w:pPr>
              <w:jc w:val="right"/>
              <w:ind w:right="245"/>
              <w:spacing w:after="0"/>
              <w:rPr>
                <w:sz w:val="20"/>
                <w:szCs w:val="20"/>
                <w:color w:val="auto"/>
              </w:rPr>
            </w:pPr>
            <w:r>
              <w:rPr>
                <w:rFonts w:ascii="Times New Roman" w:cs="Times New Roman" w:eastAsia="Times New Roman" w:hAnsi="Times New Roman"/>
                <w:sz w:val="14"/>
                <w:szCs w:val="14"/>
                <w:b w:val="1"/>
                <w:bCs w:val="1"/>
                <w:color w:val="auto"/>
              </w:rPr>
              <w:t>2023</w:t>
            </w: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tcPr>
          <w:p>
            <w:pPr>
              <w:jc w:val="right"/>
              <w:ind w:right="507"/>
              <w:spacing w:after="0"/>
              <w:rPr>
                <w:sz w:val="20"/>
                <w:szCs w:val="20"/>
                <w:color w:val="auto"/>
              </w:rPr>
            </w:pPr>
            <w:r>
              <w:rPr>
                <w:rFonts w:ascii="Times New Roman" w:cs="Times New Roman" w:eastAsia="Times New Roman" w:hAnsi="Times New Roman"/>
                <w:sz w:val="14"/>
                <w:szCs w:val="14"/>
                <w:b w:val="1"/>
                <w:bCs w:val="1"/>
                <w:color w:val="auto"/>
              </w:rPr>
              <w:t>2024</w:t>
            </w:r>
          </w:p>
        </w:tc>
        <w:tc>
          <w:tcPr>
            <w:tcW w:w="760" w:type="dxa"/>
            <w:vAlign w:val="bottom"/>
          </w:tcPr>
          <w:p>
            <w:pPr>
              <w:jc w:val="right"/>
              <w:ind w:right="285"/>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161"/>
        </w:trPr>
        <w:tc>
          <w:tcPr>
            <w:tcW w:w="7160" w:type="dxa"/>
            <w:vAlign w:val="bottom"/>
            <w:shd w:val="clear" w:color="auto" w:fill="CCEEFF"/>
          </w:tcPr>
          <w:p>
            <w:pPr>
              <w:ind w:left="20"/>
              <w:spacing w:after="0" w:line="161" w:lineRule="exact"/>
              <w:rPr>
                <w:sz w:val="20"/>
                <w:szCs w:val="20"/>
                <w:color w:val="auto"/>
              </w:rPr>
            </w:pPr>
            <w:r>
              <w:rPr>
                <w:rFonts w:ascii="Times New Roman" w:cs="Times New Roman" w:eastAsia="Times New Roman" w:hAnsi="Times New Roman"/>
                <w:sz w:val="16"/>
                <w:szCs w:val="16"/>
                <w:color w:val="auto"/>
              </w:rPr>
              <w:t>Total amount of expense presented in the Condensed Consolidated Statements of Operations in which the</w:t>
            </w:r>
          </w:p>
        </w:tc>
        <w:tc>
          <w:tcPr>
            <w:tcW w:w="22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w:t>
            </w:r>
          </w:p>
        </w:tc>
        <w:tc>
          <w:tcPr>
            <w:tcW w:w="1000" w:type="dxa"/>
            <w:vAlign w:val="bottom"/>
            <w:vMerge w:val="restart"/>
            <w:shd w:val="clear" w:color="auto" w:fill="CCEEFF"/>
          </w:tcPr>
          <w:p>
            <w:pPr>
              <w:jc w:val="right"/>
              <w:ind w:right="67"/>
              <w:spacing w:after="0"/>
              <w:rPr>
                <w:sz w:val="20"/>
                <w:szCs w:val="20"/>
                <w:color w:val="auto"/>
              </w:rPr>
            </w:pPr>
            <w:r>
              <w:rPr>
                <w:rFonts w:ascii="Times New Roman" w:cs="Times New Roman" w:eastAsia="Times New Roman" w:hAnsi="Times New Roman"/>
                <w:sz w:val="16"/>
                <w:szCs w:val="16"/>
                <w:b w:val="1"/>
                <w:bCs w:val="1"/>
                <w:color w:val="auto"/>
              </w:rPr>
              <w:t xml:space="preserve">1,120 </w:t>
            </w:r>
            <w:r>
              <w:rPr>
                <w:rFonts w:ascii="Times New Roman" w:cs="Times New Roman" w:eastAsia="Times New Roman" w:hAnsi="Times New Roman"/>
                <w:sz w:val="16"/>
                <w:szCs w:val="16"/>
                <w:color w:val="auto"/>
              </w:rPr>
              <w:t>$</w:t>
            </w: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1,053</w:t>
            </w:r>
          </w:p>
        </w:tc>
        <w:tc>
          <w:tcPr>
            <w:tcW w:w="400" w:type="dxa"/>
            <w:vAlign w:val="bottom"/>
            <w:gridSpan w:val="3"/>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w:t>
            </w:r>
          </w:p>
        </w:tc>
        <w:tc>
          <w:tcPr>
            <w:tcW w:w="980" w:type="dxa"/>
            <w:vAlign w:val="bottom"/>
            <w:vMerge w:val="restart"/>
            <w:shd w:val="clear" w:color="auto" w:fill="CCEEFF"/>
          </w:tcPr>
          <w:p>
            <w:pPr>
              <w:jc w:val="right"/>
              <w:ind w:right="47"/>
              <w:spacing w:after="0"/>
              <w:rPr>
                <w:sz w:val="20"/>
                <w:szCs w:val="20"/>
                <w:color w:val="auto"/>
              </w:rPr>
            </w:pPr>
            <w:r>
              <w:rPr>
                <w:rFonts w:ascii="Times New Roman" w:cs="Times New Roman" w:eastAsia="Times New Roman" w:hAnsi="Times New Roman"/>
                <w:sz w:val="16"/>
                <w:szCs w:val="16"/>
                <w:b w:val="1"/>
                <w:bCs w:val="1"/>
                <w:color w:val="auto"/>
              </w:rPr>
              <w:t xml:space="preserve">120 </w:t>
            </w:r>
            <w:r>
              <w:rPr>
                <w:rFonts w:ascii="Times New Roman" w:cs="Times New Roman" w:eastAsia="Times New Roman" w:hAnsi="Times New Roman"/>
                <w:sz w:val="16"/>
                <w:szCs w:val="16"/>
                <w:color w:val="auto"/>
              </w:rPr>
              <w:t>$</w:t>
            </w: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257</w:t>
            </w:r>
          </w:p>
        </w:tc>
        <w:tc>
          <w:tcPr>
            <w:tcW w:w="0" w:type="dxa"/>
            <w:vAlign w:val="bottom"/>
          </w:tcPr>
          <w:p>
            <w:pPr>
              <w:spacing w:after="0"/>
              <w:rPr>
                <w:sz w:val="1"/>
                <w:szCs w:val="1"/>
                <w:color w:val="auto"/>
              </w:rPr>
            </w:pPr>
          </w:p>
        </w:tc>
      </w:tr>
      <w:tr>
        <w:trPr>
          <w:trHeight w:val="207"/>
        </w:trPr>
        <w:tc>
          <w:tcPr>
            <w:tcW w:w="7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effects of cash flow hedges are recorded</w:t>
            </w:r>
          </w:p>
        </w:tc>
        <w:tc>
          <w:tcPr>
            <w:tcW w:w="220" w:type="dxa"/>
            <w:vAlign w:val="bottom"/>
            <w:vMerge w:val="continue"/>
            <w:shd w:val="clear" w:color="auto" w:fill="CCEEFF"/>
          </w:tcPr>
          <w:p>
            <w:pPr>
              <w:spacing w:after="0"/>
              <w:rPr>
                <w:sz w:val="18"/>
                <w:szCs w:val="18"/>
                <w:color w:val="auto"/>
              </w:rPr>
            </w:pPr>
          </w:p>
        </w:tc>
        <w:tc>
          <w:tcPr>
            <w:tcW w:w="1000" w:type="dxa"/>
            <w:vAlign w:val="bottom"/>
            <w:vMerge w:val="continue"/>
            <w:shd w:val="clear" w:color="auto" w:fill="CCEEFF"/>
          </w:tcPr>
          <w:p>
            <w:pPr>
              <w:spacing w:after="0"/>
              <w:rPr>
                <w:sz w:val="18"/>
                <w:szCs w:val="18"/>
                <w:color w:val="auto"/>
              </w:rPr>
            </w:pPr>
          </w:p>
        </w:tc>
        <w:tc>
          <w:tcPr>
            <w:tcW w:w="720" w:type="dxa"/>
            <w:vAlign w:val="bottom"/>
            <w:vMerge w:val="continue"/>
            <w:shd w:val="clear" w:color="auto" w:fill="CCEEFF"/>
          </w:tcPr>
          <w:p>
            <w:pPr>
              <w:spacing w:after="0"/>
              <w:rPr>
                <w:sz w:val="18"/>
                <w:szCs w:val="18"/>
                <w:color w:val="auto"/>
              </w:rPr>
            </w:pPr>
          </w:p>
        </w:tc>
        <w:tc>
          <w:tcPr>
            <w:tcW w:w="400" w:type="dxa"/>
            <w:vAlign w:val="bottom"/>
            <w:gridSpan w:val="3"/>
            <w:vMerge w:val="continue"/>
            <w:shd w:val="clear" w:color="auto" w:fill="CCEEFF"/>
          </w:tcPr>
          <w:p>
            <w:pPr>
              <w:spacing w:after="0"/>
              <w:rPr>
                <w:sz w:val="18"/>
                <w:szCs w:val="18"/>
                <w:color w:val="auto"/>
              </w:rPr>
            </w:pPr>
          </w:p>
        </w:tc>
        <w:tc>
          <w:tcPr>
            <w:tcW w:w="980" w:type="dxa"/>
            <w:vAlign w:val="bottom"/>
            <w:vMerge w:val="continue"/>
            <w:shd w:val="clear" w:color="auto" w:fill="CCEEFF"/>
          </w:tcPr>
          <w:p>
            <w:pPr>
              <w:spacing w:after="0"/>
              <w:rPr>
                <w:sz w:val="18"/>
                <w:szCs w:val="18"/>
                <w:color w:val="auto"/>
              </w:rPr>
            </w:pPr>
          </w:p>
        </w:tc>
        <w:tc>
          <w:tcPr>
            <w:tcW w:w="7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4"/>
        </w:trPr>
        <w:tc>
          <w:tcPr>
            <w:tcW w:w="71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720" w:type="dxa"/>
            <w:vAlign w:val="bottom"/>
          </w:tcPr>
          <w:p>
            <w:pPr>
              <w:spacing w:after="0"/>
              <w:rPr>
                <w:sz w:val="9"/>
                <w:szCs w:val="9"/>
                <w:color w:val="auto"/>
              </w:rPr>
            </w:pPr>
          </w:p>
        </w:tc>
        <w:tc>
          <w:tcPr>
            <w:tcW w:w="400" w:type="dxa"/>
            <w:vAlign w:val="bottom"/>
            <w:gridSpan w:val="3"/>
          </w:tcPr>
          <w:p>
            <w:pPr>
              <w:spacing w:after="0"/>
              <w:rPr>
                <w:sz w:val="9"/>
                <w:szCs w:val="9"/>
                <w:color w:val="auto"/>
              </w:rPr>
            </w:pPr>
          </w:p>
        </w:tc>
        <w:tc>
          <w:tcPr>
            <w:tcW w:w="980" w:type="dxa"/>
            <w:vAlign w:val="bottom"/>
          </w:tcPr>
          <w:p>
            <w:pPr>
              <w:spacing w:after="0"/>
              <w:rPr>
                <w:sz w:val="9"/>
                <w:szCs w:val="9"/>
                <w:color w:val="auto"/>
              </w:rPr>
            </w:pPr>
          </w:p>
        </w:tc>
        <w:tc>
          <w:tcPr>
            <w:tcW w:w="7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7"/>
        </w:trPr>
        <w:tc>
          <w:tcPr>
            <w:tcW w:w="7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Amount of (gain) loss reclassified from Accumulated other comprehensive loss, net of expense</w:t>
            </w:r>
          </w:p>
        </w:tc>
        <w:tc>
          <w:tcPr>
            <w:tcW w:w="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w:t>
            </w:r>
          </w:p>
        </w:tc>
        <w:tc>
          <w:tcPr>
            <w:tcW w:w="1000" w:type="dxa"/>
            <w:vAlign w:val="bottom"/>
            <w:shd w:val="clear" w:color="auto" w:fill="CCEEFF"/>
          </w:tcPr>
          <w:p>
            <w:pPr>
              <w:jc w:val="right"/>
              <w:ind w:right="67"/>
              <w:spacing w:after="0"/>
              <w:rPr>
                <w:sz w:val="20"/>
                <w:szCs w:val="20"/>
                <w:color w:val="auto"/>
              </w:rPr>
            </w:pP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w:t>
            </w:r>
          </w:p>
        </w:tc>
        <w:tc>
          <w:tcPr>
            <w:tcW w:w="40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w:t>
            </w:r>
          </w:p>
        </w:tc>
        <w:tc>
          <w:tcPr>
            <w:tcW w:w="980" w:type="dxa"/>
            <w:vAlign w:val="bottom"/>
            <w:shd w:val="clear" w:color="auto" w:fill="CCEEFF"/>
          </w:tcPr>
          <w:p>
            <w:pPr>
              <w:jc w:val="right"/>
              <w:ind w:right="47"/>
              <w:spacing w:after="0"/>
              <w:rPr>
                <w:sz w:val="20"/>
                <w:szCs w:val="20"/>
                <w:color w:val="auto"/>
              </w:rPr>
            </w:pP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0" w:type="dxa"/>
            <w:vAlign w:val="bottom"/>
          </w:tcPr>
          <w:p>
            <w:pPr>
              <w:spacing w:after="0"/>
              <w:rPr>
                <w:sz w:val="1"/>
                <w:szCs w:val="1"/>
                <w:color w:val="auto"/>
              </w:rPr>
            </w:pPr>
          </w:p>
        </w:tc>
      </w:tr>
    </w:tbl>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Refer to Note 14, “Fair Value of Assets and Liabilities”, for further information on derivative assets and liabilities recorded at fair value on a recurring basis.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Concentration of Credit Risk</w:t>
      </w:r>
    </w:p>
    <w:p>
      <w:pPr>
        <w:spacing w:after="0" w:line="107"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The Company is potentially subject to concentrations of credit risk on accounts receivable and financial instruments such as hedging instruments and cash and cash equivalents. Credit risk includes the risk of nonperformance by counterparties. The maximum potential loss may exceed the amount recognized on the Condensed Consolidated Balance Sheets. Exposure to credit risk is managed through credit approvals, credit limits, selecting major international financial institutions as counterparties to hedging transactions and monitoring procedures. The Company’s business often involves large transactions with customers, and if one or more of those customers were to default on its obligations under applicable contractual arrangements, the Company could be exposed to potentially significant losses. However, management believes that the reserves for potential losses are adequate. As of September 30, 2024 and December 31, 2023, we did not have any major concentration of credit risk related to financial instruments.</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14. FAIR VALUE OF ASSETS AND LIABILITIES</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Assets and Liabilities Measured at Fair Value on a Recurring Basis</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Assets and liabilities recorded at fair value on a recurring basis as of September 30, 2024 were zero and as of December 31, 2023 are set forth as follows:</w:t>
      </w:r>
    </w:p>
    <w:p>
      <w:pPr>
        <w:spacing w:after="0" w:line="291" w:lineRule="exact"/>
        <w:rPr>
          <w:sz w:val="20"/>
          <w:szCs w:val="20"/>
          <w:color w:val="auto"/>
        </w:rPr>
      </w:pPr>
    </w:p>
    <w:tbl>
      <w:tblPr>
        <w:tblLayout w:type="fixed"/>
        <w:tblInd w:w="20" w:type="dxa"/>
        <w:tblCellMar>
          <w:top w:w="0" w:type="dxa"/>
          <w:left w:w="0" w:type="dxa"/>
          <w:bottom w:w="0" w:type="dxa"/>
          <w:right w:w="0" w:type="dxa"/>
        </w:tblCellMar>
      </w:tblPr>
      <w:tr>
        <w:trPr>
          <w:trHeight w:val="183"/>
        </w:trPr>
        <w:tc>
          <w:tcPr>
            <w:tcW w:w="42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2000" w:type="dxa"/>
            <w:vAlign w:val="bottom"/>
            <w:gridSpan w:val="3"/>
          </w:tcPr>
          <w:p>
            <w:pPr>
              <w:ind w:left="14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42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24"/>
        </w:trPr>
        <w:tc>
          <w:tcPr>
            <w:tcW w:w="42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80" w:type="dxa"/>
            <w:vAlign w:val="bottom"/>
          </w:tcPr>
          <w:p>
            <w:pPr>
              <w:jc w:val="center"/>
              <w:ind w:left="202"/>
              <w:spacing w:after="0" w:line="124" w:lineRule="exact"/>
              <w:rPr>
                <w:sz w:val="20"/>
                <w:szCs w:val="20"/>
                <w:color w:val="auto"/>
              </w:rPr>
            </w:pPr>
            <w:r>
              <w:rPr>
                <w:rFonts w:ascii="Times New Roman" w:cs="Times New Roman" w:eastAsia="Times New Roman" w:hAnsi="Times New Roman"/>
                <w:sz w:val="14"/>
                <w:szCs w:val="14"/>
                <w:b w:val="1"/>
                <w:bCs w:val="1"/>
                <w:color w:val="auto"/>
              </w:rPr>
              <w:t>Quoted Prices in</w:t>
            </w: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20" w:type="dxa"/>
            <w:vAlign w:val="bottom"/>
            <w:vMerge w:val="restart"/>
          </w:tcPr>
          <w:p>
            <w:pPr>
              <w:jc w:val="center"/>
              <w:ind w:left="201"/>
              <w:spacing w:after="0"/>
              <w:rPr>
                <w:sz w:val="20"/>
                <w:szCs w:val="20"/>
                <w:color w:val="auto"/>
              </w:rPr>
            </w:pPr>
            <w:r>
              <w:rPr>
                <w:rFonts w:ascii="Times New Roman" w:cs="Times New Roman" w:eastAsia="Times New Roman" w:hAnsi="Times New Roman"/>
                <w:sz w:val="14"/>
                <w:szCs w:val="14"/>
                <w:b w:val="1"/>
                <w:bCs w:val="1"/>
                <w:color w:val="auto"/>
                <w:w w:val="98"/>
              </w:rPr>
              <w:t>Significant Other</w:t>
            </w: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580" w:type="dxa"/>
            <w:vAlign w:val="bottom"/>
            <w:vMerge w:val="restart"/>
          </w:tcPr>
          <w:p>
            <w:pPr>
              <w:jc w:val="center"/>
              <w:ind w:right="121"/>
              <w:spacing w:after="0"/>
              <w:rPr>
                <w:sz w:val="20"/>
                <w:szCs w:val="20"/>
                <w:color w:val="auto"/>
              </w:rPr>
            </w:pPr>
            <w:r>
              <w:rPr>
                <w:rFonts w:ascii="Times New Roman" w:cs="Times New Roman" w:eastAsia="Times New Roman" w:hAnsi="Times New Roman"/>
                <w:sz w:val="14"/>
                <w:szCs w:val="14"/>
                <w:b w:val="1"/>
                <w:bCs w:val="1"/>
                <w:color w:val="auto"/>
                <w:w w:val="95"/>
              </w:rPr>
              <w:t>Significant</w:t>
            </w:r>
          </w:p>
        </w:tc>
        <w:tc>
          <w:tcPr>
            <w:tcW w:w="0" w:type="dxa"/>
            <w:vAlign w:val="bottom"/>
          </w:tcPr>
          <w:p>
            <w:pPr>
              <w:spacing w:after="0"/>
              <w:rPr>
                <w:sz w:val="1"/>
                <w:szCs w:val="1"/>
                <w:color w:val="auto"/>
              </w:rPr>
            </w:pPr>
          </w:p>
        </w:tc>
      </w:tr>
      <w:tr>
        <w:trPr>
          <w:trHeight w:val="141"/>
        </w:trPr>
        <w:tc>
          <w:tcPr>
            <w:tcW w:w="42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tcPr>
          <w:p>
            <w:pPr>
              <w:jc w:val="center"/>
              <w:ind w:left="202"/>
              <w:spacing w:after="0" w:line="141" w:lineRule="exact"/>
              <w:rPr>
                <w:sz w:val="20"/>
                <w:szCs w:val="20"/>
                <w:color w:val="auto"/>
              </w:rPr>
            </w:pPr>
            <w:r>
              <w:rPr>
                <w:rFonts w:ascii="Times New Roman" w:cs="Times New Roman" w:eastAsia="Times New Roman" w:hAnsi="Times New Roman"/>
                <w:sz w:val="14"/>
                <w:szCs w:val="14"/>
                <w:b w:val="1"/>
                <w:bCs w:val="1"/>
                <w:color w:val="auto"/>
                <w:w w:val="98"/>
              </w:rPr>
              <w:t>Active Markets for</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2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42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900" w:type="dxa"/>
            <w:vAlign w:val="bottom"/>
            <w:vMerge w:val="restart"/>
          </w:tcPr>
          <w:p>
            <w:pPr>
              <w:jc w:val="right"/>
              <w:ind w:right="57"/>
              <w:spacing w:after="0"/>
              <w:rPr>
                <w:sz w:val="20"/>
                <w:szCs w:val="20"/>
                <w:color w:val="auto"/>
              </w:rPr>
            </w:pPr>
            <w:r>
              <w:rPr>
                <w:rFonts w:ascii="Times New Roman" w:cs="Times New Roman" w:eastAsia="Times New Roman" w:hAnsi="Times New Roman"/>
                <w:sz w:val="14"/>
                <w:szCs w:val="14"/>
                <w:b w:val="1"/>
                <w:bCs w:val="1"/>
                <w:color w:val="auto"/>
              </w:rPr>
              <w:t>Total</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tcPr>
          <w:p>
            <w:pPr>
              <w:jc w:val="center"/>
              <w:ind w:left="202"/>
              <w:spacing w:after="0" w:line="143" w:lineRule="exact"/>
              <w:rPr>
                <w:sz w:val="20"/>
                <w:szCs w:val="20"/>
                <w:color w:val="auto"/>
              </w:rPr>
            </w:pPr>
            <w:r>
              <w:rPr>
                <w:rFonts w:ascii="Times New Roman" w:cs="Times New Roman" w:eastAsia="Times New Roman" w:hAnsi="Times New Roman"/>
                <w:sz w:val="14"/>
                <w:szCs w:val="14"/>
                <w:b w:val="1"/>
                <w:bCs w:val="1"/>
                <w:color w:val="auto"/>
                <w:w w:val="98"/>
              </w:rPr>
              <w:t>Identical Assets</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20" w:type="dxa"/>
            <w:vAlign w:val="bottom"/>
          </w:tcPr>
          <w:p>
            <w:pPr>
              <w:jc w:val="center"/>
              <w:ind w:left="201"/>
              <w:spacing w:after="0" w:line="143" w:lineRule="exact"/>
              <w:rPr>
                <w:sz w:val="20"/>
                <w:szCs w:val="20"/>
                <w:color w:val="auto"/>
              </w:rPr>
            </w:pPr>
            <w:r>
              <w:rPr>
                <w:rFonts w:ascii="Times New Roman" w:cs="Times New Roman" w:eastAsia="Times New Roman" w:hAnsi="Times New Roman"/>
                <w:sz w:val="14"/>
                <w:szCs w:val="14"/>
                <w:b w:val="1"/>
                <w:bCs w:val="1"/>
                <w:color w:val="auto"/>
                <w:w w:val="99"/>
              </w:rPr>
              <w:t>Observable Inputs</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80" w:type="dxa"/>
            <w:vAlign w:val="bottom"/>
          </w:tcPr>
          <w:p>
            <w:pPr>
              <w:jc w:val="center"/>
              <w:ind w:right="121"/>
              <w:spacing w:after="0" w:line="143" w:lineRule="exact"/>
              <w:rPr>
                <w:sz w:val="20"/>
                <w:szCs w:val="20"/>
                <w:color w:val="auto"/>
              </w:rPr>
            </w:pPr>
            <w:r>
              <w:rPr>
                <w:rFonts w:ascii="Times New Roman" w:cs="Times New Roman" w:eastAsia="Times New Roman" w:hAnsi="Times New Roman"/>
                <w:sz w:val="14"/>
                <w:szCs w:val="14"/>
                <w:b w:val="1"/>
                <w:bCs w:val="1"/>
                <w:color w:val="auto"/>
                <w:w w:val="97"/>
              </w:rPr>
              <w:t>Unobservable Inputs</w:t>
            </w:r>
          </w:p>
        </w:tc>
        <w:tc>
          <w:tcPr>
            <w:tcW w:w="0" w:type="dxa"/>
            <w:vAlign w:val="bottom"/>
          </w:tcPr>
          <w:p>
            <w:pPr>
              <w:spacing w:after="0"/>
              <w:rPr>
                <w:sz w:val="1"/>
                <w:szCs w:val="1"/>
                <w:color w:val="auto"/>
              </w:rPr>
            </w:pPr>
          </w:p>
        </w:tc>
      </w:tr>
      <w:tr>
        <w:trPr>
          <w:trHeight w:val="189"/>
        </w:trPr>
        <w:tc>
          <w:tcPr>
            <w:tcW w:w="4280" w:type="dxa"/>
            <w:vAlign w:val="bottom"/>
            <w:tcBorders>
              <w:bottom w:val="single" w:sz="8" w:color="CCEEFF"/>
            </w:tcBorders>
            <w:vMerge w:val="continue"/>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80" w:type="dxa"/>
            <w:vAlign w:val="bottom"/>
            <w:tcBorders>
              <w:bottom w:val="single" w:sz="8" w:color="auto"/>
            </w:tcBorders>
          </w:tcPr>
          <w:p>
            <w:pPr>
              <w:jc w:val="center"/>
              <w:ind w:left="202"/>
              <w:spacing w:after="0"/>
              <w:rPr>
                <w:sz w:val="20"/>
                <w:szCs w:val="20"/>
                <w:color w:val="auto"/>
              </w:rPr>
            </w:pPr>
            <w:r>
              <w:rPr>
                <w:rFonts w:ascii="Times New Roman" w:cs="Times New Roman" w:eastAsia="Times New Roman" w:hAnsi="Times New Roman"/>
                <w:sz w:val="14"/>
                <w:szCs w:val="14"/>
                <w:b w:val="1"/>
                <w:bCs w:val="1"/>
                <w:color w:val="auto"/>
                <w:w w:val="98"/>
              </w:rPr>
              <w:t>(Level 1)</w:t>
            </w:r>
          </w:p>
        </w:tc>
        <w:tc>
          <w:tcPr>
            <w:tcW w:w="2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20" w:type="dxa"/>
            <w:vAlign w:val="bottom"/>
            <w:tcBorders>
              <w:bottom w:val="single" w:sz="8" w:color="auto"/>
            </w:tcBorders>
          </w:tcPr>
          <w:p>
            <w:pPr>
              <w:jc w:val="center"/>
              <w:ind w:left="221"/>
              <w:spacing w:after="0"/>
              <w:rPr>
                <w:sz w:val="20"/>
                <w:szCs w:val="20"/>
                <w:color w:val="auto"/>
              </w:rPr>
            </w:pPr>
            <w:r>
              <w:rPr>
                <w:rFonts w:ascii="Times New Roman" w:cs="Times New Roman" w:eastAsia="Times New Roman" w:hAnsi="Times New Roman"/>
                <w:sz w:val="14"/>
                <w:szCs w:val="14"/>
                <w:b w:val="1"/>
                <w:bCs w:val="1"/>
                <w:color w:val="auto"/>
                <w:w w:val="98"/>
              </w:rPr>
              <w:t>(Level 2)</w:t>
            </w:r>
          </w:p>
        </w:tc>
        <w:tc>
          <w:tcPr>
            <w:tcW w:w="2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jc w:val="center"/>
              <w:ind w:right="121"/>
              <w:spacing w:after="0"/>
              <w:rPr>
                <w:sz w:val="20"/>
                <w:szCs w:val="20"/>
                <w:color w:val="auto"/>
              </w:rPr>
            </w:pPr>
            <w:r>
              <w:rPr>
                <w:rFonts w:ascii="Times New Roman" w:cs="Times New Roman" w:eastAsia="Times New Roman" w:hAnsi="Times New Roman"/>
                <w:sz w:val="14"/>
                <w:szCs w:val="14"/>
                <w:b w:val="1"/>
                <w:bCs w:val="1"/>
                <w:color w:val="auto"/>
                <w:w w:val="95"/>
              </w:rPr>
              <w:t>(Level 3)</w:t>
            </w:r>
          </w:p>
        </w:tc>
        <w:tc>
          <w:tcPr>
            <w:tcW w:w="0" w:type="dxa"/>
            <w:vAlign w:val="bottom"/>
          </w:tcPr>
          <w:p>
            <w:pPr>
              <w:spacing w:after="0"/>
              <w:rPr>
                <w:sz w:val="1"/>
                <w:szCs w:val="1"/>
                <w:color w:val="auto"/>
              </w:rPr>
            </w:pPr>
          </w:p>
        </w:tc>
      </w:tr>
      <w:tr>
        <w:trPr>
          <w:trHeight w:val="206"/>
        </w:trPr>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Assets:</w:t>
            </w:r>
          </w:p>
        </w:tc>
        <w:tc>
          <w:tcPr>
            <w:tcW w:w="9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4280" w:type="dxa"/>
            <w:vAlign w:val="bottom"/>
          </w:tcPr>
          <w:p>
            <w:pPr>
              <w:ind w:left="20"/>
              <w:spacing w:after="0" w:line="221" w:lineRule="exact"/>
              <w:rPr>
                <w:sz w:val="20"/>
                <w:szCs w:val="20"/>
                <w:color w:val="auto"/>
              </w:rPr>
            </w:pPr>
            <w:r>
              <w:rPr>
                <w:rFonts w:ascii="Times New Roman" w:cs="Times New Roman" w:eastAsia="Times New Roman" w:hAnsi="Times New Roman"/>
                <w:sz w:val="17"/>
                <w:szCs w:val="17"/>
                <w:color w:val="auto"/>
              </w:rPr>
              <w:t>Foreign exchange contracts</w:t>
            </w:r>
            <w:r>
              <w:rPr>
                <w:rFonts w:ascii="Times New Roman" w:cs="Times New Roman" w:eastAsia="Times New Roman" w:hAnsi="Times New Roman"/>
                <w:sz w:val="22"/>
                <w:szCs w:val="22"/>
                <w:color w:val="auto"/>
                <w:vertAlign w:val="superscript"/>
              </w:rPr>
              <w:t>(1)</w:t>
            </w:r>
          </w:p>
        </w:tc>
        <w:tc>
          <w:tcPr>
            <w:tcW w:w="900" w:type="dxa"/>
            <w:vAlign w:val="bottom"/>
          </w:tcPr>
          <w:p>
            <w:pPr>
              <w:jc w:val="right"/>
              <w:ind w:right="697"/>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w:t>
            </w:r>
          </w:p>
        </w:tc>
        <w:tc>
          <w:tcPr>
            <w:tcW w:w="100" w:type="dxa"/>
            <w:vAlign w:val="bottom"/>
          </w:tcPr>
          <w:p>
            <w:pPr>
              <w:spacing w:after="0"/>
              <w:rPr>
                <w:sz w:val="19"/>
                <w:szCs w:val="19"/>
                <w:color w:val="auto"/>
              </w:rPr>
            </w:pPr>
          </w:p>
        </w:tc>
        <w:tc>
          <w:tcPr>
            <w:tcW w:w="1480" w:type="dxa"/>
            <w:vAlign w:val="bottom"/>
          </w:tcPr>
          <w:p>
            <w:pPr>
              <w:jc w:val="right"/>
              <w:ind w:right="1302"/>
              <w:spacing w:after="0"/>
              <w:rPr>
                <w:sz w:val="20"/>
                <w:szCs w:val="20"/>
                <w:color w:val="auto"/>
              </w:rPr>
            </w:pPr>
            <w:r>
              <w:rPr>
                <w:rFonts w:ascii="Times New Roman" w:cs="Times New Roman" w:eastAsia="Times New Roman" w:hAnsi="Times New Roman"/>
                <w:sz w:val="17"/>
                <w:szCs w:val="17"/>
                <w:color w:val="auto"/>
                <w:w w:val="93"/>
              </w:rPr>
              <w:t>$</w:t>
            </w:r>
          </w:p>
        </w:tc>
        <w:tc>
          <w:tcPr>
            <w:tcW w:w="380" w:type="dxa"/>
            <w:vAlign w:val="bottom"/>
            <w:gridSpan w:val="2"/>
          </w:tcPr>
          <w:p>
            <w:pPr>
              <w:ind w:left="40"/>
              <w:spacing w:after="0"/>
              <w:rPr>
                <w:sz w:val="20"/>
                <w:szCs w:val="20"/>
                <w:color w:val="auto"/>
              </w:rPr>
            </w:pPr>
            <w:r>
              <w:rPr>
                <w:rFonts w:ascii="Times New Roman" w:cs="Times New Roman" w:eastAsia="Times New Roman" w:hAnsi="Times New Roman"/>
                <w:sz w:val="17"/>
                <w:szCs w:val="17"/>
                <w:color w:val="auto"/>
              </w:rPr>
              <w:t>—</w:t>
            </w:r>
          </w:p>
        </w:tc>
        <w:tc>
          <w:tcPr>
            <w:tcW w:w="1620" w:type="dxa"/>
            <w:vAlign w:val="bottom"/>
          </w:tcPr>
          <w:p>
            <w:pPr>
              <w:jc w:val="right"/>
              <w:ind w:right="1441"/>
              <w:spacing w:after="0"/>
              <w:rPr>
                <w:sz w:val="20"/>
                <w:szCs w:val="20"/>
                <w:color w:val="auto"/>
              </w:rPr>
            </w:pPr>
            <w:r>
              <w:rPr>
                <w:rFonts w:ascii="Times New Roman" w:cs="Times New Roman" w:eastAsia="Times New Roman" w:hAnsi="Times New Roman"/>
                <w:sz w:val="17"/>
                <w:szCs w:val="17"/>
                <w:color w:val="auto"/>
                <w:w w:val="93"/>
              </w:rPr>
              <w:t>$</w:t>
            </w:r>
          </w:p>
        </w:tc>
        <w:tc>
          <w:tcPr>
            <w:tcW w:w="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580" w:type="dxa"/>
            <w:vAlign w:val="bottom"/>
          </w:tcPr>
          <w:p>
            <w:pPr>
              <w:ind w:left="132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38"/>
        </w:trPr>
        <w:tc>
          <w:tcPr>
            <w:tcW w:w="4280" w:type="dxa"/>
            <w:vAlign w:val="bottom"/>
            <w:tcBorders>
              <w:top w:val="single" w:sz="8" w:color="CCEEFF"/>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7"/>
                <w:szCs w:val="17"/>
                <w:b w:val="1"/>
                <w:bCs w:val="1"/>
                <w:color w:val="auto"/>
              </w:rPr>
              <w:t>Total</w:t>
            </w:r>
          </w:p>
        </w:tc>
        <w:tc>
          <w:tcPr>
            <w:tcW w:w="900" w:type="dxa"/>
            <w:vAlign w:val="bottom"/>
            <w:tcBorders>
              <w:top w:val="single" w:sz="8" w:color="auto"/>
              <w:bottom w:val="single" w:sz="8" w:color="auto"/>
            </w:tcBorders>
            <w:shd w:val="clear" w:color="auto" w:fill="CCEEFF"/>
          </w:tcPr>
          <w:p>
            <w:pPr>
              <w:jc w:val="right"/>
              <w:ind w:right="697"/>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80" w:type="dxa"/>
            <w:vAlign w:val="bottom"/>
            <w:tcBorders>
              <w:top w:val="single" w:sz="8" w:color="auto"/>
              <w:bottom w:val="single" w:sz="8" w:color="auto"/>
            </w:tcBorders>
            <w:shd w:val="clear" w:color="auto" w:fill="CCEEFF"/>
          </w:tcPr>
          <w:p>
            <w:pPr>
              <w:jc w:val="right"/>
              <w:ind w:right="1302"/>
              <w:spacing w:after="0"/>
              <w:rPr>
                <w:sz w:val="20"/>
                <w:szCs w:val="20"/>
                <w:color w:val="auto"/>
              </w:rPr>
            </w:pPr>
            <w:r>
              <w:rPr>
                <w:rFonts w:ascii="Times New Roman" w:cs="Times New Roman" w:eastAsia="Times New Roman" w:hAnsi="Times New Roman"/>
                <w:sz w:val="17"/>
                <w:szCs w:val="17"/>
                <w:color w:val="auto"/>
                <w:w w:val="93"/>
              </w:rPr>
              <w:t>$</w:t>
            </w:r>
          </w:p>
        </w:tc>
        <w:tc>
          <w:tcPr>
            <w:tcW w:w="280" w:type="dxa"/>
            <w:vAlign w:val="bottom"/>
            <w:tcBorders>
              <w:top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20" w:type="dxa"/>
            <w:vAlign w:val="bottom"/>
            <w:tcBorders>
              <w:top w:val="single" w:sz="8" w:color="auto"/>
              <w:bottom w:val="single" w:sz="8" w:color="auto"/>
            </w:tcBorders>
            <w:shd w:val="clear" w:color="auto" w:fill="CCEEFF"/>
          </w:tcPr>
          <w:p>
            <w:pPr>
              <w:jc w:val="right"/>
              <w:ind w:right="1441"/>
              <w:spacing w:after="0"/>
              <w:rPr>
                <w:sz w:val="20"/>
                <w:szCs w:val="20"/>
                <w:color w:val="auto"/>
              </w:rPr>
            </w:pPr>
            <w:r>
              <w:rPr>
                <w:rFonts w:ascii="Times New Roman" w:cs="Times New Roman" w:eastAsia="Times New Roman" w:hAnsi="Times New Roman"/>
                <w:sz w:val="17"/>
                <w:szCs w:val="17"/>
                <w:color w:val="auto"/>
                <w:w w:val="93"/>
              </w:rPr>
              <w:t>$</w:t>
            </w:r>
          </w:p>
        </w:tc>
        <w:tc>
          <w:tcPr>
            <w:tcW w:w="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580" w:type="dxa"/>
            <w:vAlign w:val="bottom"/>
            <w:tcBorders>
              <w:top w:val="single" w:sz="8" w:color="auto"/>
              <w:bottom w:val="single" w:sz="8" w:color="auto"/>
            </w:tcBorders>
            <w:shd w:val="clear" w:color="auto" w:fill="CCEEFF"/>
          </w:tcPr>
          <w:p>
            <w:pPr>
              <w:ind w:left="132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
        </w:trPr>
        <w:tc>
          <w:tcPr>
            <w:tcW w:w="42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7"/>
                <w:szCs w:val="17"/>
                <w:b w:val="1"/>
                <w:bCs w:val="1"/>
                <w:color w:val="auto"/>
              </w:rPr>
              <w:t>Liabilities:</w:t>
            </w: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4280" w:type="dxa"/>
            <w:vAlign w:val="bottom"/>
            <w:vMerge w:val="continue"/>
          </w:tcPr>
          <w:p>
            <w:pPr>
              <w:spacing w:after="0"/>
              <w:rPr>
                <w:sz w:val="14"/>
                <w:szCs w:val="14"/>
                <w:color w:val="auto"/>
              </w:rPr>
            </w:pPr>
          </w:p>
        </w:tc>
        <w:tc>
          <w:tcPr>
            <w:tcW w:w="9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0"/>
        </w:trPr>
        <w:tc>
          <w:tcPr>
            <w:tcW w:w="4280" w:type="dxa"/>
            <w:vAlign w:val="bottom"/>
            <w:shd w:val="clear" w:color="auto" w:fill="CCEEFF"/>
          </w:tcPr>
          <w:p>
            <w:pPr>
              <w:ind w:left="20"/>
              <w:spacing w:after="0" w:line="221" w:lineRule="exact"/>
              <w:rPr>
                <w:sz w:val="20"/>
                <w:szCs w:val="20"/>
                <w:color w:val="auto"/>
              </w:rPr>
            </w:pPr>
            <w:r>
              <w:rPr>
                <w:rFonts w:ascii="Times New Roman" w:cs="Times New Roman" w:eastAsia="Times New Roman" w:hAnsi="Times New Roman"/>
                <w:sz w:val="17"/>
                <w:szCs w:val="17"/>
                <w:color w:val="auto"/>
              </w:rPr>
              <w:t>Foreign exchange contracts</w:t>
            </w:r>
            <w:r>
              <w:rPr>
                <w:rFonts w:ascii="Times New Roman" w:cs="Times New Roman" w:eastAsia="Times New Roman" w:hAnsi="Times New Roman"/>
                <w:sz w:val="22"/>
                <w:szCs w:val="22"/>
                <w:color w:val="auto"/>
                <w:vertAlign w:val="superscript"/>
              </w:rPr>
              <w:t>(2)</w:t>
            </w:r>
          </w:p>
        </w:tc>
        <w:tc>
          <w:tcPr>
            <w:tcW w:w="900" w:type="dxa"/>
            <w:vAlign w:val="bottom"/>
            <w:shd w:val="clear" w:color="auto" w:fill="CCEEFF"/>
          </w:tcPr>
          <w:p>
            <w:pPr>
              <w:jc w:val="right"/>
              <w:ind w:right="697"/>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ind w:right="1302"/>
              <w:spacing w:after="0"/>
              <w:rPr>
                <w:sz w:val="20"/>
                <w:szCs w:val="20"/>
                <w:color w:val="auto"/>
              </w:rPr>
            </w:pPr>
            <w:r>
              <w:rPr>
                <w:rFonts w:ascii="Times New Roman" w:cs="Times New Roman" w:eastAsia="Times New Roman" w:hAnsi="Times New Roman"/>
                <w:sz w:val="17"/>
                <w:szCs w:val="17"/>
                <w:color w:val="auto"/>
                <w:w w:val="93"/>
              </w:rPr>
              <w:t>$</w:t>
            </w:r>
          </w:p>
        </w:tc>
        <w:tc>
          <w:tcPr>
            <w:tcW w:w="3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w:t>
            </w:r>
          </w:p>
        </w:tc>
        <w:tc>
          <w:tcPr>
            <w:tcW w:w="1620" w:type="dxa"/>
            <w:vAlign w:val="bottom"/>
            <w:shd w:val="clear" w:color="auto" w:fill="CCEEFF"/>
          </w:tcPr>
          <w:p>
            <w:pPr>
              <w:jc w:val="right"/>
              <w:ind w:right="1441"/>
              <w:spacing w:after="0"/>
              <w:rPr>
                <w:sz w:val="20"/>
                <w:szCs w:val="20"/>
                <w:color w:val="auto"/>
              </w:rPr>
            </w:pPr>
            <w:r>
              <w:rPr>
                <w:rFonts w:ascii="Times New Roman" w:cs="Times New Roman" w:eastAsia="Times New Roman" w:hAnsi="Times New Roman"/>
                <w:sz w:val="17"/>
                <w:szCs w:val="17"/>
                <w:color w:val="auto"/>
                <w:w w:val="93"/>
              </w:rPr>
              <w:t>$</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580" w:type="dxa"/>
            <w:vAlign w:val="bottom"/>
            <w:shd w:val="clear" w:color="auto" w:fill="CCEEFF"/>
          </w:tcPr>
          <w:p>
            <w:pPr>
              <w:ind w:left="132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3"/>
        </w:trPr>
        <w:tc>
          <w:tcPr>
            <w:tcW w:w="4280" w:type="dxa"/>
            <w:vAlign w:val="bottom"/>
          </w:tcPr>
          <w:p>
            <w:pPr>
              <w:ind w:left="320"/>
              <w:spacing w:after="0"/>
              <w:rPr>
                <w:sz w:val="20"/>
                <w:szCs w:val="20"/>
                <w:color w:val="auto"/>
              </w:rPr>
            </w:pPr>
            <w:r>
              <w:rPr>
                <w:rFonts w:ascii="Times New Roman" w:cs="Times New Roman" w:eastAsia="Times New Roman" w:hAnsi="Times New Roman"/>
                <w:sz w:val="17"/>
                <w:szCs w:val="17"/>
                <w:b w:val="1"/>
                <w:bCs w:val="1"/>
                <w:color w:val="auto"/>
              </w:rPr>
              <w:t>Total</w:t>
            </w:r>
          </w:p>
        </w:tc>
        <w:tc>
          <w:tcPr>
            <w:tcW w:w="900" w:type="dxa"/>
            <w:vAlign w:val="bottom"/>
            <w:tcBorders>
              <w:top w:val="single" w:sz="8" w:color="auto"/>
              <w:bottom w:val="single" w:sz="8" w:color="auto"/>
            </w:tcBorders>
          </w:tcPr>
          <w:p>
            <w:pPr>
              <w:jc w:val="right"/>
              <w:ind w:right="697"/>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100" w:type="dxa"/>
            <w:vAlign w:val="bottom"/>
          </w:tcPr>
          <w:p>
            <w:pPr>
              <w:spacing w:after="0"/>
              <w:rPr>
                <w:sz w:val="18"/>
                <w:szCs w:val="18"/>
                <w:color w:val="auto"/>
              </w:rPr>
            </w:pPr>
          </w:p>
        </w:tc>
        <w:tc>
          <w:tcPr>
            <w:tcW w:w="1480" w:type="dxa"/>
            <w:vAlign w:val="bottom"/>
            <w:tcBorders>
              <w:top w:val="single" w:sz="8" w:color="auto"/>
              <w:bottom w:val="single" w:sz="8" w:color="auto"/>
            </w:tcBorders>
          </w:tcPr>
          <w:p>
            <w:pPr>
              <w:jc w:val="right"/>
              <w:ind w:right="1302"/>
              <w:spacing w:after="0"/>
              <w:rPr>
                <w:sz w:val="20"/>
                <w:szCs w:val="20"/>
                <w:color w:val="auto"/>
              </w:rPr>
            </w:pPr>
            <w:r>
              <w:rPr>
                <w:rFonts w:ascii="Times New Roman" w:cs="Times New Roman" w:eastAsia="Times New Roman" w:hAnsi="Times New Roman"/>
                <w:sz w:val="17"/>
                <w:szCs w:val="17"/>
                <w:color w:val="auto"/>
                <w:w w:val="93"/>
              </w:rPr>
              <w:t>$</w:t>
            </w:r>
          </w:p>
        </w:tc>
        <w:tc>
          <w:tcPr>
            <w:tcW w:w="280" w:type="dxa"/>
            <w:vAlign w:val="bottom"/>
            <w:tcBorders>
              <w:top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8"/>
                <w:szCs w:val="18"/>
                <w:color w:val="auto"/>
              </w:rPr>
            </w:pPr>
          </w:p>
        </w:tc>
        <w:tc>
          <w:tcPr>
            <w:tcW w:w="1620" w:type="dxa"/>
            <w:vAlign w:val="bottom"/>
            <w:tcBorders>
              <w:top w:val="single" w:sz="8" w:color="auto"/>
              <w:bottom w:val="single" w:sz="8" w:color="auto"/>
            </w:tcBorders>
          </w:tcPr>
          <w:p>
            <w:pPr>
              <w:jc w:val="right"/>
              <w:ind w:right="1441"/>
              <w:spacing w:after="0"/>
              <w:rPr>
                <w:sz w:val="20"/>
                <w:szCs w:val="20"/>
                <w:color w:val="auto"/>
              </w:rPr>
            </w:pPr>
            <w:r>
              <w:rPr>
                <w:rFonts w:ascii="Times New Roman" w:cs="Times New Roman" w:eastAsia="Times New Roman" w:hAnsi="Times New Roman"/>
                <w:sz w:val="17"/>
                <w:szCs w:val="17"/>
                <w:color w:val="auto"/>
                <w:w w:val="93"/>
              </w:rPr>
              <w:t>$</w:t>
            </w:r>
          </w:p>
        </w:tc>
        <w:tc>
          <w:tcPr>
            <w:tcW w:w="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10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580" w:type="dxa"/>
            <w:vAlign w:val="bottom"/>
            <w:tcBorders>
              <w:top w:val="single" w:sz="8" w:color="auto"/>
              <w:bottom w:val="single" w:sz="8" w:color="auto"/>
            </w:tcBorders>
          </w:tcPr>
          <w:p>
            <w:pPr>
              <w:ind w:left="132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
        </w:trPr>
        <w:tc>
          <w:tcPr>
            <w:tcW w:w="42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vertAlign w:val="superscript"/>
        </w:rPr>
        <w:t>(1)</w:t>
      </w:r>
      <w:r>
        <w:rPr>
          <w:rFonts w:ascii="Times New Roman" w:cs="Times New Roman" w:eastAsia="Times New Roman" w:hAnsi="Times New Roman"/>
          <w:sz w:val="16"/>
          <w:szCs w:val="16"/>
          <w:color w:val="auto"/>
        </w:rPr>
        <w:t>Included in Prepaid and other current assets in the Condensed Consolidated Balance Sheets.</w:t>
      </w:r>
    </w:p>
    <w:p>
      <w:pPr>
        <w:spacing w:after="0"/>
        <w:rPr>
          <w:sz w:val="20"/>
          <w:szCs w:val="20"/>
          <w:color w:val="auto"/>
        </w:rPr>
      </w:pPr>
      <w:r>
        <w:rPr>
          <w:rFonts w:ascii="Times New Roman" w:cs="Times New Roman" w:eastAsia="Times New Roman" w:hAnsi="Times New Roman"/>
          <w:sz w:val="20"/>
          <w:szCs w:val="20"/>
          <w:color w:val="auto"/>
          <w:vertAlign w:val="superscript"/>
        </w:rPr>
        <w:t>(2)</w:t>
      </w:r>
      <w:r>
        <w:rPr>
          <w:rFonts w:ascii="Times New Roman" w:cs="Times New Roman" w:eastAsia="Times New Roman" w:hAnsi="Times New Roman"/>
          <w:sz w:val="16"/>
          <w:szCs w:val="16"/>
          <w:color w:val="auto"/>
        </w:rPr>
        <w:t>Included in Other current liabilities in the Condensed Consolidated Balance Sheets.</w:t>
      </w: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3435" cy="419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5" w:name="page36"/>
    <w:bookmarkEnd w:id="35"/>
    <w:p>
      <w:pPr>
        <w:ind w:left="62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NCR Voyix Corporation</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 (Unaudited)—(Continued)</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i w:val="1"/>
          <w:iCs w:val="1"/>
          <w:color w:val="auto"/>
        </w:rPr>
        <w:t xml:space="preserve">Deposits Held in Money Market Mutual Funds </w:t>
      </w:r>
      <w:r>
        <w:rPr>
          <w:rFonts w:ascii="Times New Roman" w:cs="Times New Roman" w:eastAsia="Times New Roman" w:hAnsi="Times New Roman"/>
          <w:sz w:val="17"/>
          <w:szCs w:val="17"/>
          <w:color w:val="auto"/>
        </w:rPr>
        <w:t>A portion of the Company’s excess cash is held in money market mutual funds that generate interest income based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on prevailing market rates. Money market mutual fund holdings are measured at fair value using quoted market prices and are classified within Level 1 of the valuation hierarchy.</w:t>
      </w:r>
    </w:p>
    <w:p>
      <w:pPr>
        <w:spacing w:after="0" w:line="186"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i w:val="1"/>
          <w:iCs w:val="1"/>
          <w:color w:val="auto"/>
        </w:rPr>
        <w:t xml:space="preserve">Foreign Exchange Contracts </w:t>
      </w:r>
      <w:r>
        <w:rPr>
          <w:rFonts w:ascii="Times New Roman" w:cs="Times New Roman" w:eastAsia="Times New Roman" w:hAnsi="Times New Roman"/>
          <w:sz w:val="17"/>
          <w:szCs w:val="17"/>
          <w:color w:val="auto"/>
        </w:rPr>
        <w:t>As a result of our global operating activities, we are exposed to risks from changes in foreign currency exchange rates, which may</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adversely affect our financial condition. To manage our exposures and mitigate the impact of currency fluctuations on our financial results, we hedge our primary transactional exposures through the use of foreign exchange forward and option contracts. The foreign exchange contracts are valued using the market approach based on observable market transactions of forward rates and are classified within Level 2 of the valuation hierarchy.</w:t>
      </w:r>
    </w:p>
    <w:p>
      <w:pPr>
        <w:spacing w:after="0" w:line="195"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We incorporate credit valuation adjustments to appropriately reflect both our own nonperformance risk and the respective counterparty’s nonperformance risk in the fair value measurements. In adjusting the fair value of our derivative contracts for the effect of nonperformance risk, we consider the impact of netting and any applicable credit enhancements. We measure the credit risk of our derivative financial instruments that are subject to master netting agreements on a net basis by counterparty portfolio.</w:t>
      </w:r>
    </w:p>
    <w:p>
      <w:pPr>
        <w:spacing w:after="0" w:line="193"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Although we have determined that the majority of the inputs used to value our derivatives fall within Level 2 of the fair value hierarchy, the credit valuation adjustments utilize Level 3 inputs to evaluate the likelihood of both our own default and counterparty default. As of September 30, 2024, we determined that the credit valuation adjustments are not significant to the overall valuation of our derivatives and therefore, the valuations are classified in Level 2 of the fair value hierarchy.</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Assets Measured at Fair Value on a Non-recurring Basis</w:t>
      </w:r>
    </w:p>
    <w:p>
      <w:pPr>
        <w:spacing w:after="0" w:line="249"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From time to time, certain assets are measured at fair value on a nonrecurring basis using significant unobservable inputs (Level 3). The Company reviews the carrying values of investments when events and circumstances warrant and considers all available evidence in evaluating when declines in fair value are other-than-temporary declines. There were no material impairment charges or non-recurring fair value adjustments recorded during the three and nine months ended September 30, 2024 and 2023.</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15. ACCUMULATED OTHER COMPREHENSIVE INCOME (LOSS)</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Changes in Accumulated Other Comprehensive Income (“AOCI”) by Component</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60" w:type="dxa"/>
            <w:vAlign w:val="bottom"/>
          </w:tcPr>
          <w:p>
            <w:pPr>
              <w:spacing w:after="0"/>
              <w:rPr>
                <w:sz w:val="13"/>
                <w:szCs w:val="13"/>
                <w:color w:val="auto"/>
              </w:rPr>
            </w:pPr>
          </w:p>
        </w:tc>
        <w:tc>
          <w:tcPr>
            <w:tcW w:w="1580" w:type="dxa"/>
            <w:vAlign w:val="bottom"/>
          </w:tcPr>
          <w:p>
            <w:pPr>
              <w:jc w:val="right"/>
              <w:ind w:right="159"/>
              <w:spacing w:after="0"/>
              <w:rPr>
                <w:sz w:val="20"/>
                <w:szCs w:val="20"/>
                <w:color w:val="auto"/>
              </w:rPr>
            </w:pPr>
            <w:r>
              <w:rPr>
                <w:rFonts w:ascii="Times New Roman" w:cs="Times New Roman" w:eastAsia="Times New Roman" w:hAnsi="Times New Roman"/>
                <w:sz w:val="14"/>
                <w:szCs w:val="14"/>
                <w:b w:val="1"/>
                <w:bCs w:val="1"/>
                <w:color w:val="auto"/>
              </w:rPr>
              <w:t>Currency Translation</w:t>
            </w:r>
          </w:p>
        </w:tc>
        <w:tc>
          <w:tcPr>
            <w:tcW w:w="13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w w:val="99"/>
              </w:rPr>
              <w:t>Changes in Employee</w:t>
            </w:r>
          </w:p>
        </w:tc>
        <w:tc>
          <w:tcPr>
            <w:tcW w:w="120" w:type="dxa"/>
            <w:vAlign w:val="bottom"/>
          </w:tcPr>
          <w:p>
            <w:pPr>
              <w:spacing w:after="0"/>
              <w:rPr>
                <w:sz w:val="13"/>
                <w:szCs w:val="13"/>
                <w:color w:val="auto"/>
              </w:rPr>
            </w:pPr>
          </w:p>
        </w:tc>
        <w:tc>
          <w:tcPr>
            <w:tcW w:w="19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Changes in Fair Value of</w:t>
            </w:r>
          </w:p>
        </w:tc>
        <w:tc>
          <w:tcPr>
            <w:tcW w:w="1020" w:type="dxa"/>
            <w:vAlign w:val="bottom"/>
            <w:vMerge w:val="restart"/>
          </w:tcPr>
          <w:p>
            <w:pPr>
              <w:jc w:val="right"/>
              <w:ind w:right="416"/>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9"/>
        </w:trPr>
        <w:tc>
          <w:tcPr>
            <w:tcW w:w="512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1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4"/>
                <w:szCs w:val="14"/>
                <w:b w:val="1"/>
                <w:bCs w:val="1"/>
                <w:color w:val="auto"/>
              </w:rPr>
              <w:t>Benefit Plans</w:t>
            </w:r>
          </w:p>
        </w:tc>
        <w:tc>
          <w:tcPr>
            <w:tcW w:w="204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Effective Cash Flow Hedges</w:t>
            </w:r>
          </w:p>
        </w:tc>
        <w:tc>
          <w:tcPr>
            <w:tcW w:w="10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Balance as of December 31, 2023</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(424)</w:t>
            </w:r>
          </w:p>
        </w:tc>
        <w:tc>
          <w:tcPr>
            <w:tcW w:w="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w:t>
            </w:r>
          </w:p>
        </w:tc>
        <w:tc>
          <w:tcPr>
            <w:tcW w:w="1140" w:type="dxa"/>
            <w:vAlign w:val="bottom"/>
            <w:shd w:val="clear" w:color="auto" w:fill="CCEEFF"/>
          </w:tcPr>
          <w:p>
            <w:pPr>
              <w:ind w:left="900"/>
              <w:spacing w:after="0"/>
              <w:rPr>
                <w:sz w:val="20"/>
                <w:szCs w:val="20"/>
                <w:color w:val="auto"/>
              </w:rPr>
            </w:pPr>
            <w:r>
              <w:rPr>
                <w:rFonts w:ascii="Times New Roman" w:cs="Times New Roman" w:eastAsia="Times New Roman" w:hAnsi="Times New Roman"/>
                <w:sz w:val="17"/>
                <w:szCs w:val="17"/>
                <w:b w:val="1"/>
                <w:bCs w:val="1"/>
                <w:color w:val="auto"/>
              </w:rPr>
              <w:t>(5)</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920" w:type="dxa"/>
            <w:vAlign w:val="bottom"/>
            <w:shd w:val="clear" w:color="auto" w:fill="CCEEFF"/>
          </w:tcPr>
          <w:p>
            <w:pPr>
              <w:ind w:left="1380"/>
              <w:spacing w:after="0"/>
              <w:rPr>
                <w:sz w:val="20"/>
                <w:szCs w:val="20"/>
                <w:color w:val="auto"/>
              </w:rPr>
            </w:pPr>
            <w:r>
              <w:rPr>
                <w:rFonts w:ascii="Times New Roman" w:cs="Times New Roman" w:eastAsia="Times New Roman" w:hAnsi="Times New Roman"/>
                <w:sz w:val="17"/>
                <w:szCs w:val="17"/>
                <w:b w:val="1"/>
                <w:bCs w:val="1"/>
                <w:color w:val="auto"/>
              </w:rPr>
              <w:t>— $</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(429)</w:t>
            </w:r>
          </w:p>
        </w:tc>
        <w:tc>
          <w:tcPr>
            <w:tcW w:w="0" w:type="dxa"/>
            <w:vAlign w:val="bottom"/>
          </w:tcPr>
          <w:p>
            <w:pPr>
              <w:spacing w:after="0"/>
              <w:rPr>
                <w:sz w:val="1"/>
                <w:szCs w:val="1"/>
                <w:color w:val="auto"/>
              </w:rPr>
            </w:pPr>
          </w:p>
        </w:tc>
      </w:tr>
      <w:tr>
        <w:trPr>
          <w:trHeight w:val="220"/>
        </w:trPr>
        <w:tc>
          <w:tcPr>
            <w:tcW w:w="512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Other comprehensive income (loss) before reclassifications</w:t>
            </w:r>
          </w:p>
        </w:tc>
        <w:tc>
          <w:tcPr>
            <w:tcW w:w="16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w:t>
            </w:r>
          </w:p>
        </w:tc>
        <w:tc>
          <w:tcPr>
            <w:tcW w:w="180" w:type="dxa"/>
            <w:vAlign w:val="bottom"/>
          </w:tcPr>
          <w:p>
            <w:pPr>
              <w:spacing w:after="0"/>
              <w:rPr>
                <w:sz w:val="19"/>
                <w:szCs w:val="19"/>
                <w:color w:val="auto"/>
              </w:rPr>
            </w:pPr>
          </w:p>
        </w:tc>
        <w:tc>
          <w:tcPr>
            <w:tcW w:w="1140" w:type="dxa"/>
            <w:vAlign w:val="bottom"/>
          </w:tcPr>
          <w:p>
            <w:pPr>
              <w:ind w:left="88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9"/>
                <w:szCs w:val="19"/>
                <w:color w:val="auto"/>
              </w:rPr>
            </w:pPr>
          </w:p>
        </w:tc>
        <w:tc>
          <w:tcPr>
            <w:tcW w:w="1920" w:type="dxa"/>
            <w:vAlign w:val="bottom"/>
          </w:tcPr>
          <w:p>
            <w:pPr>
              <w:ind w:left="1380"/>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w:t>
            </w:r>
          </w:p>
        </w:tc>
        <w:tc>
          <w:tcPr>
            <w:tcW w:w="0" w:type="dxa"/>
            <w:vAlign w:val="bottom"/>
          </w:tcPr>
          <w:p>
            <w:pPr>
              <w:spacing w:after="0"/>
              <w:rPr>
                <w:sz w:val="1"/>
                <w:szCs w:val="1"/>
                <w:color w:val="auto"/>
              </w:rPr>
            </w:pPr>
          </w:p>
        </w:tc>
      </w:tr>
      <w:tr>
        <w:trPr>
          <w:trHeight w:val="220"/>
        </w:trPr>
        <w:tc>
          <w:tcPr>
            <w:tcW w:w="51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Amounts reclassified from AOCI</w:t>
            </w:r>
          </w:p>
        </w:tc>
        <w:tc>
          <w:tcPr>
            <w:tcW w:w="16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ind w:left="88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Borders>
              <w:bottom w:val="single" w:sz="8" w:color="auto"/>
            </w:tcBorders>
            <w:shd w:val="clear" w:color="auto" w:fill="CCEEFF"/>
          </w:tcPr>
          <w:p>
            <w:pPr>
              <w:spacing w:after="0"/>
              <w:rPr>
                <w:sz w:val="19"/>
                <w:szCs w:val="19"/>
                <w:color w:val="auto"/>
              </w:rPr>
            </w:pPr>
          </w:p>
        </w:tc>
        <w:tc>
          <w:tcPr>
            <w:tcW w:w="1920" w:type="dxa"/>
            <w:vAlign w:val="bottom"/>
            <w:tcBorders>
              <w:bottom w:val="single" w:sz="8" w:color="auto"/>
            </w:tcBorders>
            <w:shd w:val="clear" w:color="auto" w:fill="CCEEFF"/>
          </w:tcPr>
          <w:p>
            <w:pPr>
              <w:ind w:left="1380"/>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3"/>
        </w:trPr>
        <w:tc>
          <w:tcPr>
            <w:tcW w:w="51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Net current period other comprehensive (loss) income</w:t>
            </w:r>
          </w:p>
        </w:tc>
        <w:tc>
          <w:tcPr>
            <w:tcW w:w="16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(31)</w:t>
            </w:r>
          </w:p>
        </w:tc>
        <w:tc>
          <w:tcPr>
            <w:tcW w:w="1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ind w:left="88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tcPr>
          <w:p>
            <w:pPr>
              <w:ind w:left="1380"/>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(31)</w:t>
            </w:r>
          </w:p>
        </w:tc>
        <w:tc>
          <w:tcPr>
            <w:tcW w:w="0" w:type="dxa"/>
            <w:vAlign w:val="bottom"/>
          </w:tcPr>
          <w:p>
            <w:pPr>
              <w:spacing w:after="0"/>
              <w:rPr>
                <w:sz w:val="1"/>
                <w:szCs w:val="1"/>
                <w:color w:val="auto"/>
              </w:rPr>
            </w:pPr>
          </w:p>
        </w:tc>
      </w:tr>
      <w:tr>
        <w:trPr>
          <w:trHeight w:val="238"/>
        </w:trPr>
        <w:tc>
          <w:tcPr>
            <w:tcW w:w="5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Balance as of September 30, 2024</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(455)</w:t>
            </w:r>
          </w:p>
        </w:tc>
        <w:tc>
          <w:tcPr>
            <w:tcW w:w="1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w:t>
            </w:r>
          </w:p>
        </w:tc>
        <w:tc>
          <w:tcPr>
            <w:tcW w:w="1140" w:type="dxa"/>
            <w:vAlign w:val="bottom"/>
            <w:tcBorders>
              <w:bottom w:val="single" w:sz="8" w:color="auto"/>
            </w:tcBorders>
            <w:shd w:val="clear" w:color="auto" w:fill="CCEEFF"/>
          </w:tcPr>
          <w:p>
            <w:pPr>
              <w:ind w:left="900"/>
              <w:spacing w:after="0"/>
              <w:rPr>
                <w:sz w:val="20"/>
                <w:szCs w:val="20"/>
                <w:color w:val="auto"/>
              </w:rPr>
            </w:pPr>
            <w:r>
              <w:rPr>
                <w:rFonts w:ascii="Times New Roman" w:cs="Times New Roman" w:eastAsia="Times New Roman" w:hAnsi="Times New Roman"/>
                <w:sz w:val="17"/>
                <w:szCs w:val="17"/>
                <w:b w:val="1"/>
                <w:bCs w:val="1"/>
                <w:color w:val="auto"/>
              </w:rPr>
              <w:t>(5)</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920" w:type="dxa"/>
            <w:vAlign w:val="bottom"/>
            <w:tcBorders>
              <w:bottom w:val="single" w:sz="8" w:color="auto"/>
            </w:tcBorders>
            <w:shd w:val="clear" w:color="auto" w:fill="CCEEFF"/>
          </w:tcPr>
          <w:p>
            <w:pPr>
              <w:ind w:left="1380"/>
              <w:spacing w:after="0"/>
              <w:rPr>
                <w:sz w:val="20"/>
                <w:szCs w:val="20"/>
                <w:color w:val="auto"/>
              </w:rPr>
            </w:pPr>
            <w:r>
              <w:rPr>
                <w:rFonts w:ascii="Times New Roman" w:cs="Times New Roman" w:eastAsia="Times New Roman" w:hAnsi="Times New Roman"/>
                <w:sz w:val="17"/>
                <w:szCs w:val="17"/>
                <w:b w:val="1"/>
                <w:bCs w:val="1"/>
                <w:color w:val="auto"/>
              </w:rPr>
              <w:t>— $</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(460)</w:t>
            </w:r>
          </w:p>
        </w:tc>
        <w:tc>
          <w:tcPr>
            <w:tcW w:w="0" w:type="dxa"/>
            <w:vAlign w:val="bottom"/>
          </w:tcPr>
          <w:p>
            <w:pPr>
              <w:spacing w:after="0"/>
              <w:rPr>
                <w:sz w:val="1"/>
                <w:szCs w:val="1"/>
                <w:color w:val="auto"/>
              </w:rPr>
            </w:pPr>
          </w:p>
        </w:tc>
      </w:tr>
      <w:tr>
        <w:trPr>
          <w:trHeight w:val="20"/>
        </w:trPr>
        <w:tc>
          <w:tcPr>
            <w:tcW w:w="5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9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3435" cy="419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6" w:name="page37"/>
    <w:bookmarkEnd w:id="36"/>
    <w:p>
      <w:pPr>
        <w:ind w:left="62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NCR Voyix Corporation</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 (Unaudited)—(Continued)</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Reclassifications Out of AOCI</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20" w:type="dxa"/>
            <w:vAlign w:val="bottom"/>
          </w:tcPr>
          <w:p>
            <w:pPr>
              <w:spacing w:after="0"/>
              <w:rPr>
                <w:sz w:val="15"/>
                <w:szCs w:val="15"/>
                <w:color w:val="auto"/>
              </w:rPr>
            </w:pPr>
          </w:p>
        </w:tc>
        <w:tc>
          <w:tcPr>
            <w:tcW w:w="59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340" w:type="dxa"/>
            <w:vAlign w:val="bottom"/>
            <w:gridSpan w:val="10"/>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For the three months ended September 30, 2023</w:t>
            </w: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line="20" w:lineRule="exact"/>
              <w:rPr>
                <w:sz w:val="1"/>
                <w:szCs w:val="1"/>
                <w:color w:val="auto"/>
              </w:rPr>
            </w:pPr>
          </w:p>
        </w:tc>
        <w:tc>
          <w:tcPr>
            <w:tcW w:w="5940" w:type="dxa"/>
            <w:vAlign w:val="bottom"/>
          </w:tcPr>
          <w:p>
            <w:pPr>
              <w:spacing w:after="0" w:line="20" w:lineRule="exact"/>
              <w:rPr>
                <w:sz w:val="1"/>
                <w:szCs w:val="1"/>
                <w:color w:val="auto"/>
              </w:rPr>
            </w:pPr>
          </w:p>
        </w:tc>
        <w:tc>
          <w:tcPr>
            <w:tcW w:w="1820" w:type="dxa"/>
            <w:vAlign w:val="bottom"/>
            <w:tcBorders>
              <w:bottom w:val="single" w:sz="8" w:color="auto"/>
            </w:tcBorders>
            <w:gridSpan w:val="4"/>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5940" w:type="dxa"/>
            <w:vAlign w:val="bottom"/>
          </w:tcPr>
          <w:p>
            <w:pPr>
              <w:spacing w:after="0"/>
              <w:rPr>
                <w:sz w:val="15"/>
                <w:szCs w:val="15"/>
                <w:color w:val="auto"/>
              </w:rPr>
            </w:pPr>
          </w:p>
        </w:tc>
        <w:tc>
          <w:tcPr>
            <w:tcW w:w="2580" w:type="dxa"/>
            <w:vAlign w:val="bottom"/>
            <w:tcBorders>
              <w:bottom w:val="single" w:sz="8" w:color="auto"/>
            </w:tcBorders>
            <w:gridSpan w:val="5"/>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Employee Benefit Plans</w:t>
            </w: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5940" w:type="dxa"/>
            <w:vAlign w:val="bottom"/>
          </w:tcPr>
          <w:p>
            <w:pPr>
              <w:spacing w:after="0"/>
              <w:rPr>
                <w:sz w:val="11"/>
                <w:szCs w:val="11"/>
                <w:color w:val="auto"/>
              </w:rPr>
            </w:pPr>
          </w:p>
        </w:tc>
        <w:tc>
          <w:tcPr>
            <w:tcW w:w="1280" w:type="dxa"/>
            <w:vAlign w:val="bottom"/>
            <w:gridSpan w:val="2"/>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w w:val="98"/>
              </w:rPr>
              <w:t>Amortization of</w:t>
            </w:r>
          </w:p>
        </w:tc>
        <w:tc>
          <w:tcPr>
            <w:tcW w:w="160" w:type="dxa"/>
            <w:vAlign w:val="bottom"/>
          </w:tcPr>
          <w:p>
            <w:pPr>
              <w:spacing w:after="0"/>
              <w:rPr>
                <w:sz w:val="11"/>
                <w:szCs w:val="11"/>
                <w:color w:val="auto"/>
              </w:rPr>
            </w:pPr>
          </w:p>
        </w:tc>
        <w:tc>
          <w:tcPr>
            <w:tcW w:w="1140" w:type="dxa"/>
            <w:vAlign w:val="bottom"/>
            <w:gridSpan w:val="2"/>
            <w:vMerge w:val="restart"/>
          </w:tcPr>
          <w:p>
            <w:pPr>
              <w:jc w:val="right"/>
              <w:ind w:right="95"/>
              <w:spacing w:after="0"/>
              <w:rPr>
                <w:sz w:val="20"/>
                <w:szCs w:val="20"/>
                <w:color w:val="auto"/>
              </w:rPr>
            </w:pPr>
            <w:r>
              <w:rPr>
                <w:rFonts w:ascii="Times New Roman" w:cs="Times New Roman" w:eastAsia="Times New Roman" w:hAnsi="Times New Roman"/>
                <w:sz w:val="14"/>
                <w:szCs w:val="14"/>
                <w:b w:val="1"/>
                <w:bCs w:val="1"/>
                <w:color w:val="auto"/>
                <w:w w:val="98"/>
              </w:rPr>
              <w:t>Amortization of</w:t>
            </w:r>
          </w:p>
        </w:tc>
        <w:tc>
          <w:tcPr>
            <w:tcW w:w="128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Effective Cash Flow</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59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280" w:type="dxa"/>
            <w:vAlign w:val="bottom"/>
            <w:gridSpan w:val="2"/>
          </w:tcPr>
          <w:p>
            <w:pPr>
              <w:jc w:val="center"/>
              <w:spacing w:after="0" w:line="143" w:lineRule="exact"/>
              <w:rPr>
                <w:sz w:val="20"/>
                <w:szCs w:val="20"/>
                <w:color w:val="auto"/>
              </w:rPr>
            </w:pPr>
            <w:r>
              <w:rPr>
                <w:rFonts w:ascii="Times New Roman" w:cs="Times New Roman" w:eastAsia="Times New Roman" w:hAnsi="Times New Roman"/>
                <w:sz w:val="14"/>
                <w:szCs w:val="14"/>
                <w:b w:val="1"/>
                <w:bCs w:val="1"/>
                <w:color w:val="auto"/>
                <w:w w:val="98"/>
              </w:rPr>
              <w:t>Actuarial Loss</w:t>
            </w:r>
          </w:p>
        </w:tc>
        <w:tc>
          <w:tcPr>
            <w:tcW w:w="16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28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0" w:type="dxa"/>
            <w:vAlign w:val="bottom"/>
            <w:vMerge w:val="restart"/>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9"/>
        </w:trPr>
        <w:tc>
          <w:tcPr>
            <w:tcW w:w="5960" w:type="dxa"/>
            <w:vAlign w:val="bottom"/>
            <w:tcBorders>
              <w:bottom w:val="single" w:sz="8" w:color="CCEEFF"/>
            </w:tcBorders>
            <w:gridSpan w:val="2"/>
            <w:vMerge w:val="continue"/>
          </w:tcPr>
          <w:p>
            <w:pPr>
              <w:spacing w:after="0"/>
              <w:rPr>
                <w:sz w:val="16"/>
                <w:szCs w:val="16"/>
                <w:color w:val="auto"/>
              </w:rPr>
            </w:pPr>
          </w:p>
        </w:tc>
        <w:tc>
          <w:tcPr>
            <w:tcW w:w="940" w:type="dxa"/>
            <w:vAlign w:val="bottom"/>
            <w:tcBorders>
              <w:bottom w:val="single" w:sz="8" w:color="auto"/>
            </w:tcBorders>
          </w:tcPr>
          <w:p>
            <w:pPr>
              <w:jc w:val="center"/>
              <w:ind w:left="285"/>
              <w:spacing w:after="0"/>
              <w:rPr>
                <w:sz w:val="20"/>
                <w:szCs w:val="20"/>
                <w:color w:val="auto"/>
              </w:rPr>
            </w:pPr>
            <w:r>
              <w:rPr>
                <w:rFonts w:ascii="Times New Roman" w:cs="Times New Roman" w:eastAsia="Times New Roman" w:hAnsi="Times New Roman"/>
                <w:sz w:val="14"/>
                <w:szCs w:val="14"/>
                <w:b w:val="1"/>
                <w:bCs w:val="1"/>
                <w:color w:val="auto"/>
                <w:w w:val="97"/>
              </w:rPr>
              <w:t>(Gain)</w:t>
            </w:r>
          </w:p>
        </w:tc>
        <w:tc>
          <w:tcPr>
            <w:tcW w:w="3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Prior Service Benefit</w:t>
            </w:r>
          </w:p>
        </w:tc>
        <w:tc>
          <w:tcPr>
            <w:tcW w:w="128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Hedge Loss (Gain)</w:t>
            </w: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5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Affected line in Condensed Consolidated Statement of Operations:</w:t>
            </w:r>
          </w:p>
        </w:tc>
        <w:tc>
          <w:tcPr>
            <w:tcW w:w="9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594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Cost of products</w:t>
            </w:r>
          </w:p>
        </w:tc>
        <w:tc>
          <w:tcPr>
            <w:tcW w:w="940" w:type="dxa"/>
            <w:vAlign w:val="bottom"/>
          </w:tcPr>
          <w:p>
            <w:pPr>
              <w:jc w:val="right"/>
              <w:ind w:right="765"/>
              <w:spacing w:after="0"/>
              <w:rPr>
                <w:sz w:val="20"/>
                <w:szCs w:val="20"/>
                <w:color w:val="auto"/>
              </w:rPr>
            </w:pPr>
            <w:r>
              <w:rPr>
                <w:rFonts w:ascii="Times New Roman" w:cs="Times New Roman" w:eastAsia="Times New Roman" w:hAnsi="Times New Roman"/>
                <w:sz w:val="17"/>
                <w:szCs w:val="17"/>
                <w:color w:val="auto"/>
                <w:w w:val="93"/>
              </w:rPr>
              <w:t>$</w:t>
            </w:r>
          </w:p>
        </w:tc>
        <w:tc>
          <w:tcPr>
            <w:tcW w:w="50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 $</w:t>
            </w:r>
          </w:p>
        </w:tc>
        <w:tc>
          <w:tcPr>
            <w:tcW w:w="380" w:type="dxa"/>
            <w:vAlign w:val="bottom"/>
          </w:tcPr>
          <w:p>
            <w:pPr>
              <w:spacing w:after="0"/>
              <w:rPr>
                <w:sz w:val="19"/>
                <w:szCs w:val="19"/>
                <w:color w:val="auto"/>
              </w:rPr>
            </w:pPr>
          </w:p>
        </w:tc>
        <w:tc>
          <w:tcPr>
            <w:tcW w:w="1660" w:type="dxa"/>
            <w:vAlign w:val="bottom"/>
            <w:gridSpan w:val="2"/>
          </w:tcPr>
          <w:p>
            <w:pPr>
              <w:ind w:left="520"/>
              <w:spacing w:after="0"/>
              <w:rPr>
                <w:sz w:val="20"/>
                <w:szCs w:val="20"/>
                <w:color w:val="auto"/>
              </w:rPr>
            </w:pPr>
            <w:r>
              <w:rPr>
                <w:rFonts w:ascii="Times New Roman" w:cs="Times New Roman" w:eastAsia="Times New Roman" w:hAnsi="Times New Roman"/>
                <w:sz w:val="17"/>
                <w:szCs w:val="17"/>
                <w:color w:val="auto"/>
              </w:rPr>
              <w:t>— $</w:t>
            </w:r>
          </w:p>
        </w:tc>
        <w:tc>
          <w:tcPr>
            <w:tcW w:w="10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420" w:type="dxa"/>
            <w:vAlign w:val="bottom"/>
            <w:gridSpan w:val="3"/>
          </w:tcPr>
          <w:p>
            <w:pPr>
              <w:jc w:val="right"/>
              <w:ind w:right="94"/>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0"/>
        </w:trPr>
        <w:tc>
          <w:tcPr>
            <w:tcW w:w="20" w:type="dxa"/>
            <w:vAlign w:val="bottom"/>
            <w:shd w:val="clear" w:color="auto" w:fill="CCEEFF"/>
          </w:tcPr>
          <w:p>
            <w:pPr>
              <w:spacing w:after="0"/>
              <w:rPr>
                <w:sz w:val="19"/>
                <w:szCs w:val="19"/>
                <w:color w:val="auto"/>
              </w:rPr>
            </w:pPr>
          </w:p>
        </w:tc>
        <w:tc>
          <w:tcPr>
            <w:tcW w:w="59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Cost of services</w:t>
            </w:r>
          </w:p>
        </w:tc>
        <w:tc>
          <w:tcPr>
            <w:tcW w:w="940" w:type="dxa"/>
            <w:vAlign w:val="bottom"/>
            <w:shd w:val="clear" w:color="auto" w:fill="CCEEFF"/>
          </w:tcPr>
          <w:p>
            <w:pPr>
              <w:spacing w:after="0"/>
              <w:rPr>
                <w:sz w:val="19"/>
                <w:szCs w:val="19"/>
                <w:color w:val="auto"/>
              </w:rPr>
            </w:pPr>
          </w:p>
        </w:tc>
        <w:tc>
          <w:tcPr>
            <w:tcW w:w="3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6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shd w:val="clear" w:color="auto" w:fill="CCEEFF"/>
          </w:tcPr>
          <w:p>
            <w:pPr>
              <w:spacing w:after="0"/>
              <w:rPr>
                <w:sz w:val="19"/>
                <w:szCs w:val="19"/>
                <w:color w:val="auto"/>
              </w:rPr>
            </w:pPr>
          </w:p>
        </w:tc>
        <w:tc>
          <w:tcPr>
            <w:tcW w:w="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7"/>
              </w:rPr>
              <w:t>(100)</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594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Selling, general and administrative expenses</w:t>
            </w:r>
          </w:p>
        </w:tc>
        <w:tc>
          <w:tcPr>
            <w:tcW w:w="940" w:type="dxa"/>
            <w:vAlign w:val="bottom"/>
          </w:tcPr>
          <w:p>
            <w:pPr>
              <w:spacing w:after="0"/>
              <w:rPr>
                <w:sz w:val="19"/>
                <w:szCs w:val="19"/>
                <w:color w:val="auto"/>
              </w:rPr>
            </w:pPr>
          </w:p>
        </w:tc>
        <w:tc>
          <w:tcPr>
            <w:tcW w:w="34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(1)</w:t>
            </w: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60" w:type="dxa"/>
            <w:vAlign w:val="bottom"/>
          </w:tcPr>
          <w:p>
            <w:pPr>
              <w:ind w:left="520"/>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0" w:type="dxa"/>
            <w:vAlign w:val="bottom"/>
          </w:tcPr>
          <w:p>
            <w:pPr>
              <w:spacing w:after="0"/>
              <w:rPr>
                <w:sz w:val="1"/>
                <w:szCs w:val="1"/>
                <w:color w:val="auto"/>
              </w:rPr>
            </w:pPr>
          </w:p>
        </w:tc>
      </w:tr>
      <w:tr>
        <w:trPr>
          <w:trHeight w:val="220"/>
        </w:trPr>
        <w:tc>
          <w:tcPr>
            <w:tcW w:w="20" w:type="dxa"/>
            <w:vAlign w:val="bottom"/>
            <w:shd w:val="clear" w:color="auto" w:fill="CCEEFF"/>
          </w:tcPr>
          <w:p>
            <w:pPr>
              <w:spacing w:after="0"/>
              <w:rPr>
                <w:sz w:val="19"/>
                <w:szCs w:val="19"/>
                <w:color w:val="auto"/>
              </w:rPr>
            </w:pPr>
          </w:p>
        </w:tc>
        <w:tc>
          <w:tcPr>
            <w:tcW w:w="59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Research and development expenses</w:t>
            </w:r>
          </w:p>
        </w:tc>
        <w:tc>
          <w:tcPr>
            <w:tcW w:w="940" w:type="dxa"/>
            <w:vAlign w:val="bottom"/>
            <w:shd w:val="clear" w:color="auto" w:fill="CCEEFF"/>
          </w:tcPr>
          <w:p>
            <w:pPr>
              <w:spacing w:after="0"/>
              <w:rPr>
                <w:sz w:val="19"/>
                <w:szCs w:val="19"/>
                <w:color w:val="auto"/>
              </w:rPr>
            </w:pPr>
          </w:p>
        </w:tc>
        <w:tc>
          <w:tcPr>
            <w:tcW w:w="3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6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0"/>
        </w:trPr>
        <w:tc>
          <w:tcPr>
            <w:tcW w:w="20" w:type="dxa"/>
            <w:vAlign w:val="bottom"/>
            <w:tcBorders>
              <w:bottom w:val="single" w:sz="8" w:color="CCEEFF"/>
            </w:tcBorders>
          </w:tcPr>
          <w:p>
            <w:pPr>
              <w:spacing w:after="0"/>
              <w:rPr>
                <w:sz w:val="19"/>
                <w:szCs w:val="19"/>
                <w:color w:val="auto"/>
              </w:rPr>
            </w:pPr>
          </w:p>
        </w:tc>
        <w:tc>
          <w:tcPr>
            <w:tcW w:w="59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7"/>
                <w:szCs w:val="17"/>
                <w:color w:val="auto"/>
              </w:rPr>
              <w:t>Interest expense</w:t>
            </w:r>
          </w:p>
        </w:tc>
        <w:tc>
          <w:tcPr>
            <w:tcW w:w="94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ind w:left="520"/>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rPr>
              <w:t>(22)</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(22)</w:t>
            </w:r>
          </w:p>
        </w:tc>
        <w:tc>
          <w:tcPr>
            <w:tcW w:w="0" w:type="dxa"/>
            <w:vAlign w:val="bottom"/>
          </w:tcPr>
          <w:p>
            <w:pPr>
              <w:spacing w:after="0"/>
              <w:rPr>
                <w:sz w:val="1"/>
                <w:szCs w:val="1"/>
                <w:color w:val="auto"/>
              </w:rPr>
            </w:pPr>
          </w:p>
        </w:tc>
      </w:tr>
      <w:tr>
        <w:trPr>
          <w:trHeight w:val="238"/>
        </w:trPr>
        <w:tc>
          <w:tcPr>
            <w:tcW w:w="20" w:type="dxa"/>
            <w:vAlign w:val="bottom"/>
            <w:tcBorders>
              <w:bottom w:val="single" w:sz="8" w:color="CCEEFF"/>
            </w:tcBorders>
            <w:shd w:val="clear" w:color="auto" w:fill="CCEEFF"/>
          </w:tcPr>
          <w:p>
            <w:pPr>
              <w:spacing w:after="0"/>
              <w:rPr>
                <w:sz w:val="20"/>
                <w:szCs w:val="20"/>
                <w:color w:val="auto"/>
              </w:rPr>
            </w:pPr>
          </w:p>
        </w:tc>
        <w:tc>
          <w:tcPr>
            <w:tcW w:w="59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Total before tax</w:t>
            </w:r>
          </w:p>
        </w:tc>
        <w:tc>
          <w:tcPr>
            <w:tcW w:w="940" w:type="dxa"/>
            <w:vAlign w:val="bottom"/>
            <w:tcBorders>
              <w:bottom w:val="single" w:sz="8" w:color="auto"/>
            </w:tcBorders>
            <w:shd w:val="clear" w:color="auto" w:fill="CCEEFF"/>
          </w:tcPr>
          <w:p>
            <w:pPr>
              <w:jc w:val="right"/>
              <w:ind w:right="765"/>
              <w:spacing w:after="0"/>
              <w:rPr>
                <w:sz w:val="20"/>
                <w:szCs w:val="20"/>
                <w:color w:val="auto"/>
              </w:rPr>
            </w:pPr>
            <w:r>
              <w:rPr>
                <w:rFonts w:ascii="Times New Roman" w:cs="Times New Roman" w:eastAsia="Times New Roman" w:hAnsi="Times New Roman"/>
                <w:sz w:val="17"/>
                <w:szCs w:val="17"/>
                <w:color w:val="auto"/>
                <w:w w:val="93"/>
              </w:rPr>
              <w:t>$</w:t>
            </w:r>
          </w:p>
        </w:tc>
        <w:tc>
          <w:tcPr>
            <w:tcW w:w="340" w:type="dxa"/>
            <w:vAlign w:val="bottom"/>
            <w:tcBorders>
              <w:bottom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(1)</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80" w:type="dxa"/>
            <w:vAlign w:val="bottom"/>
            <w:tcBorders>
              <w:bottom w:val="single" w:sz="8" w:color="auto"/>
            </w:tcBorders>
            <w:shd w:val="clear" w:color="auto" w:fill="CCEEFF"/>
          </w:tcPr>
          <w:p>
            <w:pPr>
              <w:spacing w:after="0"/>
              <w:rPr>
                <w:sz w:val="20"/>
                <w:szCs w:val="20"/>
                <w:color w:val="auto"/>
              </w:rPr>
            </w:pPr>
          </w:p>
        </w:tc>
        <w:tc>
          <w:tcPr>
            <w:tcW w:w="760" w:type="dxa"/>
            <w:vAlign w:val="bottom"/>
            <w:tcBorders>
              <w:bottom w:val="single" w:sz="8" w:color="auto"/>
            </w:tcBorders>
            <w:shd w:val="clear" w:color="auto" w:fill="CCEEFF"/>
          </w:tcPr>
          <w:p>
            <w:pPr>
              <w:ind w:left="520"/>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tcBorders>
              <w:bottom w:val="single" w:sz="8" w:color="auto"/>
            </w:tcBorders>
            <w:shd w:val="clear" w:color="auto" w:fill="CCEEFF"/>
          </w:tcPr>
          <w:p>
            <w:pPr>
              <w:jc w:val="center"/>
              <w:ind w:right="680"/>
              <w:spacing w:after="0"/>
              <w:rPr>
                <w:sz w:val="20"/>
                <w:szCs w:val="20"/>
                <w:color w:val="auto"/>
              </w:rPr>
            </w:pPr>
            <w:r>
              <w:rPr>
                <w:rFonts w:ascii="Times New Roman" w:cs="Times New Roman" w:eastAsia="Times New Roman" w:hAnsi="Times New Roman"/>
                <w:sz w:val="17"/>
                <w:szCs w:val="17"/>
                <w:color w:val="auto"/>
              </w:rPr>
              <w:t>$</w:t>
            </w:r>
          </w:p>
        </w:tc>
        <w:tc>
          <w:tcPr>
            <w:tcW w:w="3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7"/>
              </w:rPr>
              <w:t>(122)</w:t>
            </w:r>
          </w:p>
        </w:tc>
        <w:tc>
          <w:tcPr>
            <w:tcW w:w="2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(123)</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5940" w:type="dxa"/>
            <w:vAlign w:val="bottom"/>
            <w:tcBorders>
              <w:top w:val="single" w:sz="8" w:color="CCEEFF"/>
              <w:bottom w:val="single" w:sz="8" w:color="CCEEFF"/>
            </w:tcBorders>
            <w:vMerge w:val="restart"/>
          </w:tcPr>
          <w:p>
            <w:pPr>
              <w:ind w:left="220"/>
              <w:spacing w:after="0"/>
              <w:rPr>
                <w:sz w:val="20"/>
                <w:szCs w:val="20"/>
                <w:color w:val="auto"/>
              </w:rPr>
            </w:pPr>
            <w:r>
              <w:rPr>
                <w:rFonts w:ascii="Times New Roman" w:cs="Times New Roman" w:eastAsia="Times New Roman" w:hAnsi="Times New Roman"/>
                <w:sz w:val="17"/>
                <w:szCs w:val="17"/>
                <w:color w:val="auto"/>
              </w:rPr>
              <w:t>Tax expense</w:t>
            </w: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20" w:type="dxa"/>
            <w:vAlign w:val="bottom"/>
            <w:tcBorders>
              <w:bottom w:val="single" w:sz="8" w:color="CCEEFF"/>
            </w:tcBorders>
          </w:tcPr>
          <w:p>
            <w:pPr>
              <w:spacing w:after="0"/>
              <w:rPr>
                <w:sz w:val="16"/>
                <w:szCs w:val="16"/>
                <w:color w:val="auto"/>
              </w:rPr>
            </w:pPr>
          </w:p>
        </w:tc>
        <w:tc>
          <w:tcPr>
            <w:tcW w:w="5940" w:type="dxa"/>
            <w:vAlign w:val="bottom"/>
            <w:tcBorders>
              <w:bottom w:val="single" w:sz="8" w:color="CCEEFF"/>
            </w:tcBorders>
            <w:vMerge w:val="continue"/>
          </w:tcPr>
          <w:p>
            <w:pPr>
              <w:spacing w:after="0"/>
              <w:rPr>
                <w:sz w:val="16"/>
                <w:szCs w:val="16"/>
                <w:color w:val="auto"/>
              </w:rPr>
            </w:pPr>
          </w:p>
        </w:tc>
        <w:tc>
          <w:tcPr>
            <w:tcW w:w="940" w:type="dxa"/>
            <w:vAlign w:val="bottom"/>
            <w:tcBorders>
              <w:bottom w:val="single" w:sz="8" w:color="CCEEFF"/>
            </w:tcBorders>
          </w:tcPr>
          <w:p>
            <w:pPr>
              <w:spacing w:after="0"/>
              <w:rPr>
                <w:sz w:val="16"/>
                <w:szCs w:val="16"/>
                <w:color w:val="auto"/>
              </w:rPr>
            </w:pPr>
          </w:p>
        </w:tc>
        <w:tc>
          <w:tcPr>
            <w:tcW w:w="340" w:type="dxa"/>
            <w:vAlign w:val="bottom"/>
            <w:tcBorders>
              <w:bottom w:val="single" w:sz="8" w:color="CCEEFF"/>
            </w:tcBorders>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380" w:type="dxa"/>
            <w:vAlign w:val="bottom"/>
            <w:tcBorders>
              <w:bottom w:val="single" w:sz="8" w:color="CCEEFF"/>
            </w:tcBorders>
          </w:tcPr>
          <w:p>
            <w:pPr>
              <w:spacing w:after="0"/>
              <w:rPr>
                <w:sz w:val="16"/>
                <w:szCs w:val="16"/>
                <w:color w:val="auto"/>
              </w:rPr>
            </w:pPr>
          </w:p>
        </w:tc>
        <w:tc>
          <w:tcPr>
            <w:tcW w:w="760" w:type="dxa"/>
            <w:vAlign w:val="bottom"/>
            <w:tcBorders>
              <w:bottom w:val="single" w:sz="8" w:color="CCEEFF"/>
            </w:tcBorders>
          </w:tcPr>
          <w:p>
            <w:pPr>
              <w:spacing w:after="0"/>
              <w:rPr>
                <w:sz w:val="16"/>
                <w:szCs w:val="16"/>
                <w:color w:val="auto"/>
              </w:rPr>
            </w:pPr>
          </w:p>
        </w:tc>
        <w:tc>
          <w:tcPr>
            <w:tcW w:w="90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line="193" w:lineRule="exact"/>
              <w:rPr>
                <w:sz w:val="20"/>
                <w:szCs w:val="20"/>
                <w:color w:val="auto"/>
              </w:rPr>
            </w:pPr>
            <w:r>
              <w:rPr>
                <w:rFonts w:ascii="Times New Roman" w:cs="Times New Roman" w:eastAsia="Times New Roman" w:hAnsi="Times New Roman"/>
                <w:sz w:val="17"/>
                <w:szCs w:val="17"/>
                <w:color w:val="auto"/>
              </w:rPr>
              <w:t>30</w:t>
            </w:r>
          </w:p>
        </w:tc>
        <w:tc>
          <w:tcPr>
            <w:tcW w:w="0" w:type="dxa"/>
            <w:vAlign w:val="bottom"/>
          </w:tcPr>
          <w:p>
            <w:pPr>
              <w:spacing w:after="0"/>
              <w:rPr>
                <w:sz w:val="1"/>
                <w:szCs w:val="1"/>
                <w:color w:val="auto"/>
              </w:rPr>
            </w:pPr>
          </w:p>
        </w:tc>
      </w:tr>
      <w:tr>
        <w:trPr>
          <w:trHeight w:val="238"/>
        </w:trPr>
        <w:tc>
          <w:tcPr>
            <w:tcW w:w="20" w:type="dxa"/>
            <w:vAlign w:val="bottom"/>
            <w:tcBorders>
              <w:bottom w:val="single" w:sz="8" w:color="CCEEFF"/>
            </w:tcBorders>
            <w:shd w:val="clear" w:color="auto" w:fill="CCEEFF"/>
          </w:tcPr>
          <w:p>
            <w:pPr>
              <w:spacing w:after="0"/>
              <w:rPr>
                <w:sz w:val="20"/>
                <w:szCs w:val="20"/>
                <w:color w:val="auto"/>
              </w:rPr>
            </w:pPr>
          </w:p>
        </w:tc>
        <w:tc>
          <w:tcPr>
            <w:tcW w:w="59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Total reclassifications, net of tax</w:t>
            </w:r>
          </w:p>
        </w:tc>
        <w:tc>
          <w:tcPr>
            <w:tcW w:w="94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(93)</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594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gridSpan w:val="3"/>
          </w:tcPr>
          <w:p>
            <w:pPr>
              <w:spacing w:after="0" w:line="20" w:lineRule="exact"/>
              <w:rPr>
                <w:sz w:val="1"/>
                <w:szCs w:val="1"/>
                <w:color w:val="auto"/>
              </w:rPr>
            </w:pPr>
          </w:p>
        </w:tc>
        <w:tc>
          <w:tcPr>
            <w:tcW w:w="1760" w:type="dxa"/>
            <w:vAlign w:val="bottom"/>
            <w:tcBorders>
              <w:top w:val="single" w:sz="8" w:color="CCEEFF"/>
            </w:tcBorders>
            <w:gridSpan w:val="3"/>
          </w:tcPr>
          <w:p>
            <w:pPr>
              <w:spacing w:after="0" w:line="20" w:lineRule="exact"/>
              <w:rPr>
                <w:sz w:val="1"/>
                <w:szCs w:val="1"/>
                <w:color w:val="auto"/>
              </w:rPr>
            </w:pPr>
          </w:p>
        </w:tc>
        <w:tc>
          <w:tcPr>
            <w:tcW w:w="300" w:type="dxa"/>
            <w:vAlign w:val="bottom"/>
            <w:tcBorders>
              <w:top w:val="single" w:sz="8" w:color="CCEEFF"/>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7"/>
        </w:trPr>
        <w:tc>
          <w:tcPr>
            <w:tcW w:w="20" w:type="dxa"/>
            <w:vAlign w:val="bottom"/>
          </w:tcPr>
          <w:p>
            <w:pPr>
              <w:spacing w:after="0"/>
              <w:rPr>
                <w:sz w:val="24"/>
                <w:szCs w:val="24"/>
                <w:color w:val="auto"/>
              </w:rPr>
            </w:pPr>
          </w:p>
        </w:tc>
        <w:tc>
          <w:tcPr>
            <w:tcW w:w="59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340" w:type="dxa"/>
            <w:vAlign w:val="bottom"/>
            <w:gridSpan w:val="10"/>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For the nine months ended September 30, 2023</w:t>
            </w: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line="20" w:lineRule="exact"/>
              <w:rPr>
                <w:sz w:val="1"/>
                <w:szCs w:val="1"/>
                <w:color w:val="auto"/>
              </w:rPr>
            </w:pPr>
          </w:p>
        </w:tc>
        <w:tc>
          <w:tcPr>
            <w:tcW w:w="5940" w:type="dxa"/>
            <w:vAlign w:val="bottom"/>
          </w:tcPr>
          <w:p>
            <w:pPr>
              <w:spacing w:after="0" w:line="20" w:lineRule="exact"/>
              <w:rPr>
                <w:sz w:val="1"/>
                <w:szCs w:val="1"/>
                <w:color w:val="auto"/>
              </w:rPr>
            </w:pPr>
          </w:p>
        </w:tc>
        <w:tc>
          <w:tcPr>
            <w:tcW w:w="1820" w:type="dxa"/>
            <w:vAlign w:val="bottom"/>
            <w:tcBorders>
              <w:bottom w:val="single" w:sz="8" w:color="auto"/>
            </w:tcBorders>
            <w:gridSpan w:val="4"/>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5940" w:type="dxa"/>
            <w:vAlign w:val="bottom"/>
          </w:tcPr>
          <w:p>
            <w:pPr>
              <w:spacing w:after="0"/>
              <w:rPr>
                <w:sz w:val="15"/>
                <w:szCs w:val="15"/>
                <w:color w:val="auto"/>
              </w:rPr>
            </w:pPr>
          </w:p>
        </w:tc>
        <w:tc>
          <w:tcPr>
            <w:tcW w:w="2580" w:type="dxa"/>
            <w:vAlign w:val="bottom"/>
            <w:tcBorders>
              <w:bottom w:val="single" w:sz="8" w:color="auto"/>
            </w:tcBorders>
            <w:gridSpan w:val="5"/>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Employee Benefit Plans</w:t>
            </w: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5940" w:type="dxa"/>
            <w:vAlign w:val="bottom"/>
          </w:tcPr>
          <w:p>
            <w:pPr>
              <w:spacing w:after="0"/>
              <w:rPr>
                <w:sz w:val="11"/>
                <w:szCs w:val="11"/>
                <w:color w:val="auto"/>
              </w:rPr>
            </w:pPr>
          </w:p>
        </w:tc>
        <w:tc>
          <w:tcPr>
            <w:tcW w:w="1280" w:type="dxa"/>
            <w:vAlign w:val="bottom"/>
            <w:gridSpan w:val="2"/>
          </w:tcPr>
          <w:p>
            <w:pPr>
              <w:jc w:val="center"/>
              <w:spacing w:after="0" w:line="130" w:lineRule="exact"/>
              <w:rPr>
                <w:sz w:val="20"/>
                <w:szCs w:val="20"/>
                <w:color w:val="auto"/>
              </w:rPr>
            </w:pPr>
            <w:r>
              <w:rPr>
                <w:rFonts w:ascii="Times New Roman" w:cs="Times New Roman" w:eastAsia="Times New Roman" w:hAnsi="Times New Roman"/>
                <w:sz w:val="14"/>
                <w:szCs w:val="14"/>
                <w:b w:val="1"/>
                <w:bCs w:val="1"/>
                <w:color w:val="auto"/>
                <w:w w:val="98"/>
              </w:rPr>
              <w:t>Amortization of</w:t>
            </w:r>
          </w:p>
        </w:tc>
        <w:tc>
          <w:tcPr>
            <w:tcW w:w="160" w:type="dxa"/>
            <w:vAlign w:val="bottom"/>
          </w:tcPr>
          <w:p>
            <w:pPr>
              <w:spacing w:after="0"/>
              <w:rPr>
                <w:sz w:val="11"/>
                <w:szCs w:val="11"/>
                <w:color w:val="auto"/>
              </w:rPr>
            </w:pPr>
          </w:p>
        </w:tc>
        <w:tc>
          <w:tcPr>
            <w:tcW w:w="1140" w:type="dxa"/>
            <w:vAlign w:val="bottom"/>
            <w:gridSpan w:val="2"/>
            <w:vMerge w:val="restart"/>
          </w:tcPr>
          <w:p>
            <w:pPr>
              <w:jc w:val="right"/>
              <w:ind w:right="95"/>
              <w:spacing w:after="0"/>
              <w:rPr>
                <w:sz w:val="20"/>
                <w:szCs w:val="20"/>
                <w:color w:val="auto"/>
              </w:rPr>
            </w:pPr>
            <w:r>
              <w:rPr>
                <w:rFonts w:ascii="Times New Roman" w:cs="Times New Roman" w:eastAsia="Times New Roman" w:hAnsi="Times New Roman"/>
                <w:sz w:val="14"/>
                <w:szCs w:val="14"/>
                <w:b w:val="1"/>
                <w:bCs w:val="1"/>
                <w:color w:val="auto"/>
                <w:w w:val="98"/>
              </w:rPr>
              <w:t>Amortization of</w:t>
            </w:r>
          </w:p>
        </w:tc>
        <w:tc>
          <w:tcPr>
            <w:tcW w:w="128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Effective Cash Flow</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59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280" w:type="dxa"/>
            <w:vAlign w:val="bottom"/>
            <w:gridSpan w:val="2"/>
          </w:tcPr>
          <w:p>
            <w:pPr>
              <w:jc w:val="center"/>
              <w:spacing w:after="0" w:line="143" w:lineRule="exact"/>
              <w:rPr>
                <w:sz w:val="20"/>
                <w:szCs w:val="20"/>
                <w:color w:val="auto"/>
              </w:rPr>
            </w:pPr>
            <w:r>
              <w:rPr>
                <w:rFonts w:ascii="Times New Roman" w:cs="Times New Roman" w:eastAsia="Times New Roman" w:hAnsi="Times New Roman"/>
                <w:sz w:val="14"/>
                <w:szCs w:val="14"/>
                <w:b w:val="1"/>
                <w:bCs w:val="1"/>
                <w:color w:val="auto"/>
                <w:w w:val="98"/>
              </w:rPr>
              <w:t>Actuarial Loss</w:t>
            </w:r>
          </w:p>
        </w:tc>
        <w:tc>
          <w:tcPr>
            <w:tcW w:w="16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28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0" w:type="dxa"/>
            <w:vAlign w:val="bottom"/>
            <w:vMerge w:val="restart"/>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8"/>
        </w:trPr>
        <w:tc>
          <w:tcPr>
            <w:tcW w:w="5960" w:type="dxa"/>
            <w:vAlign w:val="bottom"/>
            <w:tcBorders>
              <w:bottom w:val="single" w:sz="8" w:color="CCEEFF"/>
            </w:tcBorders>
            <w:gridSpan w:val="2"/>
            <w:vMerge w:val="continue"/>
          </w:tcPr>
          <w:p>
            <w:pPr>
              <w:spacing w:after="0"/>
              <w:rPr>
                <w:sz w:val="16"/>
                <w:szCs w:val="16"/>
                <w:color w:val="auto"/>
              </w:rPr>
            </w:pPr>
          </w:p>
        </w:tc>
        <w:tc>
          <w:tcPr>
            <w:tcW w:w="940" w:type="dxa"/>
            <w:vAlign w:val="bottom"/>
            <w:tcBorders>
              <w:bottom w:val="single" w:sz="8" w:color="auto"/>
            </w:tcBorders>
          </w:tcPr>
          <w:p>
            <w:pPr>
              <w:jc w:val="center"/>
              <w:ind w:left="285"/>
              <w:spacing w:after="0"/>
              <w:rPr>
                <w:sz w:val="20"/>
                <w:szCs w:val="20"/>
                <w:color w:val="auto"/>
              </w:rPr>
            </w:pPr>
            <w:r>
              <w:rPr>
                <w:rFonts w:ascii="Times New Roman" w:cs="Times New Roman" w:eastAsia="Times New Roman" w:hAnsi="Times New Roman"/>
                <w:sz w:val="14"/>
                <w:szCs w:val="14"/>
                <w:b w:val="1"/>
                <w:bCs w:val="1"/>
                <w:color w:val="auto"/>
                <w:w w:val="97"/>
              </w:rPr>
              <w:t>(Gain)</w:t>
            </w:r>
          </w:p>
        </w:tc>
        <w:tc>
          <w:tcPr>
            <w:tcW w:w="3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Prior Service Benefit</w:t>
            </w:r>
          </w:p>
        </w:tc>
        <w:tc>
          <w:tcPr>
            <w:tcW w:w="128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Hedge Loss (Gain)</w:t>
            </w: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5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Affected line in Condensed Consolidated Statement of Operations:</w:t>
            </w:r>
          </w:p>
        </w:tc>
        <w:tc>
          <w:tcPr>
            <w:tcW w:w="9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594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Cost of products</w:t>
            </w:r>
          </w:p>
        </w:tc>
        <w:tc>
          <w:tcPr>
            <w:tcW w:w="940" w:type="dxa"/>
            <w:vAlign w:val="bottom"/>
          </w:tcPr>
          <w:p>
            <w:pPr>
              <w:jc w:val="right"/>
              <w:ind w:right="765"/>
              <w:spacing w:after="0"/>
              <w:rPr>
                <w:sz w:val="20"/>
                <w:szCs w:val="20"/>
                <w:color w:val="auto"/>
              </w:rPr>
            </w:pPr>
            <w:r>
              <w:rPr>
                <w:rFonts w:ascii="Times New Roman" w:cs="Times New Roman" w:eastAsia="Times New Roman" w:hAnsi="Times New Roman"/>
                <w:sz w:val="17"/>
                <w:szCs w:val="17"/>
                <w:color w:val="auto"/>
                <w:w w:val="93"/>
              </w:rPr>
              <w:t>$</w:t>
            </w:r>
          </w:p>
        </w:tc>
        <w:tc>
          <w:tcPr>
            <w:tcW w:w="50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 $</w:t>
            </w:r>
          </w:p>
        </w:tc>
        <w:tc>
          <w:tcPr>
            <w:tcW w:w="380" w:type="dxa"/>
            <w:vAlign w:val="bottom"/>
          </w:tcPr>
          <w:p>
            <w:pPr>
              <w:spacing w:after="0"/>
              <w:rPr>
                <w:sz w:val="19"/>
                <w:szCs w:val="19"/>
                <w:color w:val="auto"/>
              </w:rPr>
            </w:pPr>
          </w:p>
        </w:tc>
        <w:tc>
          <w:tcPr>
            <w:tcW w:w="1660" w:type="dxa"/>
            <w:vAlign w:val="bottom"/>
            <w:gridSpan w:val="2"/>
          </w:tcPr>
          <w:p>
            <w:pPr>
              <w:ind w:left="520"/>
              <w:spacing w:after="0"/>
              <w:rPr>
                <w:sz w:val="20"/>
                <w:szCs w:val="20"/>
                <w:color w:val="auto"/>
              </w:rPr>
            </w:pPr>
            <w:r>
              <w:rPr>
                <w:rFonts w:ascii="Times New Roman" w:cs="Times New Roman" w:eastAsia="Times New Roman" w:hAnsi="Times New Roman"/>
                <w:sz w:val="17"/>
                <w:szCs w:val="17"/>
                <w:color w:val="auto"/>
              </w:rPr>
              <w:t>— $</w:t>
            </w:r>
          </w:p>
        </w:tc>
        <w:tc>
          <w:tcPr>
            <w:tcW w:w="10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420" w:type="dxa"/>
            <w:vAlign w:val="bottom"/>
            <w:gridSpan w:val="3"/>
          </w:tcPr>
          <w:p>
            <w:pPr>
              <w:jc w:val="right"/>
              <w:ind w:right="94"/>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0"/>
        </w:trPr>
        <w:tc>
          <w:tcPr>
            <w:tcW w:w="20" w:type="dxa"/>
            <w:vAlign w:val="bottom"/>
            <w:shd w:val="clear" w:color="auto" w:fill="CCEEFF"/>
          </w:tcPr>
          <w:p>
            <w:pPr>
              <w:spacing w:after="0"/>
              <w:rPr>
                <w:sz w:val="19"/>
                <w:szCs w:val="19"/>
                <w:color w:val="auto"/>
              </w:rPr>
            </w:pPr>
          </w:p>
        </w:tc>
        <w:tc>
          <w:tcPr>
            <w:tcW w:w="59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Cost of services</w:t>
            </w:r>
          </w:p>
        </w:tc>
        <w:tc>
          <w:tcPr>
            <w:tcW w:w="940" w:type="dxa"/>
            <w:vAlign w:val="bottom"/>
            <w:shd w:val="clear" w:color="auto" w:fill="CCEEFF"/>
          </w:tcPr>
          <w:p>
            <w:pPr>
              <w:spacing w:after="0"/>
              <w:rPr>
                <w:sz w:val="19"/>
                <w:szCs w:val="19"/>
                <w:color w:val="auto"/>
              </w:rPr>
            </w:pPr>
          </w:p>
        </w:tc>
        <w:tc>
          <w:tcPr>
            <w:tcW w:w="3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(2)</w:t>
            </w:r>
          </w:p>
        </w:tc>
        <w:tc>
          <w:tcPr>
            <w:tcW w:w="16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900" w:type="dxa"/>
            <w:vAlign w:val="bottom"/>
            <w:shd w:val="clear" w:color="auto" w:fill="CCEEFF"/>
          </w:tcPr>
          <w:p>
            <w:pPr>
              <w:spacing w:after="0"/>
              <w:rPr>
                <w:sz w:val="19"/>
                <w:szCs w:val="19"/>
                <w:color w:val="auto"/>
              </w:rPr>
            </w:pPr>
          </w:p>
        </w:tc>
        <w:tc>
          <w:tcPr>
            <w:tcW w:w="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7"/>
              </w:rPr>
              <w:t>(134)</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(137)</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594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Selling, general and administrative expenses</w:t>
            </w:r>
          </w:p>
        </w:tc>
        <w:tc>
          <w:tcPr>
            <w:tcW w:w="940" w:type="dxa"/>
            <w:vAlign w:val="bottom"/>
          </w:tcPr>
          <w:p>
            <w:pPr>
              <w:spacing w:after="0"/>
              <w:rPr>
                <w:sz w:val="19"/>
                <w:szCs w:val="19"/>
                <w:color w:val="auto"/>
              </w:rPr>
            </w:pPr>
          </w:p>
        </w:tc>
        <w:tc>
          <w:tcPr>
            <w:tcW w:w="34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(1)</w:t>
            </w: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60" w:type="dxa"/>
            <w:vAlign w:val="bottom"/>
          </w:tcPr>
          <w:p>
            <w:pPr>
              <w:ind w:left="520"/>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0" w:type="dxa"/>
            <w:vAlign w:val="bottom"/>
          </w:tcPr>
          <w:p>
            <w:pPr>
              <w:spacing w:after="0"/>
              <w:rPr>
                <w:sz w:val="1"/>
                <w:szCs w:val="1"/>
                <w:color w:val="auto"/>
              </w:rPr>
            </w:pPr>
          </w:p>
        </w:tc>
      </w:tr>
      <w:tr>
        <w:trPr>
          <w:trHeight w:val="220"/>
        </w:trPr>
        <w:tc>
          <w:tcPr>
            <w:tcW w:w="20" w:type="dxa"/>
            <w:vAlign w:val="bottom"/>
            <w:shd w:val="clear" w:color="auto" w:fill="CCEEFF"/>
          </w:tcPr>
          <w:p>
            <w:pPr>
              <w:spacing w:after="0"/>
              <w:rPr>
                <w:sz w:val="19"/>
                <w:szCs w:val="19"/>
                <w:color w:val="auto"/>
              </w:rPr>
            </w:pPr>
          </w:p>
        </w:tc>
        <w:tc>
          <w:tcPr>
            <w:tcW w:w="59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Research and development expenses</w:t>
            </w:r>
          </w:p>
        </w:tc>
        <w:tc>
          <w:tcPr>
            <w:tcW w:w="940" w:type="dxa"/>
            <w:vAlign w:val="bottom"/>
            <w:shd w:val="clear" w:color="auto" w:fill="CCEEFF"/>
          </w:tcPr>
          <w:p>
            <w:pPr>
              <w:spacing w:after="0"/>
              <w:rPr>
                <w:sz w:val="19"/>
                <w:szCs w:val="19"/>
                <w:color w:val="auto"/>
              </w:rPr>
            </w:pPr>
          </w:p>
        </w:tc>
        <w:tc>
          <w:tcPr>
            <w:tcW w:w="3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6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0"/>
        </w:trPr>
        <w:tc>
          <w:tcPr>
            <w:tcW w:w="20" w:type="dxa"/>
            <w:vAlign w:val="bottom"/>
            <w:tcBorders>
              <w:bottom w:val="single" w:sz="8" w:color="CCEEFF"/>
            </w:tcBorders>
          </w:tcPr>
          <w:p>
            <w:pPr>
              <w:spacing w:after="0"/>
              <w:rPr>
                <w:sz w:val="19"/>
                <w:szCs w:val="19"/>
                <w:color w:val="auto"/>
              </w:rPr>
            </w:pPr>
          </w:p>
        </w:tc>
        <w:tc>
          <w:tcPr>
            <w:tcW w:w="59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7"/>
                <w:szCs w:val="17"/>
                <w:color w:val="auto"/>
              </w:rPr>
              <w:t>Interest expense</w:t>
            </w:r>
          </w:p>
        </w:tc>
        <w:tc>
          <w:tcPr>
            <w:tcW w:w="94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ind w:left="520"/>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rPr>
              <w:t>(31)</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(31)</w:t>
            </w:r>
          </w:p>
        </w:tc>
        <w:tc>
          <w:tcPr>
            <w:tcW w:w="0" w:type="dxa"/>
            <w:vAlign w:val="bottom"/>
          </w:tcPr>
          <w:p>
            <w:pPr>
              <w:spacing w:after="0"/>
              <w:rPr>
                <w:sz w:val="1"/>
                <w:szCs w:val="1"/>
                <w:color w:val="auto"/>
              </w:rPr>
            </w:pPr>
          </w:p>
        </w:tc>
      </w:tr>
      <w:tr>
        <w:trPr>
          <w:trHeight w:val="238"/>
        </w:trPr>
        <w:tc>
          <w:tcPr>
            <w:tcW w:w="20" w:type="dxa"/>
            <w:vAlign w:val="bottom"/>
            <w:tcBorders>
              <w:bottom w:val="single" w:sz="8" w:color="CCEEFF"/>
            </w:tcBorders>
            <w:shd w:val="clear" w:color="auto" w:fill="CCEEFF"/>
          </w:tcPr>
          <w:p>
            <w:pPr>
              <w:spacing w:after="0"/>
              <w:rPr>
                <w:sz w:val="20"/>
                <w:szCs w:val="20"/>
                <w:color w:val="auto"/>
              </w:rPr>
            </w:pPr>
          </w:p>
        </w:tc>
        <w:tc>
          <w:tcPr>
            <w:tcW w:w="59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Total before tax</w:t>
            </w:r>
          </w:p>
        </w:tc>
        <w:tc>
          <w:tcPr>
            <w:tcW w:w="940" w:type="dxa"/>
            <w:vAlign w:val="bottom"/>
            <w:tcBorders>
              <w:bottom w:val="single" w:sz="8" w:color="auto"/>
            </w:tcBorders>
            <w:shd w:val="clear" w:color="auto" w:fill="CCEEFF"/>
          </w:tcPr>
          <w:p>
            <w:pPr>
              <w:jc w:val="right"/>
              <w:ind w:right="765"/>
              <w:spacing w:after="0"/>
              <w:rPr>
                <w:sz w:val="20"/>
                <w:szCs w:val="20"/>
                <w:color w:val="auto"/>
              </w:rPr>
            </w:pPr>
            <w:r>
              <w:rPr>
                <w:rFonts w:ascii="Times New Roman" w:cs="Times New Roman" w:eastAsia="Times New Roman" w:hAnsi="Times New Roman"/>
                <w:sz w:val="17"/>
                <w:szCs w:val="17"/>
                <w:color w:val="auto"/>
                <w:w w:val="93"/>
              </w:rPr>
              <w:t>$</w:t>
            </w:r>
          </w:p>
        </w:tc>
        <w:tc>
          <w:tcPr>
            <w:tcW w:w="340" w:type="dxa"/>
            <w:vAlign w:val="bottom"/>
            <w:tcBorders>
              <w:bottom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(3)</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900" w:type="dxa"/>
            <w:vAlign w:val="bottom"/>
            <w:tcBorders>
              <w:bottom w:val="single" w:sz="8" w:color="auto"/>
            </w:tcBorders>
            <w:shd w:val="clear" w:color="auto" w:fill="CCEEFF"/>
          </w:tcPr>
          <w:p>
            <w:pPr>
              <w:jc w:val="center"/>
              <w:ind w:right="680"/>
              <w:spacing w:after="0"/>
              <w:rPr>
                <w:sz w:val="20"/>
                <w:szCs w:val="20"/>
                <w:color w:val="auto"/>
              </w:rPr>
            </w:pPr>
            <w:r>
              <w:rPr>
                <w:rFonts w:ascii="Times New Roman" w:cs="Times New Roman" w:eastAsia="Times New Roman" w:hAnsi="Times New Roman"/>
                <w:sz w:val="17"/>
                <w:szCs w:val="17"/>
                <w:color w:val="auto"/>
              </w:rPr>
              <w:t>$</w:t>
            </w:r>
          </w:p>
        </w:tc>
        <w:tc>
          <w:tcPr>
            <w:tcW w:w="3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7"/>
              </w:rPr>
              <w:t>(165)</w:t>
            </w:r>
          </w:p>
        </w:tc>
        <w:tc>
          <w:tcPr>
            <w:tcW w:w="420" w:type="dxa"/>
            <w:vAlign w:val="bottom"/>
            <w:tcBorders>
              <w:bottom w:val="single" w:sz="8" w:color="auto"/>
            </w:tcBorders>
            <w:gridSpan w:val="3"/>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(169)</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5940" w:type="dxa"/>
            <w:vAlign w:val="bottom"/>
            <w:tcBorders>
              <w:top w:val="single" w:sz="8" w:color="CCEEFF"/>
              <w:bottom w:val="single" w:sz="8" w:color="CCEEFF"/>
            </w:tcBorders>
            <w:vMerge w:val="restart"/>
          </w:tcPr>
          <w:p>
            <w:pPr>
              <w:ind w:left="220"/>
              <w:spacing w:after="0"/>
              <w:rPr>
                <w:sz w:val="20"/>
                <w:szCs w:val="20"/>
                <w:color w:val="auto"/>
              </w:rPr>
            </w:pPr>
            <w:r>
              <w:rPr>
                <w:rFonts w:ascii="Times New Roman" w:cs="Times New Roman" w:eastAsia="Times New Roman" w:hAnsi="Times New Roman"/>
                <w:sz w:val="17"/>
                <w:szCs w:val="17"/>
                <w:color w:val="auto"/>
              </w:rPr>
              <w:t>Tax expense</w:t>
            </w: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20" w:type="dxa"/>
            <w:vAlign w:val="bottom"/>
            <w:tcBorders>
              <w:bottom w:val="single" w:sz="8" w:color="CCEEFF"/>
            </w:tcBorders>
          </w:tcPr>
          <w:p>
            <w:pPr>
              <w:spacing w:after="0"/>
              <w:rPr>
                <w:sz w:val="16"/>
                <w:szCs w:val="16"/>
                <w:color w:val="auto"/>
              </w:rPr>
            </w:pPr>
          </w:p>
        </w:tc>
        <w:tc>
          <w:tcPr>
            <w:tcW w:w="5940" w:type="dxa"/>
            <w:vAlign w:val="bottom"/>
            <w:tcBorders>
              <w:bottom w:val="single" w:sz="8" w:color="CCEEFF"/>
            </w:tcBorders>
            <w:vMerge w:val="continue"/>
          </w:tcPr>
          <w:p>
            <w:pPr>
              <w:spacing w:after="0"/>
              <w:rPr>
                <w:sz w:val="16"/>
                <w:szCs w:val="16"/>
                <w:color w:val="auto"/>
              </w:rPr>
            </w:pPr>
          </w:p>
        </w:tc>
        <w:tc>
          <w:tcPr>
            <w:tcW w:w="940" w:type="dxa"/>
            <w:vAlign w:val="bottom"/>
            <w:tcBorders>
              <w:bottom w:val="single" w:sz="8" w:color="CCEEFF"/>
            </w:tcBorders>
          </w:tcPr>
          <w:p>
            <w:pPr>
              <w:spacing w:after="0"/>
              <w:rPr>
                <w:sz w:val="16"/>
                <w:szCs w:val="16"/>
                <w:color w:val="auto"/>
              </w:rPr>
            </w:pPr>
          </w:p>
        </w:tc>
        <w:tc>
          <w:tcPr>
            <w:tcW w:w="340" w:type="dxa"/>
            <w:vAlign w:val="bottom"/>
            <w:tcBorders>
              <w:bottom w:val="single" w:sz="8" w:color="CCEEFF"/>
            </w:tcBorders>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380" w:type="dxa"/>
            <w:vAlign w:val="bottom"/>
            <w:tcBorders>
              <w:bottom w:val="single" w:sz="8" w:color="CCEEFF"/>
            </w:tcBorders>
          </w:tcPr>
          <w:p>
            <w:pPr>
              <w:spacing w:after="0"/>
              <w:rPr>
                <w:sz w:val="16"/>
                <w:szCs w:val="16"/>
                <w:color w:val="auto"/>
              </w:rPr>
            </w:pPr>
          </w:p>
        </w:tc>
        <w:tc>
          <w:tcPr>
            <w:tcW w:w="760" w:type="dxa"/>
            <w:vAlign w:val="bottom"/>
            <w:tcBorders>
              <w:bottom w:val="single" w:sz="8" w:color="CCEEFF"/>
            </w:tcBorders>
          </w:tcPr>
          <w:p>
            <w:pPr>
              <w:spacing w:after="0"/>
              <w:rPr>
                <w:sz w:val="16"/>
                <w:szCs w:val="16"/>
                <w:color w:val="auto"/>
              </w:rPr>
            </w:pPr>
          </w:p>
        </w:tc>
        <w:tc>
          <w:tcPr>
            <w:tcW w:w="90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line="193" w:lineRule="exact"/>
              <w:rPr>
                <w:sz w:val="20"/>
                <w:szCs w:val="20"/>
                <w:color w:val="auto"/>
              </w:rPr>
            </w:pPr>
            <w:r>
              <w:rPr>
                <w:rFonts w:ascii="Times New Roman" w:cs="Times New Roman" w:eastAsia="Times New Roman" w:hAnsi="Times New Roman"/>
                <w:sz w:val="17"/>
                <w:szCs w:val="17"/>
                <w:color w:val="auto"/>
              </w:rPr>
              <w:t>40</w:t>
            </w:r>
          </w:p>
        </w:tc>
        <w:tc>
          <w:tcPr>
            <w:tcW w:w="0" w:type="dxa"/>
            <w:vAlign w:val="bottom"/>
          </w:tcPr>
          <w:p>
            <w:pPr>
              <w:spacing w:after="0"/>
              <w:rPr>
                <w:sz w:val="1"/>
                <w:szCs w:val="1"/>
                <w:color w:val="auto"/>
              </w:rPr>
            </w:pPr>
          </w:p>
        </w:tc>
      </w:tr>
      <w:tr>
        <w:trPr>
          <w:trHeight w:val="238"/>
        </w:trPr>
        <w:tc>
          <w:tcPr>
            <w:tcW w:w="20" w:type="dxa"/>
            <w:vAlign w:val="bottom"/>
            <w:tcBorders>
              <w:bottom w:val="single" w:sz="8" w:color="CCEEFF"/>
            </w:tcBorders>
            <w:shd w:val="clear" w:color="auto" w:fill="CCEEFF"/>
          </w:tcPr>
          <w:p>
            <w:pPr>
              <w:spacing w:after="0"/>
              <w:rPr>
                <w:sz w:val="20"/>
                <w:szCs w:val="20"/>
                <w:color w:val="auto"/>
              </w:rPr>
            </w:pPr>
          </w:p>
        </w:tc>
        <w:tc>
          <w:tcPr>
            <w:tcW w:w="59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Total reclassifications, net of tax</w:t>
            </w:r>
          </w:p>
        </w:tc>
        <w:tc>
          <w:tcPr>
            <w:tcW w:w="94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gridSpan w:val="2"/>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(129)</w:t>
            </w:r>
          </w:p>
        </w:tc>
        <w:tc>
          <w:tcPr>
            <w:tcW w:w="0" w:type="dxa"/>
            <w:vAlign w:val="bottom"/>
          </w:tcPr>
          <w:p>
            <w:pPr>
              <w:spacing w:after="0"/>
              <w:rPr>
                <w:sz w:val="1"/>
                <w:szCs w:val="1"/>
                <w:color w:val="auto"/>
              </w:rPr>
            </w:pPr>
          </w:p>
        </w:tc>
      </w:tr>
      <w:tr>
        <w:trPr>
          <w:trHeight w:val="20"/>
        </w:trPr>
        <w:tc>
          <w:tcPr>
            <w:tcW w:w="5960" w:type="dxa"/>
            <w:vAlign w:val="bottom"/>
            <w:tcBorders>
              <w:top w:val="single" w:sz="8" w:color="CCEEFF"/>
              <w:bottom w:val="single" w:sz="8" w:color="CCEEFF"/>
            </w:tcBorders>
            <w:gridSpan w:val="2"/>
            <w:vMerge w:val="restart"/>
          </w:tcPr>
          <w:p>
            <w:pPr>
              <w:spacing w:after="0"/>
              <w:rPr>
                <w:sz w:val="20"/>
                <w:szCs w:val="20"/>
                <w:color w:val="auto"/>
              </w:rPr>
            </w:pPr>
            <w:r>
              <w:rPr>
                <w:rFonts w:ascii="Times New Roman" w:cs="Times New Roman" w:eastAsia="Times New Roman" w:hAnsi="Times New Roman"/>
                <w:sz w:val="17"/>
                <w:szCs w:val="17"/>
                <w:b w:val="1"/>
                <w:bCs w:val="1"/>
                <w:color w:val="auto"/>
              </w:rPr>
              <w:t>16. SUPPLEMENTAL FINANCIAL INFORMATION</w:t>
            </w:r>
          </w:p>
        </w:tc>
        <w:tc>
          <w:tcPr>
            <w:tcW w:w="9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4"/>
        </w:trPr>
        <w:tc>
          <w:tcPr>
            <w:tcW w:w="5960" w:type="dxa"/>
            <w:vAlign w:val="bottom"/>
            <w:gridSpan w:val="2"/>
            <w:vMerge w:val="continue"/>
          </w:tcPr>
          <w:p>
            <w:pPr>
              <w:spacing w:after="0"/>
              <w:rPr>
                <w:sz w:val="24"/>
                <w:szCs w:val="24"/>
                <w:color w:val="auto"/>
              </w:rPr>
            </w:pPr>
          </w:p>
        </w:tc>
        <w:tc>
          <w:tcPr>
            <w:tcW w:w="9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3"/>
        </w:trPr>
        <w:tc>
          <w:tcPr>
            <w:tcW w:w="59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The components of accounts receivable are summarized as follows:</w:t>
            </w:r>
          </w:p>
        </w:tc>
        <w:tc>
          <w:tcPr>
            <w:tcW w:w="9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59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9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September 30, 2024</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20" w:type="dxa"/>
            <w:vAlign w:val="bottom"/>
            <w:gridSpan w:val="4"/>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w w:val="97"/>
              </w:rPr>
              <w:t>December 31, 2023</w:t>
            </w:r>
          </w:p>
        </w:tc>
        <w:tc>
          <w:tcPr>
            <w:tcW w:w="0" w:type="dxa"/>
            <w:vAlign w:val="bottom"/>
          </w:tcPr>
          <w:p>
            <w:pPr>
              <w:spacing w:after="0"/>
              <w:rPr>
                <w:sz w:val="1"/>
                <w:szCs w:val="1"/>
                <w:color w:val="auto"/>
              </w:rPr>
            </w:pPr>
          </w:p>
        </w:tc>
      </w:tr>
      <w:tr>
        <w:trPr>
          <w:trHeight w:val="23"/>
        </w:trPr>
        <w:tc>
          <w:tcPr>
            <w:tcW w:w="20" w:type="dxa"/>
            <w:vAlign w:val="bottom"/>
          </w:tcPr>
          <w:p>
            <w:pPr>
              <w:spacing w:after="0" w:line="20" w:lineRule="exact"/>
              <w:rPr>
                <w:sz w:val="1"/>
                <w:szCs w:val="1"/>
                <w:color w:val="auto"/>
              </w:rPr>
            </w:pPr>
          </w:p>
        </w:tc>
        <w:tc>
          <w:tcPr>
            <w:tcW w:w="594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5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Accounts receivable</w:t>
            </w:r>
          </w:p>
        </w:tc>
        <w:tc>
          <w:tcPr>
            <w:tcW w:w="9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59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Trade</w:t>
            </w:r>
          </w:p>
        </w:tc>
        <w:tc>
          <w:tcPr>
            <w:tcW w:w="9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gridSpan w:val="2"/>
          </w:tcPr>
          <w:p>
            <w:pPr>
              <w:jc w:val="right"/>
              <w:ind w:right="575"/>
              <w:spacing w:after="0"/>
              <w:rPr>
                <w:sz w:val="20"/>
                <w:szCs w:val="20"/>
                <w:color w:val="auto"/>
              </w:rPr>
            </w:pPr>
            <w:r>
              <w:rPr>
                <w:rFonts w:ascii="Times New Roman" w:cs="Times New Roman" w:eastAsia="Times New Roman" w:hAnsi="Times New Roman"/>
                <w:sz w:val="17"/>
                <w:szCs w:val="17"/>
                <w:b w:val="1"/>
                <w:bCs w:val="1"/>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556</w:t>
            </w:r>
          </w:p>
        </w:tc>
        <w:tc>
          <w:tcPr>
            <w:tcW w:w="380" w:type="dxa"/>
            <w:vAlign w:val="bottom"/>
            <w:gridSpan w:val="2"/>
          </w:tcPr>
          <w:p>
            <w:pPr>
              <w:jc w:val="right"/>
              <w:ind w:right="94"/>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305</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5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w:t>
            </w:r>
          </w:p>
        </w:tc>
        <w:tc>
          <w:tcPr>
            <w:tcW w:w="9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95</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138</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9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Accounts receivable, gross</w:t>
            </w:r>
          </w:p>
        </w:tc>
        <w:tc>
          <w:tcPr>
            <w:tcW w:w="9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651</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443</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5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Less: allowance for credit losses</w:t>
            </w:r>
          </w:p>
        </w:tc>
        <w:tc>
          <w:tcPr>
            <w:tcW w:w="9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(28)</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94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Total accounts receivable, net</w:t>
            </w:r>
          </w:p>
        </w:tc>
        <w:tc>
          <w:tcPr>
            <w:tcW w:w="9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Borders>
              <w:bottom w:val="single" w:sz="8" w:color="auto"/>
            </w:tcBorders>
          </w:tcPr>
          <w:p>
            <w:pPr>
              <w:jc w:val="right"/>
              <w:ind w:right="575"/>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623</w:t>
            </w:r>
          </w:p>
        </w:tc>
        <w:tc>
          <w:tcPr>
            <w:tcW w:w="100" w:type="dxa"/>
            <w:vAlign w:val="bottom"/>
          </w:tcPr>
          <w:p>
            <w:pPr>
              <w:spacing w:after="0"/>
              <w:rPr>
                <w:sz w:val="18"/>
                <w:szCs w:val="18"/>
                <w:color w:val="auto"/>
              </w:rPr>
            </w:pPr>
          </w:p>
        </w:tc>
        <w:tc>
          <w:tcPr>
            <w:tcW w:w="28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414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As disclosed in Note 6, “Trade Receivables Facility”, in September 2024, the Company terminated the T/R Facility and reacquired all outstanding trade receivables, which are included in Accounts receivable, net in the Company’s Condensed Consolidated Balance Sheets. Our allowance for credit losses as of September 30, 2024 and December 31, 2023 was $28 million and $29 million, respectively. We continue to evaluate our reserves in light of the age and quality of our outstanding accounts receivable as well as risks to specific industries or countries and adjust the reserves accordingly. The impact to our allowance for credit losses for the three and nine months ended September 30, 2024 was an expense of $9 million and $13 million, respectively. The impact to our allowance for credit losses for the three and nine months ended September 30, 2023 was an expense of $2 million and $10 million, respectively. The Company recorded write-offs against the reserve for the</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3435" cy="419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7" w:name="page38"/>
    <w:bookmarkEnd w:id="37"/>
    <w:p>
      <w:pPr>
        <w:ind w:left="62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NCR Voyix Corporation</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 (Unaudited)—(Continued)</w:t>
      </w:r>
    </w:p>
    <w:p>
      <w:pPr>
        <w:spacing w:after="0" w:line="200" w:lineRule="exact"/>
        <w:rPr>
          <w:sz w:val="20"/>
          <w:szCs w:val="20"/>
          <w:color w:val="auto"/>
        </w:rPr>
      </w:pPr>
    </w:p>
    <w:p>
      <w:pPr>
        <w:spacing w:after="0" w:line="377"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7"/>
          <w:szCs w:val="17"/>
          <w:color w:val="auto"/>
        </w:rPr>
        <w:t>three and nine months ended September 30, 2024 of $4 million and $14 million, respectively. The Company recorded write-offs against the reserve for both the three and nine months ended September 30, 2023 of $2 million, respectively.</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components of inventory are summarized as follows:</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77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80" w:type="dxa"/>
            <w:vAlign w:val="bottom"/>
          </w:tcPr>
          <w:p>
            <w:pPr>
              <w:spacing w:after="0"/>
              <w:rPr>
                <w:sz w:val="15"/>
                <w:szCs w:val="15"/>
                <w:color w:val="auto"/>
              </w:rPr>
            </w:pPr>
          </w:p>
        </w:tc>
        <w:tc>
          <w:tcPr>
            <w:tcW w:w="15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200" w:type="dxa"/>
            <w:vAlign w:val="bottom"/>
          </w:tcPr>
          <w:p>
            <w:pPr>
              <w:spacing w:after="0"/>
              <w:rPr>
                <w:sz w:val="15"/>
                <w:szCs w:val="15"/>
                <w:color w:val="auto"/>
              </w:rPr>
            </w:pPr>
          </w:p>
        </w:tc>
        <w:tc>
          <w:tcPr>
            <w:tcW w:w="1480" w:type="dxa"/>
            <w:vAlign w:val="bottom"/>
          </w:tcPr>
          <w:p>
            <w:pPr>
              <w:jc w:val="right"/>
              <w:ind w:right="197"/>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23"/>
        </w:trPr>
        <w:tc>
          <w:tcPr>
            <w:tcW w:w="77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r>
        <w:trPr>
          <w:trHeight w:val="200"/>
        </w:trPr>
        <w:tc>
          <w:tcPr>
            <w:tcW w:w="7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Inventories</w:t>
            </w:r>
          </w:p>
        </w:tc>
        <w:tc>
          <w:tcPr>
            <w:tcW w:w="18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r>
      <w:tr>
        <w:trPr>
          <w:trHeight w:val="220"/>
        </w:trPr>
        <w:tc>
          <w:tcPr>
            <w:tcW w:w="77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Work in process and raw materials</w:t>
            </w: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10</w:t>
            </w:r>
          </w:p>
        </w:tc>
        <w:tc>
          <w:tcPr>
            <w:tcW w:w="100" w:type="dxa"/>
            <w:vAlign w:val="bottom"/>
          </w:tcPr>
          <w:p>
            <w:pPr>
              <w:spacing w:after="0"/>
              <w:rPr>
                <w:sz w:val="19"/>
                <w:szCs w:val="19"/>
                <w:color w:val="auto"/>
              </w:rPr>
            </w:pPr>
          </w:p>
        </w:tc>
        <w:tc>
          <w:tcPr>
            <w:tcW w:w="20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w:t>
            </w:r>
          </w:p>
        </w:tc>
      </w:tr>
      <w:tr>
        <w:trPr>
          <w:trHeight w:val="220"/>
        </w:trPr>
        <w:tc>
          <w:tcPr>
            <w:tcW w:w="7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Finished goods</w:t>
            </w: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89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109</w:t>
            </w:r>
          </w:p>
        </w:tc>
      </w:tr>
      <w:tr>
        <w:trPr>
          <w:trHeight w:val="220"/>
        </w:trPr>
        <w:tc>
          <w:tcPr>
            <w:tcW w:w="7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Service parts</w:t>
            </w:r>
          </w:p>
        </w:tc>
        <w:tc>
          <w:tcPr>
            <w:tcW w:w="1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109</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127</w:t>
            </w:r>
          </w:p>
        </w:tc>
      </w:tr>
      <w:tr>
        <w:trPr>
          <w:trHeight w:val="238"/>
        </w:trPr>
        <w:tc>
          <w:tcPr>
            <w:tcW w:w="7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Total inventories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208</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250</w:t>
            </w:r>
          </w:p>
        </w:tc>
      </w:tr>
      <w:tr>
        <w:trPr>
          <w:trHeight w:val="20"/>
        </w:trPr>
        <w:tc>
          <w:tcPr>
            <w:tcW w:w="77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bl>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17. REVISED 2023 QUARTERLY FINANCIAL STATEMENTS</w:t>
      </w:r>
    </w:p>
    <w:p>
      <w:pPr>
        <w:spacing w:after="0" w:line="247"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As described in Note 1, “Basis of Presentation and Summary of Significant Accounting Policies”, in February 2024, the Company identified fraudulent ACH disbursements from a Company bank account. The Company evaluated the impact of the errors and concluded they are not material to any previously issued interim consolidated financial statements. The following table sets forth the Company’s results of operations for the three and nine months ended September 30, 2023, which have been retrospectively adjusted to reflect the Digital Banking businesses and NCR Atleos historical financial results as discontinued operations, including the delayed countries that transferred to NCR Atleos during the three and nine months ended September 30, 2024, as well as the revision impact of the fraudulent ACH disbursements and other immaterial errors.</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3435" cy="419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8" w:name="page39"/>
    <w:bookmarkEnd w:id="38"/>
    <w:p>
      <w:pPr>
        <w:ind w:left="62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NCR Voyix Corporation</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 (Unaudited)—(Continued)</w:t>
      </w:r>
    </w:p>
    <w:p>
      <w:pPr>
        <w:spacing w:after="0" w:line="200" w:lineRule="exact"/>
        <w:rPr>
          <w:sz w:val="20"/>
          <w:szCs w:val="20"/>
          <w:color w:val="auto"/>
        </w:rPr>
      </w:pPr>
    </w:p>
    <w:p>
      <w:pPr>
        <w:spacing w:after="0" w:line="354"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32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080" w:type="dxa"/>
            <w:vAlign w:val="bottom"/>
            <w:tcBorders>
              <w:bottom w:val="single" w:sz="8" w:color="auto"/>
            </w:tcBorders>
            <w:gridSpan w:val="9"/>
          </w:tcPr>
          <w:p>
            <w:pPr>
              <w:jc w:val="right"/>
              <w:spacing w:after="0"/>
              <w:rPr>
                <w:sz w:val="20"/>
                <w:szCs w:val="20"/>
                <w:color w:val="auto"/>
              </w:rPr>
            </w:pPr>
            <w:r>
              <w:rPr>
                <w:rFonts w:ascii="Times New Roman" w:cs="Times New Roman" w:eastAsia="Times New Roman" w:hAnsi="Times New Roman"/>
                <w:sz w:val="13"/>
                <w:szCs w:val="13"/>
                <w:b w:val="1"/>
                <w:bCs w:val="1"/>
                <w:color w:val="auto"/>
              </w:rPr>
              <w:t>Three months ended September 30, 2023</w:t>
            </w:r>
          </w:p>
        </w:tc>
        <w:tc>
          <w:tcPr>
            <w:tcW w:w="80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2300" w:type="dxa"/>
            <w:vAlign w:val="bottom"/>
            <w:tcBorders>
              <w:bottom w:val="single" w:sz="8" w:color="auto"/>
            </w:tcBorders>
            <w:gridSpan w:val="9"/>
          </w:tcPr>
          <w:p>
            <w:pPr>
              <w:spacing w:after="0"/>
              <w:rPr>
                <w:sz w:val="20"/>
                <w:szCs w:val="20"/>
                <w:color w:val="auto"/>
              </w:rPr>
            </w:pPr>
            <w:r>
              <w:rPr>
                <w:rFonts w:ascii="Times New Roman" w:cs="Times New Roman" w:eastAsia="Times New Roman" w:hAnsi="Times New Roman"/>
                <w:sz w:val="13"/>
                <w:szCs w:val="13"/>
                <w:b w:val="1"/>
                <w:bCs w:val="1"/>
                <w:color w:val="auto"/>
              </w:rPr>
              <w:t>Nine months ended September 30, 2023</w:t>
            </w:r>
          </w:p>
        </w:tc>
        <w:tc>
          <w:tcPr>
            <w:tcW w:w="7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30"/>
        </w:trPr>
        <w:tc>
          <w:tcPr>
            <w:tcW w:w="3280" w:type="dxa"/>
            <w:vAlign w:val="bottom"/>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In millions, except per share amounts</w:t>
            </w:r>
          </w:p>
        </w:tc>
        <w:tc>
          <w:tcPr>
            <w:tcW w:w="100" w:type="dxa"/>
            <w:vAlign w:val="bottom"/>
          </w:tcPr>
          <w:p>
            <w:pPr>
              <w:spacing w:after="0"/>
              <w:rPr>
                <w:sz w:val="11"/>
                <w:szCs w:val="11"/>
                <w:color w:val="auto"/>
              </w:rPr>
            </w:pPr>
          </w:p>
        </w:tc>
        <w:tc>
          <w:tcPr>
            <w:tcW w:w="820" w:type="dxa"/>
            <w:vAlign w:val="bottom"/>
            <w:vMerge w:val="restart"/>
          </w:tcPr>
          <w:p>
            <w:pPr>
              <w:jc w:val="right"/>
              <w:ind w:right="75"/>
              <w:spacing w:after="0"/>
              <w:rPr>
                <w:sz w:val="20"/>
                <w:szCs w:val="20"/>
                <w:color w:val="auto"/>
              </w:rPr>
            </w:pPr>
            <w:r>
              <w:rPr>
                <w:rFonts w:ascii="Times New Roman" w:cs="Times New Roman" w:eastAsia="Times New Roman" w:hAnsi="Times New Roman"/>
                <w:sz w:val="13"/>
                <w:szCs w:val="13"/>
                <w:b w:val="1"/>
                <w:bCs w:val="1"/>
                <w:color w:val="auto"/>
                <w:w w:val="99"/>
              </w:rPr>
              <w:t>As reported</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gridSpan w:val="2"/>
          </w:tcPr>
          <w:p>
            <w:pPr>
              <w:jc w:val="center"/>
              <w:ind w:right="180"/>
              <w:spacing w:after="0" w:line="129" w:lineRule="exact"/>
              <w:rPr>
                <w:sz w:val="20"/>
                <w:szCs w:val="20"/>
                <w:color w:val="auto"/>
              </w:rPr>
            </w:pPr>
            <w:r>
              <w:rPr>
                <w:rFonts w:ascii="Times New Roman" w:cs="Times New Roman" w:eastAsia="Times New Roman" w:hAnsi="Times New Roman"/>
                <w:sz w:val="13"/>
                <w:szCs w:val="13"/>
                <w:b w:val="1"/>
                <w:bCs w:val="1"/>
                <w:color w:val="auto"/>
                <w:w w:val="98"/>
              </w:rPr>
              <w:t>Discontinued</w:t>
            </w:r>
          </w:p>
        </w:tc>
        <w:tc>
          <w:tcPr>
            <w:tcW w:w="100" w:type="dxa"/>
            <w:vAlign w:val="bottom"/>
          </w:tcPr>
          <w:p>
            <w:pPr>
              <w:spacing w:after="0"/>
              <w:rPr>
                <w:sz w:val="11"/>
                <w:szCs w:val="11"/>
                <w:color w:val="auto"/>
              </w:rPr>
            </w:pPr>
          </w:p>
        </w:tc>
        <w:tc>
          <w:tcPr>
            <w:tcW w:w="900" w:type="dxa"/>
            <w:vAlign w:val="bottom"/>
            <w:gridSpan w:val="2"/>
            <w:vMerge w:val="restart"/>
          </w:tcPr>
          <w:p>
            <w:pPr>
              <w:ind w:left="40"/>
              <w:spacing w:after="0"/>
              <w:rPr>
                <w:sz w:val="20"/>
                <w:szCs w:val="20"/>
                <w:color w:val="auto"/>
              </w:rPr>
            </w:pPr>
            <w:r>
              <w:rPr>
                <w:rFonts w:ascii="Times New Roman" w:cs="Times New Roman" w:eastAsia="Times New Roman" w:hAnsi="Times New Roman"/>
                <w:sz w:val="13"/>
                <w:szCs w:val="13"/>
                <w:b w:val="1"/>
                <w:bCs w:val="1"/>
                <w:color w:val="auto"/>
              </w:rPr>
              <w:t>Adjustment</w:t>
            </w:r>
          </w:p>
        </w:tc>
        <w:tc>
          <w:tcPr>
            <w:tcW w:w="100" w:type="dxa"/>
            <w:vAlign w:val="bottom"/>
          </w:tcPr>
          <w:p>
            <w:pPr>
              <w:spacing w:after="0"/>
              <w:rPr>
                <w:sz w:val="11"/>
                <w:szCs w:val="11"/>
                <w:color w:val="auto"/>
              </w:rPr>
            </w:pPr>
          </w:p>
        </w:tc>
        <w:tc>
          <w:tcPr>
            <w:tcW w:w="800" w:type="dxa"/>
            <w:vAlign w:val="bottom"/>
          </w:tcPr>
          <w:p>
            <w:pPr>
              <w:jc w:val="right"/>
              <w:ind w:right="75"/>
              <w:spacing w:after="0" w:line="129" w:lineRule="exact"/>
              <w:rPr>
                <w:sz w:val="20"/>
                <w:szCs w:val="20"/>
                <w:color w:val="auto"/>
              </w:rPr>
            </w:pPr>
            <w:r>
              <w:rPr>
                <w:rFonts w:ascii="Times New Roman" w:cs="Times New Roman" w:eastAsia="Times New Roman" w:hAnsi="Times New Roman"/>
                <w:sz w:val="13"/>
                <w:szCs w:val="13"/>
                <w:b w:val="1"/>
                <w:bCs w:val="1"/>
                <w:color w:val="auto"/>
              </w:rPr>
              <w:t>As recasted</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vMerge w:val="restart"/>
          </w:tcPr>
          <w:p>
            <w:pPr>
              <w:jc w:val="right"/>
              <w:ind w:right="15"/>
              <w:spacing w:after="0"/>
              <w:rPr>
                <w:sz w:val="20"/>
                <w:szCs w:val="20"/>
                <w:color w:val="auto"/>
              </w:rPr>
            </w:pPr>
            <w:r>
              <w:rPr>
                <w:rFonts w:ascii="Times New Roman" w:cs="Times New Roman" w:eastAsia="Times New Roman" w:hAnsi="Times New Roman"/>
                <w:sz w:val="13"/>
                <w:szCs w:val="13"/>
                <w:b w:val="1"/>
                <w:bCs w:val="1"/>
                <w:color w:val="auto"/>
                <w:w w:val="99"/>
              </w:rPr>
              <w:t>As reported</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gridSpan w:val="2"/>
          </w:tcPr>
          <w:p>
            <w:pPr>
              <w:jc w:val="center"/>
              <w:ind w:right="180"/>
              <w:spacing w:after="0" w:line="129" w:lineRule="exact"/>
              <w:rPr>
                <w:sz w:val="20"/>
                <w:szCs w:val="20"/>
                <w:color w:val="auto"/>
              </w:rPr>
            </w:pPr>
            <w:r>
              <w:rPr>
                <w:rFonts w:ascii="Times New Roman" w:cs="Times New Roman" w:eastAsia="Times New Roman" w:hAnsi="Times New Roman"/>
                <w:sz w:val="13"/>
                <w:szCs w:val="13"/>
                <w:b w:val="1"/>
                <w:bCs w:val="1"/>
                <w:color w:val="auto"/>
              </w:rPr>
              <w:t>Discontinued</w:t>
            </w:r>
          </w:p>
        </w:tc>
        <w:tc>
          <w:tcPr>
            <w:tcW w:w="100" w:type="dxa"/>
            <w:vAlign w:val="bottom"/>
          </w:tcPr>
          <w:p>
            <w:pPr>
              <w:spacing w:after="0"/>
              <w:rPr>
                <w:sz w:val="11"/>
                <w:szCs w:val="11"/>
                <w:color w:val="auto"/>
              </w:rPr>
            </w:pPr>
          </w:p>
        </w:tc>
        <w:tc>
          <w:tcPr>
            <w:tcW w:w="86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Adjustment</w:t>
            </w:r>
          </w:p>
        </w:tc>
        <w:tc>
          <w:tcPr>
            <w:tcW w:w="920" w:type="dxa"/>
            <w:vAlign w:val="bottom"/>
            <w:gridSpan w:val="2"/>
          </w:tcPr>
          <w:p>
            <w:pPr>
              <w:ind w:left="20"/>
              <w:spacing w:after="0" w:line="129" w:lineRule="exact"/>
              <w:rPr>
                <w:sz w:val="20"/>
                <w:szCs w:val="20"/>
                <w:color w:val="auto"/>
              </w:rPr>
            </w:pPr>
            <w:r>
              <w:rPr>
                <w:rFonts w:ascii="Times New Roman" w:cs="Times New Roman" w:eastAsia="Times New Roman" w:hAnsi="Times New Roman"/>
                <w:sz w:val="13"/>
                <w:szCs w:val="13"/>
                <w:b w:val="1"/>
                <w:bCs w:val="1"/>
                <w:color w:val="auto"/>
                <w:w w:val="99"/>
              </w:rPr>
              <w:t>As recasted and</w:t>
            </w:r>
          </w:p>
        </w:tc>
        <w:tc>
          <w:tcPr>
            <w:tcW w:w="0" w:type="dxa"/>
            <w:vAlign w:val="bottom"/>
          </w:tcPr>
          <w:p>
            <w:pPr>
              <w:spacing w:after="0"/>
              <w:rPr>
                <w:sz w:val="1"/>
                <w:szCs w:val="1"/>
                <w:color w:val="auto"/>
              </w:rPr>
            </w:pPr>
          </w:p>
        </w:tc>
      </w:tr>
      <w:tr>
        <w:trPr>
          <w:trHeight w:val="176"/>
        </w:trPr>
        <w:tc>
          <w:tcPr>
            <w:tcW w:w="32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9"/>
              </w:rPr>
              <w:t>operations</w:t>
            </w:r>
          </w:p>
        </w:tc>
        <w:tc>
          <w:tcPr>
            <w:tcW w:w="100" w:type="dxa"/>
            <w:vAlign w:val="bottom"/>
          </w:tcPr>
          <w:p>
            <w:pPr>
              <w:spacing w:after="0"/>
              <w:rPr>
                <w:sz w:val="15"/>
                <w:szCs w:val="15"/>
                <w:color w:val="auto"/>
              </w:rPr>
            </w:pPr>
          </w:p>
        </w:tc>
        <w:tc>
          <w:tcPr>
            <w:tcW w:w="90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b w:val="1"/>
                <w:bCs w:val="1"/>
                <w:color w:val="auto"/>
              </w:rPr>
              <w:t>and revised</w:t>
            </w:r>
          </w:p>
        </w:tc>
        <w:tc>
          <w:tcPr>
            <w:tcW w:w="10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9"/>
              </w:rPr>
              <w:t>operations</w:t>
            </w:r>
          </w:p>
        </w:tc>
        <w:tc>
          <w:tcPr>
            <w:tcW w:w="100" w:type="dxa"/>
            <w:vAlign w:val="bottom"/>
          </w:tcPr>
          <w:p>
            <w:pPr>
              <w:spacing w:after="0"/>
              <w:rPr>
                <w:sz w:val="15"/>
                <w:szCs w:val="15"/>
                <w:color w:val="auto"/>
              </w:rPr>
            </w:pPr>
          </w:p>
        </w:tc>
        <w:tc>
          <w:tcPr>
            <w:tcW w:w="86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jc w:val="right"/>
              <w:ind w:right="195"/>
              <w:spacing w:after="0"/>
              <w:rPr>
                <w:sz w:val="20"/>
                <w:szCs w:val="20"/>
                <w:color w:val="auto"/>
              </w:rPr>
            </w:pPr>
            <w:r>
              <w:rPr>
                <w:rFonts w:ascii="Times New Roman" w:cs="Times New Roman" w:eastAsia="Times New Roman" w:hAnsi="Times New Roman"/>
                <w:sz w:val="13"/>
                <w:szCs w:val="13"/>
                <w:b w:val="1"/>
                <w:bCs w:val="1"/>
                <w:color w:val="auto"/>
              </w:rPr>
              <w:t>revised</w:t>
            </w:r>
          </w:p>
        </w:tc>
        <w:tc>
          <w:tcPr>
            <w:tcW w:w="0" w:type="dxa"/>
            <w:vAlign w:val="bottom"/>
          </w:tcPr>
          <w:p>
            <w:pPr>
              <w:spacing w:after="0"/>
              <w:rPr>
                <w:sz w:val="1"/>
                <w:szCs w:val="1"/>
                <w:color w:val="auto"/>
              </w:rPr>
            </w:pPr>
          </w:p>
        </w:tc>
      </w:tr>
      <w:tr>
        <w:trPr>
          <w:trHeight w:val="180"/>
        </w:trPr>
        <w:tc>
          <w:tcPr>
            <w:tcW w:w="32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Product revenue</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560</w:t>
            </w:r>
          </w:p>
        </w:tc>
        <w:tc>
          <w:tcPr>
            <w:tcW w:w="6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264</w:t>
            </w: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296</w:t>
            </w: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1,657</w:t>
            </w:r>
          </w:p>
        </w:tc>
        <w:tc>
          <w:tcPr>
            <w:tcW w:w="2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782</w:t>
            </w: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8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875</w:t>
            </w:r>
          </w:p>
        </w:tc>
        <w:tc>
          <w:tcPr>
            <w:tcW w:w="0" w:type="dxa"/>
            <w:vAlign w:val="bottom"/>
          </w:tcPr>
          <w:p>
            <w:pPr>
              <w:spacing w:after="0"/>
              <w:rPr>
                <w:sz w:val="1"/>
                <w:szCs w:val="1"/>
                <w:color w:val="auto"/>
              </w:rPr>
            </w:pPr>
          </w:p>
        </w:tc>
      </w:tr>
      <w:tr>
        <w:trPr>
          <w:trHeight w:val="176"/>
        </w:trPr>
        <w:tc>
          <w:tcPr>
            <w:tcW w:w="32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Service revenue</w:t>
            </w:r>
          </w:p>
        </w:tc>
        <w:tc>
          <w:tcPr>
            <w:tcW w:w="10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1,457</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944</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b w:val="1"/>
                <w:bCs w:val="1"/>
                <w:color w:val="auto"/>
              </w:rPr>
              <w:t>—</w:t>
            </w:r>
          </w:p>
        </w:tc>
        <w:tc>
          <w:tcPr>
            <w:tcW w:w="1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513</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4,237</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2,730</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b w:val="1"/>
                <w:bCs w:val="1"/>
                <w:color w:val="auto"/>
              </w:rPr>
              <w:t>—</w:t>
            </w:r>
          </w:p>
        </w:tc>
        <w:tc>
          <w:tcPr>
            <w:tcW w:w="1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1,507</w:t>
            </w:r>
          </w:p>
        </w:tc>
        <w:tc>
          <w:tcPr>
            <w:tcW w:w="0" w:type="dxa"/>
            <w:vAlign w:val="bottom"/>
          </w:tcPr>
          <w:p>
            <w:pPr>
              <w:spacing w:after="0"/>
              <w:rPr>
                <w:sz w:val="1"/>
                <w:szCs w:val="1"/>
                <w:color w:val="auto"/>
              </w:rPr>
            </w:pPr>
          </w:p>
        </w:tc>
      </w:tr>
      <w:tr>
        <w:trPr>
          <w:trHeight w:val="180"/>
        </w:trPr>
        <w:tc>
          <w:tcPr>
            <w:tcW w:w="32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Total revenue</w:t>
            </w:r>
          </w:p>
        </w:tc>
        <w:tc>
          <w:tcPr>
            <w:tcW w:w="100" w:type="dxa"/>
            <w:vAlign w:val="bottom"/>
            <w:tcBorders>
              <w:top w:val="single" w:sz="8" w:color="auto"/>
              <w:bottom w:val="single" w:sz="8" w:color="auto"/>
            </w:tcBorders>
            <w:shd w:val="clear" w:color="auto" w:fill="CCEEFF"/>
          </w:tcPr>
          <w:p>
            <w:pPr>
              <w:spacing w:after="0"/>
              <w:rPr>
                <w:sz w:val="15"/>
                <w:szCs w:val="15"/>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2,017</w:t>
            </w:r>
          </w:p>
        </w:tc>
        <w:tc>
          <w:tcPr>
            <w:tcW w:w="6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spacing w:after="0"/>
              <w:rPr>
                <w:sz w:val="15"/>
                <w:szCs w:val="15"/>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1,208</w:t>
            </w: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spacing w:after="0"/>
              <w:rPr>
                <w:sz w:val="15"/>
                <w:szCs w:val="15"/>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spacing w:after="0"/>
              <w:rPr>
                <w:sz w:val="15"/>
                <w:szCs w:val="15"/>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809</w:t>
            </w: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spacing w:after="0"/>
              <w:rPr>
                <w:sz w:val="15"/>
                <w:szCs w:val="15"/>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5,894</w:t>
            </w:r>
          </w:p>
        </w:tc>
        <w:tc>
          <w:tcPr>
            <w:tcW w:w="20" w:type="dxa"/>
            <w:vAlign w:val="bottom"/>
            <w:tcBorders>
              <w:top w:val="single" w:sz="8" w:color="auto"/>
              <w:bottom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spacing w:after="0"/>
              <w:rPr>
                <w:sz w:val="15"/>
                <w:szCs w:val="15"/>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3,512</w:t>
            </w: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spacing w:after="0"/>
              <w:rPr>
                <w:sz w:val="15"/>
                <w:szCs w:val="15"/>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8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bottom w:val="single" w:sz="8" w:color="auto"/>
            </w:tcBorders>
            <w:shd w:val="clear" w:color="auto" w:fill="CCEEFF"/>
          </w:tcPr>
          <w:p>
            <w:pPr>
              <w:spacing w:after="0"/>
              <w:rPr>
                <w:sz w:val="15"/>
                <w:szCs w:val="15"/>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2,382</w:t>
            </w:r>
          </w:p>
        </w:tc>
        <w:tc>
          <w:tcPr>
            <w:tcW w:w="0" w:type="dxa"/>
            <w:vAlign w:val="bottom"/>
          </w:tcPr>
          <w:p>
            <w:pPr>
              <w:spacing w:after="0"/>
              <w:rPr>
                <w:sz w:val="1"/>
                <w:szCs w:val="1"/>
                <w:color w:val="auto"/>
              </w:rPr>
            </w:pPr>
          </w:p>
        </w:tc>
      </w:tr>
      <w:tr>
        <w:trPr>
          <w:trHeight w:val="168"/>
        </w:trPr>
        <w:tc>
          <w:tcPr>
            <w:tcW w:w="32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Cost of products</w:t>
            </w:r>
          </w:p>
        </w:tc>
        <w:tc>
          <w:tcPr>
            <w:tcW w:w="1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465</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212</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253</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1,399</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628</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771</w:t>
            </w:r>
          </w:p>
        </w:tc>
        <w:tc>
          <w:tcPr>
            <w:tcW w:w="0" w:type="dxa"/>
            <w:vAlign w:val="bottom"/>
          </w:tcPr>
          <w:p>
            <w:pPr>
              <w:spacing w:after="0"/>
              <w:rPr>
                <w:sz w:val="1"/>
                <w:szCs w:val="1"/>
                <w:color w:val="auto"/>
              </w:rPr>
            </w:pPr>
          </w:p>
        </w:tc>
      </w:tr>
      <w:tr>
        <w:trPr>
          <w:trHeight w:val="188"/>
        </w:trPr>
        <w:tc>
          <w:tcPr>
            <w:tcW w:w="3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Cost of services</w:t>
            </w: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925</w:t>
            </w: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565</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361</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2,864</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1,812</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1,053</w:t>
            </w:r>
          </w:p>
        </w:tc>
        <w:tc>
          <w:tcPr>
            <w:tcW w:w="0" w:type="dxa"/>
            <w:vAlign w:val="bottom"/>
          </w:tcPr>
          <w:p>
            <w:pPr>
              <w:spacing w:after="0"/>
              <w:rPr>
                <w:sz w:val="1"/>
                <w:szCs w:val="1"/>
                <w:color w:val="auto"/>
              </w:rPr>
            </w:pPr>
          </w:p>
        </w:tc>
      </w:tr>
      <w:tr>
        <w:trPr>
          <w:trHeight w:val="176"/>
        </w:trPr>
        <w:tc>
          <w:tcPr>
            <w:tcW w:w="32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Selling, general and administrative expenses</w:t>
            </w:r>
          </w:p>
        </w:tc>
        <w:tc>
          <w:tcPr>
            <w:tcW w:w="10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331</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195</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6</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142</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956</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540</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11</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427</w:t>
            </w:r>
          </w:p>
        </w:tc>
        <w:tc>
          <w:tcPr>
            <w:tcW w:w="0" w:type="dxa"/>
            <w:vAlign w:val="bottom"/>
          </w:tcPr>
          <w:p>
            <w:pPr>
              <w:spacing w:after="0"/>
              <w:rPr>
                <w:sz w:val="1"/>
                <w:szCs w:val="1"/>
                <w:color w:val="auto"/>
              </w:rPr>
            </w:pPr>
          </w:p>
        </w:tc>
      </w:tr>
      <w:tr>
        <w:trPr>
          <w:trHeight w:val="188"/>
        </w:trPr>
        <w:tc>
          <w:tcPr>
            <w:tcW w:w="3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Research and development expenses</w:t>
            </w: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54</w:t>
            </w: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25</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b w:val="1"/>
                <w:bCs w:val="1"/>
                <w:color w:val="auto"/>
              </w:rPr>
              <w:t>—</w:t>
            </w: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29</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175</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77</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b w:val="1"/>
                <w:bCs w:val="1"/>
                <w:color w:val="auto"/>
              </w:rPr>
              <w:t>—</w:t>
            </w:r>
          </w:p>
        </w:tc>
        <w:tc>
          <w:tcPr>
            <w:tcW w:w="18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98</w:t>
            </w:r>
          </w:p>
        </w:tc>
        <w:tc>
          <w:tcPr>
            <w:tcW w:w="0" w:type="dxa"/>
            <w:vAlign w:val="bottom"/>
          </w:tcPr>
          <w:p>
            <w:pPr>
              <w:spacing w:after="0"/>
              <w:rPr>
                <w:sz w:val="1"/>
                <w:szCs w:val="1"/>
                <w:color w:val="auto"/>
              </w:rPr>
            </w:pPr>
          </w:p>
        </w:tc>
      </w:tr>
      <w:tr>
        <w:trPr>
          <w:trHeight w:val="168"/>
        </w:trPr>
        <w:tc>
          <w:tcPr>
            <w:tcW w:w="3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b w:val="1"/>
                <w:bCs w:val="1"/>
                <w:color w:val="auto"/>
              </w:rPr>
              <w:t>Total operating expenses</w:t>
            </w:r>
          </w:p>
        </w:tc>
        <w:tc>
          <w:tcPr>
            <w:tcW w:w="100" w:type="dxa"/>
            <w:vAlign w:val="bottom"/>
            <w:tcBorders>
              <w:top w:val="single" w:sz="8" w:color="auto"/>
              <w:bottom w:val="single" w:sz="8" w:color="auto"/>
            </w:tcBorders>
          </w:tcPr>
          <w:p>
            <w:pPr>
              <w:spacing w:after="0"/>
              <w:rPr>
                <w:sz w:val="14"/>
                <w:szCs w:val="14"/>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1,775</w:t>
            </w:r>
          </w:p>
        </w:tc>
        <w:tc>
          <w:tcPr>
            <w:tcW w:w="60" w:type="dxa"/>
            <w:vAlign w:val="bottom"/>
            <w:tcBorders>
              <w:bottom w:val="single" w:sz="8" w:color="CCEEFF"/>
            </w:tcBorders>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997</w:t>
            </w:r>
          </w:p>
        </w:tc>
        <w:tc>
          <w:tcPr>
            <w:tcW w:w="80" w:type="dxa"/>
            <w:vAlign w:val="bottom"/>
            <w:tcBorders>
              <w:bottom w:val="single" w:sz="8" w:color="CCEEFF"/>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7</w:t>
            </w:r>
          </w:p>
        </w:tc>
        <w:tc>
          <w:tcPr>
            <w:tcW w:w="80" w:type="dxa"/>
            <w:vAlign w:val="bottom"/>
            <w:tcBorders>
              <w:bottom w:val="single" w:sz="8" w:color="CCEEFF"/>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785</w:t>
            </w:r>
          </w:p>
        </w:tc>
        <w:tc>
          <w:tcPr>
            <w:tcW w:w="80" w:type="dxa"/>
            <w:vAlign w:val="bottom"/>
            <w:tcBorders>
              <w:bottom w:val="single" w:sz="8" w:color="CCEEFF"/>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5,394</w:t>
            </w:r>
          </w:p>
        </w:tc>
        <w:tc>
          <w:tcPr>
            <w:tcW w:w="20" w:type="dxa"/>
            <w:vAlign w:val="bottom"/>
            <w:tcBorders>
              <w:top w:val="single" w:sz="8" w:color="auto"/>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3,057</w:t>
            </w:r>
          </w:p>
        </w:tc>
        <w:tc>
          <w:tcPr>
            <w:tcW w:w="80" w:type="dxa"/>
            <w:vAlign w:val="bottom"/>
            <w:tcBorders>
              <w:bottom w:val="single" w:sz="8" w:color="CCEEFF"/>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12</w:t>
            </w:r>
          </w:p>
        </w:tc>
        <w:tc>
          <w:tcPr>
            <w:tcW w:w="80" w:type="dxa"/>
            <w:vAlign w:val="bottom"/>
            <w:tcBorders>
              <w:bottom w:val="single" w:sz="8" w:color="CCEEFF"/>
            </w:tcBorders>
          </w:tcPr>
          <w:p>
            <w:pPr>
              <w:spacing w:after="0"/>
              <w:rPr>
                <w:sz w:val="14"/>
                <w:szCs w:val="14"/>
                <w:color w:val="auto"/>
              </w:rPr>
            </w:pPr>
          </w:p>
        </w:tc>
        <w:tc>
          <w:tcPr>
            <w:tcW w:w="180" w:type="dxa"/>
            <w:vAlign w:val="bottom"/>
            <w:tcBorders>
              <w:top w:val="single" w:sz="8" w:color="auto"/>
              <w:bottom w:val="single" w:sz="8" w:color="auto"/>
            </w:tcBorders>
          </w:tcPr>
          <w:p>
            <w:pPr>
              <w:spacing w:after="0"/>
              <w:rPr>
                <w:sz w:val="14"/>
                <w:szCs w:val="14"/>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2,349</w:t>
            </w:r>
          </w:p>
        </w:tc>
        <w:tc>
          <w:tcPr>
            <w:tcW w:w="0" w:type="dxa"/>
            <w:vAlign w:val="bottom"/>
          </w:tcPr>
          <w:p>
            <w:pPr>
              <w:spacing w:after="0"/>
              <w:rPr>
                <w:sz w:val="1"/>
                <w:szCs w:val="1"/>
                <w:color w:val="auto"/>
              </w:rPr>
            </w:pPr>
          </w:p>
        </w:tc>
      </w:tr>
      <w:tr>
        <w:trPr>
          <w:trHeight w:val="180"/>
        </w:trPr>
        <w:tc>
          <w:tcPr>
            <w:tcW w:w="3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Income (loss) from operations</w:t>
            </w: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242</w:t>
            </w: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211</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(7)</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24</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500</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455</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(12)</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33</w:t>
            </w:r>
          </w:p>
        </w:tc>
        <w:tc>
          <w:tcPr>
            <w:tcW w:w="0" w:type="dxa"/>
            <w:vAlign w:val="bottom"/>
          </w:tcPr>
          <w:p>
            <w:pPr>
              <w:spacing w:after="0"/>
              <w:rPr>
                <w:sz w:val="1"/>
                <w:szCs w:val="1"/>
                <w:color w:val="auto"/>
              </w:rPr>
            </w:pPr>
          </w:p>
        </w:tc>
      </w:tr>
      <w:tr>
        <w:trPr>
          <w:trHeight w:val="176"/>
        </w:trPr>
        <w:tc>
          <w:tcPr>
            <w:tcW w:w="32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Loss on extinguishment of debt</w:t>
            </w:r>
          </w:p>
        </w:tc>
        <w:tc>
          <w:tcPr>
            <w:tcW w:w="10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b w:val="1"/>
                <w:bCs w:val="1"/>
                <w:color w:val="auto"/>
              </w:rPr>
              <w:t>—</w:t>
            </w:r>
          </w:p>
        </w:tc>
        <w:tc>
          <w:tcPr>
            <w:tcW w:w="100" w:type="dxa"/>
            <w:vAlign w:val="bottom"/>
          </w:tcPr>
          <w:p>
            <w:pPr>
              <w:spacing w:after="0"/>
              <w:rPr>
                <w:sz w:val="15"/>
                <w:szCs w:val="15"/>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b w:val="1"/>
                <w:bCs w:val="1"/>
                <w:color w:val="auto"/>
              </w:rPr>
              <w:t>—</w:t>
            </w:r>
          </w:p>
        </w:tc>
        <w:tc>
          <w:tcPr>
            <w:tcW w:w="100" w:type="dxa"/>
            <w:vAlign w:val="bottom"/>
          </w:tcPr>
          <w:p>
            <w:pPr>
              <w:spacing w:after="0"/>
              <w:rPr>
                <w:sz w:val="15"/>
                <w:szCs w:val="15"/>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b w:val="1"/>
                <w:bCs w:val="1"/>
                <w:color w:val="auto"/>
              </w:rPr>
              <w:t>—</w:t>
            </w:r>
          </w:p>
        </w:tc>
        <w:tc>
          <w:tcPr>
            <w:tcW w:w="1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b w:val="1"/>
                <w:bCs w:val="1"/>
                <w:color w:val="auto"/>
              </w:rPr>
              <w:t>—</w:t>
            </w:r>
          </w:p>
        </w:tc>
        <w:tc>
          <w:tcPr>
            <w:tcW w:w="100" w:type="dxa"/>
            <w:vAlign w:val="bottom"/>
          </w:tcPr>
          <w:p>
            <w:pPr>
              <w:spacing w:after="0"/>
              <w:rPr>
                <w:sz w:val="15"/>
                <w:szCs w:val="15"/>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b w:val="1"/>
                <w:bCs w:val="1"/>
                <w:color w:val="auto"/>
              </w:rPr>
              <w:t>—</w:t>
            </w:r>
          </w:p>
        </w:tc>
        <w:tc>
          <w:tcPr>
            <w:tcW w:w="1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0" w:type="dxa"/>
            <w:vAlign w:val="bottom"/>
          </w:tcPr>
          <w:p>
            <w:pPr>
              <w:spacing w:after="0"/>
              <w:rPr>
                <w:sz w:val="1"/>
                <w:szCs w:val="1"/>
                <w:color w:val="auto"/>
              </w:rPr>
            </w:pPr>
          </w:p>
        </w:tc>
      </w:tr>
      <w:tr>
        <w:trPr>
          <w:trHeight w:val="188"/>
        </w:trPr>
        <w:tc>
          <w:tcPr>
            <w:tcW w:w="3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Interest expense</w:t>
            </w: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(85)</w:t>
            </w: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b w:val="1"/>
                <w:bCs w:val="1"/>
                <w:color w:val="auto"/>
              </w:rPr>
              <w:t>—</w:t>
            </w: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(83)</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(259)</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b w:val="1"/>
                <w:bCs w:val="1"/>
                <w:color w:val="auto"/>
              </w:rPr>
              <w:t>—</w:t>
            </w:r>
          </w:p>
        </w:tc>
        <w:tc>
          <w:tcPr>
            <w:tcW w:w="18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(257)</w:t>
            </w:r>
          </w:p>
        </w:tc>
        <w:tc>
          <w:tcPr>
            <w:tcW w:w="0" w:type="dxa"/>
            <w:vAlign w:val="bottom"/>
          </w:tcPr>
          <w:p>
            <w:pPr>
              <w:spacing w:after="0"/>
              <w:rPr>
                <w:sz w:val="1"/>
                <w:szCs w:val="1"/>
                <w:color w:val="auto"/>
              </w:rPr>
            </w:pPr>
          </w:p>
        </w:tc>
      </w:tr>
      <w:tr>
        <w:trPr>
          <w:trHeight w:val="176"/>
        </w:trPr>
        <w:tc>
          <w:tcPr>
            <w:tcW w:w="32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Other income (expense), net</w:t>
            </w:r>
          </w:p>
        </w:tc>
        <w:tc>
          <w:tcPr>
            <w:tcW w:w="10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(44)</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(24)</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b w:val="1"/>
                <w:bCs w:val="1"/>
                <w:color w:val="auto"/>
              </w:rPr>
              <w:t>—</w:t>
            </w:r>
          </w:p>
        </w:tc>
        <w:tc>
          <w:tcPr>
            <w:tcW w:w="1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(20)</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(55)</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(22)</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b w:val="1"/>
                <w:bCs w:val="1"/>
                <w:color w:val="auto"/>
              </w:rPr>
              <w:t>—</w:t>
            </w:r>
          </w:p>
        </w:tc>
        <w:tc>
          <w:tcPr>
            <w:tcW w:w="1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(33)</w:t>
            </w:r>
          </w:p>
        </w:tc>
        <w:tc>
          <w:tcPr>
            <w:tcW w:w="0" w:type="dxa"/>
            <w:vAlign w:val="bottom"/>
          </w:tcPr>
          <w:p>
            <w:pPr>
              <w:spacing w:after="0"/>
              <w:rPr>
                <w:sz w:val="1"/>
                <w:szCs w:val="1"/>
                <w:color w:val="auto"/>
              </w:rPr>
            </w:pPr>
          </w:p>
        </w:tc>
      </w:tr>
      <w:tr>
        <w:trPr>
          <w:trHeight w:val="116"/>
        </w:trPr>
        <w:tc>
          <w:tcPr>
            <w:tcW w:w="3280" w:type="dxa"/>
            <w:vAlign w:val="bottom"/>
            <w:tcBorders>
              <w:top w:val="single" w:sz="8" w:color="CCEEFF"/>
            </w:tcBorders>
            <w:shd w:val="clear" w:color="auto" w:fill="CCEEFF"/>
          </w:tcPr>
          <w:p>
            <w:pPr>
              <w:ind w:left="20"/>
              <w:spacing w:after="0" w:line="116" w:lineRule="exact"/>
              <w:rPr>
                <w:sz w:val="20"/>
                <w:szCs w:val="20"/>
                <w:color w:val="auto"/>
              </w:rPr>
            </w:pPr>
            <w:r>
              <w:rPr>
                <w:rFonts w:ascii="Times New Roman" w:cs="Times New Roman" w:eastAsia="Times New Roman" w:hAnsi="Times New Roman"/>
                <w:sz w:val="13"/>
                <w:szCs w:val="13"/>
                <w:b w:val="1"/>
                <w:bCs w:val="1"/>
                <w:color w:val="auto"/>
              </w:rPr>
              <w:t>Income (loss) from continuing operations before income</w:t>
            </w:r>
          </w:p>
        </w:tc>
        <w:tc>
          <w:tcPr>
            <w:tcW w:w="100" w:type="dxa"/>
            <w:vAlign w:val="bottom"/>
            <w:tcBorders>
              <w:top w:val="single" w:sz="8" w:color="auto"/>
            </w:tcBorders>
            <w:shd w:val="clear" w:color="auto" w:fill="CCEEFF"/>
          </w:tcPr>
          <w:p>
            <w:pPr>
              <w:spacing w:after="0"/>
              <w:rPr>
                <w:sz w:val="10"/>
                <w:szCs w:val="10"/>
                <w:color w:val="auto"/>
              </w:rPr>
            </w:pPr>
          </w:p>
        </w:tc>
        <w:tc>
          <w:tcPr>
            <w:tcW w:w="8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113</w:t>
            </w:r>
          </w:p>
        </w:tc>
        <w:tc>
          <w:tcPr>
            <w:tcW w:w="6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rPr>
                <w:sz w:val="10"/>
                <w:szCs w:val="10"/>
                <w:color w:val="auto"/>
              </w:rPr>
            </w:pPr>
          </w:p>
        </w:tc>
        <w:tc>
          <w:tcPr>
            <w:tcW w:w="9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185</w:t>
            </w:r>
          </w:p>
        </w:tc>
        <w:tc>
          <w:tcPr>
            <w:tcW w:w="8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8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(7)</w:t>
            </w:r>
          </w:p>
        </w:tc>
        <w:tc>
          <w:tcPr>
            <w:tcW w:w="8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8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(79)</w:t>
            </w:r>
          </w:p>
        </w:tc>
        <w:tc>
          <w:tcPr>
            <w:tcW w:w="8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76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186</w:t>
            </w:r>
          </w:p>
        </w:tc>
        <w:tc>
          <w:tcPr>
            <w:tcW w:w="2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88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431</w:t>
            </w:r>
          </w:p>
        </w:tc>
        <w:tc>
          <w:tcPr>
            <w:tcW w:w="8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78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(12)</w:t>
            </w:r>
          </w:p>
        </w:tc>
        <w:tc>
          <w:tcPr>
            <w:tcW w:w="80" w:type="dxa"/>
            <w:vAlign w:val="bottom"/>
            <w:tcBorders>
              <w:top w:val="single" w:sz="8" w:color="CCEEFF"/>
            </w:tcBorders>
            <w:shd w:val="clear" w:color="auto" w:fill="CCEEFF"/>
          </w:tcPr>
          <w:p>
            <w:pPr>
              <w:spacing w:after="0"/>
              <w:rPr>
                <w:sz w:val="10"/>
                <w:szCs w:val="10"/>
                <w:color w:val="auto"/>
              </w:rPr>
            </w:pPr>
          </w:p>
        </w:tc>
        <w:tc>
          <w:tcPr>
            <w:tcW w:w="180" w:type="dxa"/>
            <w:vAlign w:val="bottom"/>
            <w:tcBorders>
              <w:top w:val="single" w:sz="8" w:color="auto"/>
            </w:tcBorders>
            <w:shd w:val="clear" w:color="auto" w:fill="CCEEFF"/>
          </w:tcPr>
          <w:p>
            <w:pPr>
              <w:spacing w:after="0"/>
              <w:rPr>
                <w:sz w:val="10"/>
                <w:szCs w:val="10"/>
                <w:color w:val="auto"/>
              </w:rPr>
            </w:pPr>
          </w:p>
        </w:tc>
        <w:tc>
          <w:tcPr>
            <w:tcW w:w="74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(257)</w:t>
            </w:r>
          </w:p>
        </w:tc>
        <w:tc>
          <w:tcPr>
            <w:tcW w:w="0" w:type="dxa"/>
            <w:vAlign w:val="bottom"/>
          </w:tcPr>
          <w:p>
            <w:pPr>
              <w:spacing w:after="0"/>
              <w:rPr>
                <w:sz w:val="1"/>
                <w:szCs w:val="1"/>
                <w:color w:val="auto"/>
              </w:rPr>
            </w:pPr>
          </w:p>
        </w:tc>
      </w:tr>
      <w:tr>
        <w:trPr>
          <w:trHeight w:val="182"/>
        </w:trPr>
        <w:tc>
          <w:tcPr>
            <w:tcW w:w="3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taxes</w:t>
            </w:r>
          </w:p>
        </w:tc>
        <w:tc>
          <w:tcPr>
            <w:tcW w:w="100" w:type="dxa"/>
            <w:vAlign w:val="bottom"/>
            <w:shd w:val="clear" w:color="auto" w:fill="CCEEFF"/>
          </w:tcPr>
          <w:p>
            <w:pPr>
              <w:spacing w:after="0"/>
              <w:rPr>
                <w:sz w:val="15"/>
                <w:szCs w:val="15"/>
                <w:color w:val="auto"/>
              </w:rPr>
            </w:pPr>
          </w:p>
        </w:tc>
        <w:tc>
          <w:tcPr>
            <w:tcW w:w="820" w:type="dxa"/>
            <w:vAlign w:val="bottom"/>
            <w:vMerge w:val="continue"/>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vMerge w:val="continue"/>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4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Income tax expense (benefit)</w:t>
            </w:r>
          </w:p>
        </w:tc>
        <w:tc>
          <w:tcPr>
            <w:tcW w:w="1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236</w:t>
            </w:r>
          </w:p>
        </w:tc>
        <w:tc>
          <w:tcPr>
            <w:tcW w:w="6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47</w:t>
            </w:r>
          </w:p>
        </w:tc>
        <w:tc>
          <w:tcPr>
            <w:tcW w:w="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w:t>
            </w:r>
          </w:p>
        </w:tc>
        <w:tc>
          <w:tcPr>
            <w:tcW w:w="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187</w:t>
            </w:r>
          </w:p>
        </w:tc>
        <w:tc>
          <w:tcPr>
            <w:tcW w:w="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280</w:t>
            </w: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77</w:t>
            </w:r>
          </w:p>
        </w:tc>
        <w:tc>
          <w:tcPr>
            <w:tcW w:w="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(3)</w:t>
            </w:r>
          </w:p>
        </w:tc>
        <w:tc>
          <w:tcPr>
            <w:tcW w:w="8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200</w:t>
            </w:r>
          </w:p>
        </w:tc>
        <w:tc>
          <w:tcPr>
            <w:tcW w:w="0" w:type="dxa"/>
            <w:vAlign w:val="bottom"/>
          </w:tcPr>
          <w:p>
            <w:pPr>
              <w:spacing w:after="0"/>
              <w:rPr>
                <w:sz w:val="1"/>
                <w:szCs w:val="1"/>
                <w:color w:val="auto"/>
              </w:rPr>
            </w:pPr>
          </w:p>
        </w:tc>
      </w:tr>
      <w:tr>
        <w:trPr>
          <w:trHeight w:val="180"/>
        </w:trPr>
        <w:tc>
          <w:tcPr>
            <w:tcW w:w="3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Income from continuing operations</w:t>
            </w: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(123)</w:t>
            </w: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138</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(5)</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(266)</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(94)</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354</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(9)</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(457)</w:t>
            </w:r>
          </w:p>
        </w:tc>
        <w:tc>
          <w:tcPr>
            <w:tcW w:w="0" w:type="dxa"/>
            <w:vAlign w:val="bottom"/>
          </w:tcPr>
          <w:p>
            <w:pPr>
              <w:spacing w:after="0"/>
              <w:rPr>
                <w:sz w:val="1"/>
                <w:szCs w:val="1"/>
                <w:color w:val="auto"/>
              </w:rPr>
            </w:pPr>
          </w:p>
        </w:tc>
      </w:tr>
      <w:tr>
        <w:trPr>
          <w:trHeight w:val="176"/>
        </w:trPr>
        <w:tc>
          <w:tcPr>
            <w:tcW w:w="32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Income (loss) from discontinued operations, net of tax</w:t>
            </w:r>
          </w:p>
        </w:tc>
        <w:tc>
          <w:tcPr>
            <w:tcW w:w="10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(138)</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b w:val="1"/>
                <w:bCs w:val="1"/>
                <w:color w:val="auto"/>
              </w:rPr>
              <w:t>—</w:t>
            </w:r>
          </w:p>
        </w:tc>
        <w:tc>
          <w:tcPr>
            <w:tcW w:w="1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138</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(1)</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(354)</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b w:val="1"/>
                <w:bCs w:val="1"/>
                <w:color w:val="auto"/>
              </w:rPr>
              <w:t>—</w:t>
            </w:r>
          </w:p>
        </w:tc>
        <w:tc>
          <w:tcPr>
            <w:tcW w:w="1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353</w:t>
            </w:r>
          </w:p>
        </w:tc>
        <w:tc>
          <w:tcPr>
            <w:tcW w:w="0" w:type="dxa"/>
            <w:vAlign w:val="bottom"/>
          </w:tcPr>
          <w:p>
            <w:pPr>
              <w:spacing w:after="0"/>
              <w:rPr>
                <w:sz w:val="1"/>
                <w:szCs w:val="1"/>
                <w:color w:val="auto"/>
              </w:rPr>
            </w:pPr>
          </w:p>
        </w:tc>
      </w:tr>
      <w:tr>
        <w:trPr>
          <w:trHeight w:val="180"/>
        </w:trPr>
        <w:tc>
          <w:tcPr>
            <w:tcW w:w="32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Net income (loss)</w:t>
            </w:r>
          </w:p>
        </w:tc>
        <w:tc>
          <w:tcPr>
            <w:tcW w:w="100" w:type="dxa"/>
            <w:vAlign w:val="bottom"/>
            <w:tcBorders>
              <w:top w:val="single" w:sz="8" w:color="auto"/>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(123)</w:t>
            </w:r>
          </w:p>
        </w:tc>
        <w:tc>
          <w:tcPr>
            <w:tcW w:w="6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(5)</w:t>
            </w: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(128)</w:t>
            </w: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(95)</w:t>
            </w:r>
          </w:p>
        </w:tc>
        <w:tc>
          <w:tcPr>
            <w:tcW w:w="2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(9)</w:t>
            </w:r>
          </w:p>
        </w:tc>
        <w:tc>
          <w:tcPr>
            <w:tcW w:w="8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(104)</w:t>
            </w:r>
          </w:p>
        </w:tc>
        <w:tc>
          <w:tcPr>
            <w:tcW w:w="0" w:type="dxa"/>
            <w:vAlign w:val="bottom"/>
          </w:tcPr>
          <w:p>
            <w:pPr>
              <w:spacing w:after="0"/>
              <w:rPr>
                <w:sz w:val="1"/>
                <w:szCs w:val="1"/>
                <w:color w:val="auto"/>
              </w:rPr>
            </w:pPr>
          </w:p>
        </w:tc>
      </w:tr>
      <w:tr>
        <w:trPr>
          <w:trHeight w:val="176"/>
        </w:trPr>
        <w:tc>
          <w:tcPr>
            <w:tcW w:w="32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 income (loss) attributable to noncontrolling interests</w:t>
            </w:r>
          </w:p>
        </w:tc>
        <w:tc>
          <w:tcPr>
            <w:tcW w:w="10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1</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1</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b w:val="1"/>
                <w:bCs w:val="1"/>
                <w:color w:val="auto"/>
              </w:rPr>
              <w:t>—</w:t>
            </w:r>
          </w:p>
        </w:tc>
        <w:tc>
          <w:tcPr>
            <w:tcW w:w="100" w:type="dxa"/>
            <w:vAlign w:val="bottom"/>
          </w:tcPr>
          <w:p>
            <w:pPr>
              <w:spacing w:after="0"/>
              <w:rPr>
                <w:sz w:val="15"/>
                <w:szCs w:val="15"/>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b w:val="1"/>
                <w:bCs w:val="1"/>
                <w:color w:val="auto"/>
              </w:rPr>
              <w:t>—</w:t>
            </w:r>
          </w:p>
        </w:tc>
        <w:tc>
          <w:tcPr>
            <w:tcW w:w="1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1</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1</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b w:val="1"/>
                <w:bCs w:val="1"/>
                <w:color w:val="auto"/>
              </w:rPr>
              <w:t>—</w:t>
            </w:r>
          </w:p>
        </w:tc>
        <w:tc>
          <w:tcPr>
            <w:tcW w:w="1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0" w:type="dxa"/>
            <w:vAlign w:val="bottom"/>
          </w:tcPr>
          <w:p>
            <w:pPr>
              <w:spacing w:after="0"/>
              <w:rPr>
                <w:sz w:val="1"/>
                <w:szCs w:val="1"/>
                <w:color w:val="auto"/>
              </w:rPr>
            </w:pPr>
          </w:p>
        </w:tc>
      </w:tr>
      <w:tr>
        <w:trPr>
          <w:trHeight w:val="136"/>
        </w:trPr>
        <w:tc>
          <w:tcPr>
            <w:tcW w:w="3280" w:type="dxa"/>
            <w:vAlign w:val="bottom"/>
            <w:shd w:val="clear" w:color="auto" w:fill="CCEEFF"/>
          </w:tcPr>
          <w:p>
            <w:pPr>
              <w:ind w:left="20"/>
              <w:spacing w:after="0" w:line="136" w:lineRule="exact"/>
              <w:rPr>
                <w:sz w:val="20"/>
                <w:szCs w:val="20"/>
                <w:color w:val="auto"/>
              </w:rPr>
            </w:pPr>
            <w:r>
              <w:rPr>
                <w:rFonts w:ascii="Times New Roman" w:cs="Times New Roman" w:eastAsia="Times New Roman" w:hAnsi="Times New Roman"/>
                <w:sz w:val="13"/>
                <w:szCs w:val="13"/>
                <w:color w:val="auto"/>
              </w:rPr>
              <w:t>Net income attributable to noncontrolling interests of</w:t>
            </w:r>
          </w:p>
        </w:tc>
        <w:tc>
          <w:tcPr>
            <w:tcW w:w="100" w:type="dxa"/>
            <w:vAlign w:val="bottom"/>
            <w:shd w:val="clear" w:color="auto" w:fill="CCEEFF"/>
          </w:tcPr>
          <w:p>
            <w:pPr>
              <w:spacing w:after="0"/>
              <w:rPr>
                <w:sz w:val="11"/>
                <w:szCs w:val="11"/>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b w:val="1"/>
                <w:bCs w:val="1"/>
                <w:color w:val="auto"/>
              </w:rPr>
              <w:t>—</w:t>
            </w:r>
          </w:p>
        </w:tc>
        <w:tc>
          <w:tcPr>
            <w:tcW w:w="100" w:type="dxa"/>
            <w:vAlign w:val="bottom"/>
            <w:shd w:val="clear" w:color="auto" w:fill="CCEEFF"/>
          </w:tcPr>
          <w:p>
            <w:pPr>
              <w:spacing w:after="0"/>
              <w:rPr>
                <w:sz w:val="11"/>
                <w:szCs w:val="11"/>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b w:val="1"/>
                <w:bCs w:val="1"/>
                <w:color w:val="auto"/>
              </w:rPr>
              <w:t>—</w:t>
            </w:r>
          </w:p>
        </w:tc>
        <w:tc>
          <w:tcPr>
            <w:tcW w:w="180" w:type="dxa"/>
            <w:vAlign w:val="bottom"/>
            <w:shd w:val="clear" w:color="auto" w:fill="CCEEFF"/>
          </w:tcPr>
          <w:p>
            <w:pPr>
              <w:spacing w:after="0"/>
              <w:rPr>
                <w:sz w:val="11"/>
                <w:szCs w:val="11"/>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w:t>
            </w:r>
          </w:p>
        </w:tc>
        <w:tc>
          <w:tcPr>
            <w:tcW w:w="0" w:type="dxa"/>
            <w:vAlign w:val="bottom"/>
          </w:tcPr>
          <w:p>
            <w:pPr>
              <w:spacing w:after="0"/>
              <w:rPr>
                <w:sz w:val="1"/>
                <w:szCs w:val="1"/>
                <w:color w:val="auto"/>
              </w:rPr>
            </w:pPr>
          </w:p>
        </w:tc>
      </w:tr>
      <w:tr>
        <w:trPr>
          <w:trHeight w:val="181"/>
        </w:trPr>
        <w:tc>
          <w:tcPr>
            <w:tcW w:w="3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discontinued operations</w:t>
            </w:r>
          </w:p>
        </w:tc>
        <w:tc>
          <w:tcPr>
            <w:tcW w:w="100" w:type="dxa"/>
            <w:vAlign w:val="bottom"/>
            <w:shd w:val="clear" w:color="auto" w:fill="CCEEFF"/>
          </w:tcPr>
          <w:p>
            <w:pPr>
              <w:spacing w:after="0"/>
              <w:rPr>
                <w:sz w:val="15"/>
                <w:szCs w:val="15"/>
                <w:color w:val="auto"/>
              </w:rPr>
            </w:pPr>
          </w:p>
        </w:tc>
        <w:tc>
          <w:tcPr>
            <w:tcW w:w="820" w:type="dxa"/>
            <w:vAlign w:val="bottom"/>
            <w:vMerge w:val="continue"/>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vMerge w:val="continue"/>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gridSpan w:val="2"/>
            <w:vMerge w:val="continue"/>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4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328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Net income (loss) attributable to NCR Voyix</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(124)</w:t>
            </w:r>
          </w:p>
        </w:tc>
        <w:tc>
          <w:tcPr>
            <w:tcW w:w="6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8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(5)</w:t>
            </w:r>
          </w:p>
        </w:tc>
        <w:tc>
          <w:tcPr>
            <w:tcW w:w="8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(129)</w:t>
            </w:r>
          </w:p>
        </w:tc>
        <w:tc>
          <w:tcPr>
            <w:tcW w:w="8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(96)</w:t>
            </w:r>
          </w:p>
        </w:tc>
        <w:tc>
          <w:tcPr>
            <w:tcW w:w="20" w:type="dxa"/>
            <w:vAlign w:val="bottom"/>
            <w:tcBorders>
              <w:top w:val="single" w:sz="8" w:color="auto"/>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8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(9)</w:t>
            </w:r>
          </w:p>
        </w:tc>
        <w:tc>
          <w:tcPr>
            <w:tcW w:w="80" w:type="dxa"/>
            <w:vAlign w:val="bottom"/>
          </w:tcPr>
          <w:p>
            <w:pPr>
              <w:spacing w:after="0"/>
              <w:rPr>
                <w:sz w:val="15"/>
                <w:szCs w:val="15"/>
                <w:color w:val="auto"/>
              </w:rPr>
            </w:pPr>
          </w:p>
        </w:tc>
        <w:tc>
          <w:tcPr>
            <w:tcW w:w="1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3"/>
                <w:szCs w:val="13"/>
                <w:b w:val="1"/>
                <w:bCs w:val="1"/>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(105)</w:t>
            </w:r>
          </w:p>
        </w:tc>
        <w:tc>
          <w:tcPr>
            <w:tcW w:w="0" w:type="dxa"/>
            <w:vAlign w:val="bottom"/>
          </w:tcPr>
          <w:p>
            <w:pPr>
              <w:spacing w:after="0"/>
              <w:rPr>
                <w:sz w:val="1"/>
                <w:szCs w:val="1"/>
                <w:color w:val="auto"/>
              </w:rPr>
            </w:pPr>
          </w:p>
        </w:tc>
      </w:tr>
      <w:tr>
        <w:trPr>
          <w:trHeight w:val="20"/>
        </w:trPr>
        <w:tc>
          <w:tcPr>
            <w:tcW w:w="32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3280" w:type="dxa"/>
            <w:vAlign w:val="bottom"/>
            <w:shd w:val="clear" w:color="auto" w:fill="CCEEFF"/>
          </w:tcPr>
          <w:p>
            <w:pPr>
              <w:ind w:left="20"/>
              <w:spacing w:after="0" w:line="96" w:lineRule="exact"/>
              <w:rPr>
                <w:sz w:val="20"/>
                <w:szCs w:val="20"/>
                <w:color w:val="auto"/>
              </w:rPr>
            </w:pPr>
            <w:r>
              <w:rPr>
                <w:rFonts w:ascii="Times New Roman" w:cs="Times New Roman" w:eastAsia="Times New Roman" w:hAnsi="Times New Roman"/>
                <w:sz w:val="11"/>
                <w:szCs w:val="11"/>
                <w:b w:val="1"/>
                <w:bCs w:val="1"/>
                <w:color w:val="auto"/>
              </w:rPr>
              <w:t>Amounts attributable to NCR Voyix common</w:t>
            </w:r>
          </w:p>
        </w:tc>
        <w:tc>
          <w:tcPr>
            <w:tcW w:w="100" w:type="dxa"/>
            <w:vAlign w:val="bottom"/>
            <w:shd w:val="clear" w:color="auto" w:fill="CCEEFF"/>
          </w:tcPr>
          <w:p>
            <w:pPr>
              <w:spacing w:after="0"/>
              <w:rPr>
                <w:sz w:val="8"/>
                <w:szCs w:val="8"/>
                <w:color w:val="auto"/>
              </w:rPr>
            </w:pPr>
          </w:p>
        </w:tc>
        <w:tc>
          <w:tcPr>
            <w:tcW w:w="8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9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8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8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76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8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7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74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82"/>
        </w:trPr>
        <w:tc>
          <w:tcPr>
            <w:tcW w:w="3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stockholders</w:t>
            </w: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2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Income (loss) from continuing operations</w:t>
            </w: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(124)</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(266)</w:t>
            </w:r>
          </w:p>
        </w:tc>
        <w:tc>
          <w:tcPr>
            <w:tcW w:w="8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(95)</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(457)</w:t>
            </w:r>
          </w:p>
        </w:tc>
        <w:tc>
          <w:tcPr>
            <w:tcW w:w="0" w:type="dxa"/>
            <w:vAlign w:val="bottom"/>
          </w:tcPr>
          <w:p>
            <w:pPr>
              <w:spacing w:after="0"/>
              <w:rPr>
                <w:sz w:val="1"/>
                <w:szCs w:val="1"/>
                <w:color w:val="auto"/>
              </w:rPr>
            </w:pPr>
          </w:p>
        </w:tc>
      </w:tr>
      <w:tr>
        <w:trPr>
          <w:trHeight w:val="188"/>
        </w:trPr>
        <w:tc>
          <w:tcPr>
            <w:tcW w:w="3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Series A convertible preferred stock dividends</w:t>
            </w:r>
          </w:p>
        </w:tc>
        <w:tc>
          <w:tcPr>
            <w:tcW w:w="10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(4)</w:t>
            </w: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(4)</w:t>
            </w:r>
          </w:p>
        </w:tc>
        <w:tc>
          <w:tcPr>
            <w:tcW w:w="8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(12)</w:t>
            </w:r>
          </w:p>
        </w:tc>
        <w:tc>
          <w:tcPr>
            <w:tcW w:w="20" w:type="dxa"/>
            <w:vAlign w:val="bottom"/>
            <w:tcBorders>
              <w:bottom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(12)</w:t>
            </w:r>
          </w:p>
        </w:tc>
        <w:tc>
          <w:tcPr>
            <w:tcW w:w="0" w:type="dxa"/>
            <w:vAlign w:val="bottom"/>
          </w:tcPr>
          <w:p>
            <w:pPr>
              <w:spacing w:after="0"/>
              <w:rPr>
                <w:sz w:val="1"/>
                <w:szCs w:val="1"/>
                <w:color w:val="auto"/>
              </w:rPr>
            </w:pPr>
          </w:p>
        </w:tc>
      </w:tr>
      <w:tr>
        <w:trPr>
          <w:trHeight w:val="110"/>
        </w:trPr>
        <w:tc>
          <w:tcPr>
            <w:tcW w:w="3280" w:type="dxa"/>
            <w:vAlign w:val="bottom"/>
          </w:tcPr>
          <w:p>
            <w:pPr>
              <w:ind w:left="20"/>
              <w:spacing w:after="0" w:line="110" w:lineRule="exact"/>
              <w:rPr>
                <w:sz w:val="20"/>
                <w:szCs w:val="20"/>
                <w:color w:val="auto"/>
              </w:rPr>
            </w:pPr>
            <w:r>
              <w:rPr>
                <w:rFonts w:ascii="Times New Roman" w:cs="Times New Roman" w:eastAsia="Times New Roman" w:hAnsi="Times New Roman"/>
                <w:sz w:val="12"/>
                <w:szCs w:val="12"/>
                <w:color w:val="auto"/>
              </w:rPr>
              <w:t>Income (loss) from continuing operations attributable to</w:t>
            </w:r>
          </w:p>
        </w:tc>
        <w:tc>
          <w:tcPr>
            <w:tcW w:w="100" w:type="dxa"/>
            <w:vAlign w:val="bottom"/>
          </w:tcPr>
          <w:p>
            <w:pPr>
              <w:spacing w:after="0"/>
              <w:rPr>
                <w:sz w:val="9"/>
                <w:szCs w:val="9"/>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(128)</w:t>
            </w: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9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(270)</w:t>
            </w: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(107)</w:t>
            </w: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(469)</w:t>
            </w:r>
          </w:p>
        </w:tc>
        <w:tc>
          <w:tcPr>
            <w:tcW w:w="0" w:type="dxa"/>
            <w:vAlign w:val="bottom"/>
          </w:tcPr>
          <w:p>
            <w:pPr>
              <w:spacing w:after="0"/>
              <w:rPr>
                <w:sz w:val="1"/>
                <w:szCs w:val="1"/>
                <w:color w:val="auto"/>
              </w:rPr>
            </w:pPr>
          </w:p>
        </w:tc>
      </w:tr>
      <w:tr>
        <w:trPr>
          <w:trHeight w:val="174"/>
        </w:trPr>
        <w:tc>
          <w:tcPr>
            <w:tcW w:w="32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NCR Voyix</w:t>
            </w:r>
          </w:p>
        </w:tc>
        <w:tc>
          <w:tcPr>
            <w:tcW w:w="10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3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Income (loss) from discontinued operations, net of tax</w:t>
            </w:r>
          </w:p>
        </w:tc>
        <w:tc>
          <w:tcPr>
            <w:tcW w:w="10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137</w:t>
            </w:r>
          </w:p>
        </w:tc>
        <w:tc>
          <w:tcPr>
            <w:tcW w:w="8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w:t>
            </w:r>
          </w:p>
        </w:tc>
        <w:tc>
          <w:tcPr>
            <w:tcW w:w="20" w:type="dxa"/>
            <w:vAlign w:val="bottom"/>
            <w:tcBorders>
              <w:bottom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352</w:t>
            </w:r>
          </w:p>
        </w:tc>
        <w:tc>
          <w:tcPr>
            <w:tcW w:w="0" w:type="dxa"/>
            <w:vAlign w:val="bottom"/>
          </w:tcPr>
          <w:p>
            <w:pPr>
              <w:spacing w:after="0"/>
              <w:rPr>
                <w:sz w:val="1"/>
                <w:szCs w:val="1"/>
                <w:color w:val="auto"/>
              </w:rPr>
            </w:pPr>
          </w:p>
        </w:tc>
      </w:tr>
      <w:tr>
        <w:trPr>
          <w:trHeight w:val="110"/>
        </w:trPr>
        <w:tc>
          <w:tcPr>
            <w:tcW w:w="3280" w:type="dxa"/>
            <w:vAlign w:val="bottom"/>
          </w:tcPr>
          <w:p>
            <w:pPr>
              <w:ind w:left="20"/>
              <w:spacing w:after="0" w:line="110" w:lineRule="exact"/>
              <w:rPr>
                <w:sz w:val="20"/>
                <w:szCs w:val="20"/>
                <w:color w:val="auto"/>
              </w:rPr>
            </w:pPr>
            <w:r>
              <w:rPr>
                <w:rFonts w:ascii="Times New Roman" w:cs="Times New Roman" w:eastAsia="Times New Roman" w:hAnsi="Times New Roman"/>
                <w:sz w:val="12"/>
                <w:szCs w:val="12"/>
                <w:color w:val="auto"/>
              </w:rPr>
              <w:t>Net income (loss) attributable to NCR Voyix common</w:t>
            </w: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(128)</w:t>
            </w: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9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(133)</w:t>
            </w:r>
          </w:p>
        </w:tc>
        <w:tc>
          <w:tcPr>
            <w:tcW w:w="80" w:type="dxa"/>
            <w:vAlign w:val="bottom"/>
          </w:tcPr>
          <w:p>
            <w:pPr>
              <w:spacing w:after="0"/>
              <w:rPr>
                <w:sz w:val="9"/>
                <w:szCs w:val="9"/>
                <w:color w:val="auto"/>
              </w:rPr>
            </w:pP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(108)</w:t>
            </w: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(117)</w:t>
            </w:r>
          </w:p>
        </w:tc>
        <w:tc>
          <w:tcPr>
            <w:tcW w:w="0" w:type="dxa"/>
            <w:vAlign w:val="bottom"/>
          </w:tcPr>
          <w:p>
            <w:pPr>
              <w:spacing w:after="0"/>
              <w:rPr>
                <w:sz w:val="1"/>
                <w:szCs w:val="1"/>
                <w:color w:val="auto"/>
              </w:rPr>
            </w:pPr>
          </w:p>
        </w:tc>
      </w:tr>
      <w:tr>
        <w:trPr>
          <w:trHeight w:val="155"/>
        </w:trPr>
        <w:tc>
          <w:tcPr>
            <w:tcW w:w="32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stockholders</w:t>
            </w:r>
          </w:p>
        </w:tc>
        <w:tc>
          <w:tcPr>
            <w:tcW w:w="100" w:type="dxa"/>
            <w:vAlign w:val="bottom"/>
            <w:tcBorders>
              <w:bottom w:val="single" w:sz="8" w:color="auto"/>
            </w:tcBorders>
            <w:vMerge w:val="continue"/>
          </w:tcPr>
          <w:p>
            <w:pPr>
              <w:spacing w:after="0"/>
              <w:rPr>
                <w:sz w:val="13"/>
                <w:szCs w:val="13"/>
                <w:color w:val="auto"/>
              </w:rPr>
            </w:pPr>
          </w:p>
        </w:tc>
        <w:tc>
          <w:tcPr>
            <w:tcW w:w="820" w:type="dxa"/>
            <w:vAlign w:val="bottom"/>
            <w:tcBorders>
              <w:bottom w:val="single" w:sz="8" w:color="auto"/>
            </w:tcBorders>
            <w:vMerge w:val="continue"/>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Borders>
              <w:bottom w:val="single" w:sz="8" w:color="auto"/>
            </w:tcBorders>
            <w:vMerge w:val="continue"/>
          </w:tcPr>
          <w:p>
            <w:pPr>
              <w:spacing w:after="0"/>
              <w:rPr>
                <w:sz w:val="13"/>
                <w:szCs w:val="13"/>
                <w:color w:val="auto"/>
              </w:rPr>
            </w:pPr>
          </w:p>
        </w:tc>
        <w:tc>
          <w:tcPr>
            <w:tcW w:w="800" w:type="dxa"/>
            <w:vAlign w:val="bottom"/>
            <w:tcBorders>
              <w:bottom w:val="single" w:sz="8" w:color="auto"/>
            </w:tcBorders>
            <w:vMerge w:val="continue"/>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Borders>
              <w:bottom w:val="single" w:sz="8" w:color="auto"/>
            </w:tcBorders>
            <w:vMerge w:val="continue"/>
          </w:tcPr>
          <w:p>
            <w:pPr>
              <w:spacing w:after="0"/>
              <w:rPr>
                <w:sz w:val="13"/>
                <w:szCs w:val="13"/>
                <w:color w:val="auto"/>
              </w:rPr>
            </w:pPr>
          </w:p>
        </w:tc>
        <w:tc>
          <w:tcPr>
            <w:tcW w:w="760" w:type="dxa"/>
            <w:vAlign w:val="bottom"/>
            <w:tcBorders>
              <w:bottom w:val="single" w:sz="8" w:color="auto"/>
            </w:tcBorders>
            <w:vMerge w:val="continue"/>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Borders>
              <w:bottom w:val="single" w:sz="8" w:color="auto"/>
            </w:tcBorders>
            <w:vMerge w:val="continue"/>
          </w:tcPr>
          <w:p>
            <w:pPr>
              <w:spacing w:after="0"/>
              <w:rPr>
                <w:sz w:val="13"/>
                <w:szCs w:val="13"/>
                <w:color w:val="auto"/>
              </w:rPr>
            </w:pPr>
          </w:p>
        </w:tc>
        <w:tc>
          <w:tcPr>
            <w:tcW w:w="74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2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3280" w:type="dxa"/>
            <w:vAlign w:val="bottom"/>
            <w:shd w:val="clear" w:color="auto" w:fill="CCEEFF"/>
          </w:tcPr>
          <w:p>
            <w:pPr>
              <w:ind w:left="20"/>
              <w:spacing w:after="0" w:line="96" w:lineRule="exact"/>
              <w:rPr>
                <w:sz w:val="20"/>
                <w:szCs w:val="20"/>
                <w:color w:val="auto"/>
              </w:rPr>
            </w:pPr>
            <w:r>
              <w:rPr>
                <w:rFonts w:ascii="Times New Roman" w:cs="Times New Roman" w:eastAsia="Times New Roman" w:hAnsi="Times New Roman"/>
                <w:sz w:val="11"/>
                <w:szCs w:val="11"/>
                <w:b w:val="1"/>
                <w:bCs w:val="1"/>
                <w:color w:val="auto"/>
              </w:rPr>
              <w:t>Income (loss) per share attributable to common</w:t>
            </w:r>
          </w:p>
        </w:tc>
        <w:tc>
          <w:tcPr>
            <w:tcW w:w="100" w:type="dxa"/>
            <w:vAlign w:val="bottom"/>
            <w:shd w:val="clear" w:color="auto" w:fill="CCEEFF"/>
          </w:tcPr>
          <w:p>
            <w:pPr>
              <w:spacing w:after="0"/>
              <w:rPr>
                <w:sz w:val="8"/>
                <w:szCs w:val="8"/>
                <w:color w:val="auto"/>
              </w:rPr>
            </w:pPr>
          </w:p>
        </w:tc>
        <w:tc>
          <w:tcPr>
            <w:tcW w:w="8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9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8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8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76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8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7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74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82"/>
        </w:trPr>
        <w:tc>
          <w:tcPr>
            <w:tcW w:w="3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stockholders:</w:t>
            </w: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2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Basic earnings (loss) per share:</w:t>
            </w: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3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Continuing operations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(0.91)</w:t>
            </w: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(1.92)</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(0.76)</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(3.34)</w:t>
            </w:r>
          </w:p>
        </w:tc>
        <w:tc>
          <w:tcPr>
            <w:tcW w:w="0" w:type="dxa"/>
            <w:vAlign w:val="bottom"/>
          </w:tcPr>
          <w:p>
            <w:pPr>
              <w:spacing w:after="0"/>
              <w:rPr>
                <w:sz w:val="1"/>
                <w:szCs w:val="1"/>
                <w:color w:val="auto"/>
              </w:rPr>
            </w:pPr>
          </w:p>
        </w:tc>
      </w:tr>
      <w:tr>
        <w:trPr>
          <w:trHeight w:val="176"/>
        </w:trPr>
        <w:tc>
          <w:tcPr>
            <w:tcW w:w="32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3"/>
                <w:szCs w:val="13"/>
                <w:color w:val="auto"/>
              </w:rPr>
              <w:t>Discontinued operations</w:t>
            </w:r>
          </w:p>
        </w:tc>
        <w:tc>
          <w:tcPr>
            <w:tcW w:w="1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6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90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82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0.98</w:t>
            </w:r>
          </w:p>
        </w:tc>
        <w:tc>
          <w:tcPr>
            <w:tcW w:w="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(0.01)</w:t>
            </w: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88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78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2.51</w:t>
            </w:r>
          </w:p>
        </w:tc>
        <w:tc>
          <w:tcPr>
            <w:tcW w:w="0" w:type="dxa"/>
            <w:vAlign w:val="bottom"/>
          </w:tcPr>
          <w:p>
            <w:pPr>
              <w:spacing w:after="0"/>
              <w:rPr>
                <w:sz w:val="1"/>
                <w:szCs w:val="1"/>
                <w:color w:val="auto"/>
              </w:rPr>
            </w:pPr>
          </w:p>
        </w:tc>
      </w:tr>
      <w:tr>
        <w:trPr>
          <w:trHeight w:val="205"/>
        </w:trPr>
        <w:tc>
          <w:tcPr>
            <w:tcW w:w="32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Net income attributable to common shareholders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(0.91)</w:t>
            </w:r>
          </w:p>
        </w:tc>
        <w:tc>
          <w:tcPr>
            <w:tcW w:w="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(0.94)</w:t>
            </w: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(0.77)</w:t>
            </w:r>
          </w:p>
        </w:tc>
        <w:tc>
          <w:tcPr>
            <w:tcW w:w="20" w:type="dxa"/>
            <w:vAlign w:val="bottom"/>
            <w:tcBorders>
              <w:bottom w:val="single" w:sz="8" w:color="auto"/>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(0.83)</w:t>
            </w:r>
          </w:p>
        </w:tc>
        <w:tc>
          <w:tcPr>
            <w:tcW w:w="0" w:type="dxa"/>
            <w:vAlign w:val="bottom"/>
          </w:tcPr>
          <w:p>
            <w:pPr>
              <w:spacing w:after="0"/>
              <w:rPr>
                <w:sz w:val="1"/>
                <w:szCs w:val="1"/>
                <w:color w:val="auto"/>
              </w:rPr>
            </w:pPr>
          </w:p>
        </w:tc>
      </w:tr>
      <w:tr>
        <w:trPr>
          <w:trHeight w:val="20"/>
        </w:trPr>
        <w:tc>
          <w:tcPr>
            <w:tcW w:w="32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3"/>
                <w:szCs w:val="13"/>
                <w:color w:val="auto"/>
              </w:rPr>
              <w:t>Diluted earnings (loss) per share:</w:t>
            </w: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1"/>
        </w:trPr>
        <w:tc>
          <w:tcPr>
            <w:tcW w:w="328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8"/>
        </w:trPr>
        <w:tc>
          <w:tcPr>
            <w:tcW w:w="3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Continuing operations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(0.91)</w:t>
            </w: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(1.92)</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(0.76)</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(3.34)</w:t>
            </w:r>
          </w:p>
        </w:tc>
        <w:tc>
          <w:tcPr>
            <w:tcW w:w="0" w:type="dxa"/>
            <w:vAlign w:val="bottom"/>
          </w:tcPr>
          <w:p>
            <w:pPr>
              <w:spacing w:after="0"/>
              <w:rPr>
                <w:sz w:val="1"/>
                <w:szCs w:val="1"/>
                <w:color w:val="auto"/>
              </w:rPr>
            </w:pPr>
          </w:p>
        </w:tc>
      </w:tr>
      <w:tr>
        <w:trPr>
          <w:trHeight w:val="176"/>
        </w:trPr>
        <w:tc>
          <w:tcPr>
            <w:tcW w:w="32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3"/>
                <w:szCs w:val="13"/>
                <w:color w:val="auto"/>
              </w:rPr>
              <w:t>Discontinued operations</w:t>
            </w:r>
          </w:p>
        </w:tc>
        <w:tc>
          <w:tcPr>
            <w:tcW w:w="1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6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90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82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0.98</w:t>
            </w:r>
          </w:p>
        </w:tc>
        <w:tc>
          <w:tcPr>
            <w:tcW w:w="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(0.01)</w:t>
            </w: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88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78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2.51</w:t>
            </w:r>
          </w:p>
        </w:tc>
        <w:tc>
          <w:tcPr>
            <w:tcW w:w="0" w:type="dxa"/>
            <w:vAlign w:val="bottom"/>
          </w:tcPr>
          <w:p>
            <w:pPr>
              <w:spacing w:after="0"/>
              <w:rPr>
                <w:sz w:val="1"/>
                <w:szCs w:val="1"/>
                <w:color w:val="auto"/>
              </w:rPr>
            </w:pPr>
          </w:p>
        </w:tc>
      </w:tr>
      <w:tr>
        <w:trPr>
          <w:trHeight w:val="116"/>
        </w:trPr>
        <w:tc>
          <w:tcPr>
            <w:tcW w:w="3280" w:type="dxa"/>
            <w:vAlign w:val="bottom"/>
            <w:shd w:val="clear" w:color="auto" w:fill="CCEEFF"/>
          </w:tcPr>
          <w:p>
            <w:pPr>
              <w:ind w:left="20"/>
              <w:spacing w:after="0" w:line="116" w:lineRule="exact"/>
              <w:rPr>
                <w:sz w:val="20"/>
                <w:szCs w:val="20"/>
                <w:color w:val="auto"/>
              </w:rPr>
            </w:pPr>
            <w:r>
              <w:rPr>
                <w:rFonts w:ascii="Times New Roman" w:cs="Times New Roman" w:eastAsia="Times New Roman" w:hAnsi="Times New Roman"/>
                <w:sz w:val="13"/>
                <w:szCs w:val="13"/>
                <w:color w:val="auto"/>
              </w:rPr>
              <w:t>Diluted earnings per share attributable to common</w:t>
            </w: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(0.91)</w:t>
            </w:r>
          </w:p>
        </w:tc>
        <w:tc>
          <w:tcPr>
            <w:tcW w:w="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(0.94)</w:t>
            </w:r>
          </w:p>
        </w:tc>
        <w:tc>
          <w:tcPr>
            <w:tcW w:w="80" w:type="dxa"/>
            <w:vAlign w:val="bottom"/>
            <w:shd w:val="clear" w:color="auto" w:fill="CCEEFF"/>
          </w:tcPr>
          <w:p>
            <w:pPr>
              <w:spacing w:after="0"/>
              <w:rPr>
                <w:sz w:val="10"/>
                <w:szCs w:val="10"/>
                <w:color w:val="auto"/>
              </w:rPr>
            </w:pP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(0.77)</w:t>
            </w: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8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w:t>
            </w: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(0.83)</w:t>
            </w:r>
          </w:p>
        </w:tc>
        <w:tc>
          <w:tcPr>
            <w:tcW w:w="0" w:type="dxa"/>
            <w:vAlign w:val="bottom"/>
          </w:tcPr>
          <w:p>
            <w:pPr>
              <w:spacing w:after="0"/>
              <w:rPr>
                <w:sz w:val="1"/>
                <w:szCs w:val="1"/>
                <w:color w:val="auto"/>
              </w:rPr>
            </w:pPr>
          </w:p>
        </w:tc>
      </w:tr>
      <w:tr>
        <w:trPr>
          <w:trHeight w:val="175"/>
        </w:trPr>
        <w:tc>
          <w:tcPr>
            <w:tcW w:w="3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shareholders</w:t>
            </w:r>
          </w:p>
        </w:tc>
        <w:tc>
          <w:tcPr>
            <w:tcW w:w="100" w:type="dxa"/>
            <w:vAlign w:val="bottom"/>
            <w:tcBorders>
              <w:bottom w:val="single" w:sz="8" w:color="auto"/>
            </w:tcBorders>
            <w:vMerge w:val="continue"/>
            <w:shd w:val="clear" w:color="auto" w:fill="CCEEFF"/>
          </w:tcPr>
          <w:p>
            <w:pPr>
              <w:spacing w:after="0"/>
              <w:rPr>
                <w:sz w:val="15"/>
                <w:szCs w:val="15"/>
                <w:color w:val="auto"/>
              </w:rPr>
            </w:pPr>
          </w:p>
        </w:tc>
        <w:tc>
          <w:tcPr>
            <w:tcW w:w="820" w:type="dxa"/>
            <w:vAlign w:val="bottom"/>
            <w:tcBorders>
              <w:bottom w:val="single" w:sz="8" w:color="auto"/>
            </w:tcBorders>
            <w:vMerge w:val="continue"/>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auto"/>
            </w:tcBorders>
            <w:vMerge w:val="continue"/>
            <w:shd w:val="clear" w:color="auto" w:fill="CCEEFF"/>
          </w:tcPr>
          <w:p>
            <w:pPr>
              <w:spacing w:after="0"/>
              <w:rPr>
                <w:sz w:val="15"/>
                <w:szCs w:val="15"/>
                <w:color w:val="auto"/>
              </w:rPr>
            </w:pPr>
          </w:p>
        </w:tc>
        <w:tc>
          <w:tcPr>
            <w:tcW w:w="800" w:type="dxa"/>
            <w:vAlign w:val="bottom"/>
            <w:tcBorders>
              <w:bottom w:val="single" w:sz="8" w:color="auto"/>
            </w:tcBorders>
            <w:vMerge w:val="continue"/>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auto"/>
            </w:tcBorders>
            <w:vMerge w:val="continue"/>
            <w:shd w:val="clear" w:color="auto" w:fill="CCEEFF"/>
          </w:tcPr>
          <w:p>
            <w:pPr>
              <w:spacing w:after="0"/>
              <w:rPr>
                <w:sz w:val="15"/>
                <w:szCs w:val="15"/>
                <w:color w:val="auto"/>
              </w:rPr>
            </w:pPr>
          </w:p>
        </w:tc>
        <w:tc>
          <w:tcPr>
            <w:tcW w:w="760" w:type="dxa"/>
            <w:vAlign w:val="bottom"/>
            <w:tcBorders>
              <w:bottom w:val="single" w:sz="8" w:color="auto"/>
            </w:tcBorders>
            <w:vMerge w:val="continue"/>
            <w:shd w:val="clear" w:color="auto" w:fill="CCEEFF"/>
          </w:tcPr>
          <w:p>
            <w:pPr>
              <w:spacing w:after="0"/>
              <w:rPr>
                <w:sz w:val="15"/>
                <w:szCs w:val="15"/>
                <w:color w:val="auto"/>
              </w:rPr>
            </w:pPr>
          </w:p>
        </w:tc>
        <w:tc>
          <w:tcPr>
            <w:tcW w:w="20" w:type="dxa"/>
            <w:vAlign w:val="bottom"/>
            <w:tcBorders>
              <w:bottom w:val="single" w:sz="8" w:color="auto"/>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auto"/>
            </w:tcBorders>
            <w:vMerge w:val="continue"/>
            <w:shd w:val="clear" w:color="auto" w:fill="CCEEFF"/>
          </w:tcPr>
          <w:p>
            <w:pPr>
              <w:spacing w:after="0"/>
              <w:rPr>
                <w:sz w:val="15"/>
                <w:szCs w:val="15"/>
                <w:color w:val="auto"/>
              </w:rPr>
            </w:pPr>
          </w:p>
        </w:tc>
        <w:tc>
          <w:tcPr>
            <w:tcW w:w="740" w:type="dxa"/>
            <w:vAlign w:val="bottom"/>
            <w:tcBorders>
              <w:bottom w:val="single" w:sz="8" w:color="auto"/>
            </w:tcBorders>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2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4"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There is no impact to the Condensed Consolidated Statements of Comprehensive Income (Loss) for the three and nine months ended September 30, 2023, other than the impact to Net income (loss) as presented above. There is no impact to the Condensed Consolidated Statements of Changes in Stockholders’ Equity (Deficit) for the three and nine months ended September 30, 2023 other than the impact to Retained earnings as a result of the changes in Net income (loss) as presented above.</w:t>
      </w:r>
    </w:p>
    <w:p>
      <w:pPr>
        <w:spacing w:after="0" w:line="200" w:lineRule="exact"/>
        <w:rPr>
          <w:sz w:val="20"/>
          <w:szCs w:val="20"/>
          <w:color w:val="auto"/>
        </w:rPr>
      </w:pPr>
    </w:p>
    <w:p>
      <w:pPr>
        <w:spacing w:after="0" w:line="203"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7"/>
          <w:szCs w:val="17"/>
          <w:color w:val="auto"/>
        </w:rPr>
        <w:t>There is no net impact of the adjustments described above to the Condensed Consolidated Statements of Cash Flows to “Net cash provided by operating activities” for the nine months ended September 30, 2023, as the impact to Net income (loss) is offset by the changes to operating assets and liabilities, net of effects of business acquired noted above.</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3435" cy="419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tabs>
          <w:tab w:leader="none" w:pos="680" w:val="left"/>
        </w:tabs>
        <w:rPr>
          <w:sz w:val="20"/>
          <w:szCs w:val="20"/>
          <w:color w:val="auto"/>
        </w:rPr>
      </w:pPr>
      <w:r>
        <w:rPr>
          <w:rFonts w:ascii="Times New Roman" w:cs="Times New Roman" w:eastAsia="Times New Roman" w:hAnsi="Times New Roman"/>
          <w:sz w:val="17"/>
          <w:szCs w:val="17"/>
          <w:b w:val="1"/>
          <w:bCs w:val="1"/>
          <w:color w:val="auto"/>
        </w:rPr>
        <w:t>Item 2.</w:t>
        <w:tab/>
        <w:t>MANAGEMENT’S DISCUSSION AND ANALYSIS OF FINANCIAL CONDITION AND RESULTS OF OPERATIONS (</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MD&amp;A</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w:t>
      </w:r>
    </w:p>
    <w:p>
      <w:pPr>
        <w:spacing w:after="0" w:line="105"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7"/>
          <w:szCs w:val="17"/>
          <w:color w:val="auto"/>
        </w:rPr>
        <w:t>The following discussion should be read in conjunction with the Condensed Consolidated Financial Statements and notes thereto included under Item 1. Financial Statements of this Quarterly Report and our Consolidated Financial Statements and notes thereto and related Management’s Discussion and Analysis of Financial Condition and Results of Operations included in our Annual Report on Form 10-K for the year ended December 31, 2023 (the “2023 Form 10-K”).</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Our discussion within MD&amp;A is organized as follows:</w:t>
      </w:r>
    </w:p>
    <w:p>
      <w:pPr>
        <w:spacing w:after="0" w:line="230" w:lineRule="exact"/>
        <w:rPr>
          <w:sz w:val="20"/>
          <w:szCs w:val="20"/>
          <w:color w:val="auto"/>
        </w:rPr>
      </w:pPr>
    </w:p>
    <w:p>
      <w:pPr>
        <w:ind w:left="620" w:hanging="305"/>
        <w:spacing w:after="0" w:line="294" w:lineRule="auto"/>
        <w:tabs>
          <w:tab w:leader="none" w:pos="616"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Overview. </w:t>
      </w:r>
      <w:r>
        <w:rPr>
          <w:rFonts w:ascii="Times New Roman" w:cs="Times New Roman" w:eastAsia="Times New Roman" w:hAnsi="Times New Roman"/>
          <w:sz w:val="17"/>
          <w:szCs w:val="17"/>
          <w:color w:val="auto"/>
        </w:rPr>
        <w:t>This section contains background information on our company, summary of significant themes and events during the quarter as well as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strategic initiatives and trends in order to provide context for management’s discussion and analysis of our financial condition and results of operations.</w:t>
      </w:r>
    </w:p>
    <w:p>
      <w:pPr>
        <w:spacing w:after="0" w:line="169" w:lineRule="exact"/>
        <w:rPr>
          <w:rFonts w:ascii="Times New Roman" w:cs="Times New Roman" w:eastAsia="Times New Roman" w:hAnsi="Times New Roman"/>
          <w:sz w:val="17"/>
          <w:szCs w:val="17"/>
          <w:color w:val="auto"/>
        </w:rPr>
      </w:pPr>
    </w:p>
    <w:p>
      <w:pPr>
        <w:jc w:val="both"/>
        <w:ind w:left="620" w:hanging="305"/>
        <w:spacing w:after="0" w:line="274" w:lineRule="auto"/>
        <w:tabs>
          <w:tab w:leader="none" w:pos="616"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Results of operations. </w:t>
      </w:r>
      <w:r>
        <w:rPr>
          <w:rFonts w:ascii="Times New Roman" w:cs="Times New Roman" w:eastAsia="Times New Roman" w:hAnsi="Times New Roman"/>
          <w:sz w:val="17"/>
          <w:szCs w:val="17"/>
          <w:color w:val="auto"/>
        </w:rPr>
        <w:t>This section contains an analysis of our results of operations presented in the accompanying condensed consolidated statements of</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income by comparing the results for the three and nine months ended September 30, 2024 to the results for the three and nine months ended September 30, 2023.</w:t>
      </w:r>
    </w:p>
    <w:p>
      <w:pPr>
        <w:spacing w:after="0" w:line="186" w:lineRule="exact"/>
        <w:rPr>
          <w:rFonts w:ascii="Times New Roman" w:cs="Times New Roman" w:eastAsia="Times New Roman" w:hAnsi="Times New Roman"/>
          <w:sz w:val="17"/>
          <w:szCs w:val="17"/>
          <w:color w:val="auto"/>
        </w:rPr>
      </w:pPr>
    </w:p>
    <w:p>
      <w:pPr>
        <w:ind w:left="620" w:hanging="305"/>
        <w:spacing w:after="0" w:line="267" w:lineRule="auto"/>
        <w:tabs>
          <w:tab w:leader="none" w:pos="616"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Liquidity and capital resources. </w:t>
      </w:r>
      <w:r>
        <w:rPr>
          <w:rFonts w:ascii="Times New Roman" w:cs="Times New Roman" w:eastAsia="Times New Roman" w:hAnsi="Times New Roman"/>
          <w:sz w:val="17"/>
          <w:szCs w:val="17"/>
          <w:color w:val="auto"/>
        </w:rPr>
        <w:t>This section provides an analysis of our cash flows and a discussion of our contractual obligations at September 30,</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2024.</w:t>
      </w: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OVERVIEW</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BUSINESS OVERVIEW</w:t>
      </w:r>
    </w:p>
    <w:p>
      <w:pPr>
        <w:spacing w:after="0" w:line="24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NCR Voyix Corporation (“Voyix”, “NCR”, the “Company”, “we” or “us”), which, prior to its name change effective October 13, 2023 was known as NCR Corporation, was originally incorporated in 1884 and is a global provider of digital commerce solutions for retail stores and restaurants. Headquartered in Atlanta, Georgia, we are a software and services-led enterprise technology provider of run-the-store capabilities for retail and restaurants serving businesses of all sizes. Our software platform, which runs in the cloud and includes microservices and APIs that integrate with our customers’ systems, and our As-a-Service solutions enables an end-to-end technology-based operations solution for our customers. Our offerings include software and services offerings for retailers and restaurants, as well as payments acceptance solutions, multi-vendor connected device services, self-checkout (“SCO”) kiosks and related technologies, point of sale (“POS”) terminals and other self-service technologies. Our solutions are designed to enable restaurants and retailers to seamlessly transact and engage with their customers and end users. Prior to the Digital Banking Sale, described below, on September 30, 2024, our offerings included digital solutions for financial institutions.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Sale of Digital Banking Business</w:t>
      </w:r>
    </w:p>
    <w:p>
      <w:pPr>
        <w:spacing w:after="0" w:line="247"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On August 6, 2024, the Company entered into a definitive purchase agreement with an affiliate of The Veritas Capital Fund VIII, L.P. (the “Buyer”) pursuant to which the Buyer agreed to purchase the Company’s Digital Banking segment businesses (the “Digital Banking Sale”). On September 30, 2024, the Company completed the Digital Banking Sale. The purchase price for the transaction was $2.45 billion in cash, subject to a post-closing adjustment, as well as contingent consideration of up to an additional $100 million in cash upon the achievement of a specified return on the Buyer’s invested capital at the time of any future sale. The accounting requirements for reporting the sale of Digital Banking as a discontinued operation were met when the definitive agreement was signed. Accordingly, the financial results for Digital Banking for the three and nine months ended September 30, 2024 and 2023 are presented as net income (loss) from discontinued operations, net of tax on the Consolidated Statements of Operations. Refer to Note 2, “Discontinued Operations” for additional information.</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Transition of Hardware Business to ODM Model</w:t>
      </w:r>
    </w:p>
    <w:p>
      <w:pPr>
        <w:spacing w:after="0" w:line="24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On August 6, 2024, the Company announced its entry into a commercial agreement with Ennoconn Corporation (“Ennoconn”) to transition its self-checkout and point-of-sale hardware businesses to an outsourced design and manufacturing model including the sale of certain assets relating to these businesses (the “Hardware Business Transition”). Under the terms of the agreement, Ennoconn will design, manufacture, warrant, supply, and ship self-checkout and point-of sale hardware directly to the Company’s customers and the Company will sell hardware to its customers as a sales agent for Ennoconn and continue to provide its point-of sale and self-checkout software as well as key support and maintenance services.</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3435" cy="419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7"/>
          <w:szCs w:val="17"/>
          <w:color w:val="auto"/>
        </w:rPr>
        <w:t>As a result of the Hardware Business Transition, the Company expects to record commission revenue from point-of-sale and self-checkout hardware sales as an agent for Ennoconn on a net basis, excluding the costs paid to Ennoconn. While the Company and Ennoconn are targeting January 1, 2025 to implement the new hardware model, this date is dependent upon the migration of aspects of our hardware business to Ennoconn that are not yet complete.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Completion of NCR Atleos Spin-Off Transaction</w:t>
      </w:r>
    </w:p>
    <w:p>
      <w:pPr>
        <w:spacing w:after="0" w:line="24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On October 16, 2023, the Company completed the spin-off (“Spin-Off”) of its ATM-focused businesses, including the self-service banking, payments &amp; network and telecommunications and technology businesses, into an independent, publicly traded company, NCR Atleos (“NCR Atleos”), on a tax-free basis. Accordingly, the historical financial results of NCR Atleos are reflected as discontinued operations in the Company’s consolidated financial statements. The 2023 presentation of discontinued operations has been updated to reflect the results of operations for the countries that transferred to NCR Atleos in the first quarter of 2024 and excludes the countries that have not yet transferred to NCR Atleos as of September 30, 2024. The results of operations for the countries that have not yet transferred will be presented as part of discontinued operations as of the date of their separation. As of December 31, 2023, there were seven countries that had not yet transferred to NCR Atleos. During the three months ended March 31, 2024, three of these delayed countries transferred to NCR Atleos, and during the three months ended June 30, 2024, two additional delayed countries transferred to NCR Atleos. Refer to Note 2, “Discontinued Operations”, in the Notes to Consolidated Financial Statements in Item 1 of this Report, for additional information.</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Our Segments</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Subsequent to the Spin-Off and the Digital Banking Sale, the Company manages and reports the following two segments:</w:t>
      </w:r>
    </w:p>
    <w:p>
      <w:pPr>
        <w:spacing w:after="0" w:line="225" w:lineRule="exact"/>
        <w:rPr>
          <w:sz w:val="20"/>
          <w:szCs w:val="20"/>
          <w:color w:val="auto"/>
        </w:rPr>
      </w:pPr>
    </w:p>
    <w:p>
      <w:pPr>
        <w:jc w:val="both"/>
        <w:ind w:left="620" w:hanging="305"/>
        <w:spacing w:after="0" w:line="267" w:lineRule="auto"/>
        <w:tabs>
          <w:tab w:leader="none" w:pos="616" w:val="left"/>
        </w:tabs>
        <w:numPr>
          <w:ilvl w:val="0"/>
          <w:numId w:val="8"/>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 xml:space="preserve">Retail </w:t>
      </w:r>
      <w:r>
        <w:rPr>
          <w:rFonts w:ascii="Times New Roman" w:cs="Times New Roman" w:eastAsia="Times New Roman" w:hAnsi="Times New Roman"/>
          <w:sz w:val="17"/>
          <w:szCs w:val="17"/>
          <w:color w:val="auto"/>
        </w:rPr>
        <w:t>- Our Retail segment is focused on serving retailers of all sizes, from local businesses to some of the most recognized brands in the world. Our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software and solutions connect to a modern technology platform that allows retailers to run their stores like they run their digital channels, improving the experience for their customers. These solutions are designed to improve operational efficiency, sales productivity, customer satisfaction and purchasing decisions; provide secure checkout processes and payment systems; and increase service levels.</w:t>
      </w:r>
    </w:p>
    <w:p>
      <w:pPr>
        <w:spacing w:after="0" w:line="193" w:lineRule="exact"/>
        <w:rPr>
          <w:rFonts w:ascii="Times New Roman" w:cs="Times New Roman" w:eastAsia="Times New Roman" w:hAnsi="Times New Roman"/>
          <w:sz w:val="17"/>
          <w:szCs w:val="17"/>
          <w:i w:val="1"/>
          <w:iCs w:val="1"/>
          <w:color w:val="auto"/>
        </w:rPr>
      </w:pPr>
    </w:p>
    <w:p>
      <w:pPr>
        <w:jc w:val="both"/>
        <w:ind w:left="620" w:hanging="305"/>
        <w:spacing w:after="0" w:line="262" w:lineRule="auto"/>
        <w:tabs>
          <w:tab w:leader="none" w:pos="616"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Restaurants </w:t>
      </w:r>
      <w:r>
        <w:rPr>
          <w:rFonts w:ascii="Times New Roman" w:cs="Times New Roman" w:eastAsia="Times New Roman" w:hAnsi="Times New Roman"/>
          <w:sz w:val="17"/>
          <w:szCs w:val="17"/>
          <w:color w:val="auto"/>
        </w:rPr>
        <w:t>- Our Restaurants segment is focused on serving restaurants and food service establishments of all sizes, ranging from small and medium-sized businesses to some of the world’s top global food service enterprises. Our solution portfolio spans across table-service, quick-service and fast casual industries, providing competitive end-to-end solutions to “run-the-restaurant.” Our solution portfolio offers cloud-based, platform-enabled technology that is designed to improve operational efficiency, increase customer satisfaction, streamline order and transaction processing and reduce operating costs. In addition, we deliver service support, allowing our customers to focus on their core competencies. Our end-to-end services are a strong differentiating factor within the market.</w:t>
      </w:r>
    </w:p>
    <w:p>
      <w:pPr>
        <w:spacing w:after="0" w:line="200"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7"/>
          <w:szCs w:val="17"/>
          <w:color w:val="auto"/>
        </w:rPr>
        <w:t>Corporate and Other includes income and expenses related to corporate functions that are not specifically attributable to any of our two individual reportable segments along with certain non-strategic businesses that are considered immaterial operating segment(s) and certain countries which are expected to transfer to NCR Atleos during the remainder of 2024, as well as commercial agreements with NCR Atleos.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SIGNIFICANT THEMES AND EVENTS</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were significant themes and events for the third quarter of 2024.</w:t>
      </w:r>
    </w:p>
    <w:p>
      <w:pPr>
        <w:spacing w:after="0" w:line="31" w:lineRule="exact"/>
        <w:rPr>
          <w:sz w:val="20"/>
          <w:szCs w:val="20"/>
          <w:color w:val="auto"/>
        </w:rPr>
      </w:pPr>
    </w:p>
    <w:p>
      <w:pPr>
        <w:ind w:left="620" w:hanging="305"/>
        <w:spacing w:after="0"/>
        <w:tabs>
          <w:tab w:leader="none" w:pos="62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Revenue of $711 million, down 12% compared to the prior year period</w:t>
      </w:r>
    </w:p>
    <w:p>
      <w:pPr>
        <w:spacing w:after="0" w:line="11" w:lineRule="exact"/>
        <w:rPr>
          <w:rFonts w:ascii="Times New Roman" w:cs="Times New Roman" w:eastAsia="Times New Roman" w:hAnsi="Times New Roman"/>
          <w:sz w:val="17"/>
          <w:szCs w:val="17"/>
          <w:color w:val="auto"/>
        </w:rPr>
      </w:pPr>
    </w:p>
    <w:p>
      <w:pPr>
        <w:ind w:left="1240" w:hanging="303"/>
        <w:spacing w:after="0"/>
        <w:tabs>
          <w:tab w:leader="none" w:pos="1240" w:val="left"/>
        </w:tabs>
        <w:numPr>
          <w:ilvl w:val="1"/>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Recurring revenue, remained flat as compared to the prior year period and comprised 57% of total consolidated revenue</w:t>
      </w:r>
    </w:p>
    <w:p>
      <w:pPr>
        <w:spacing w:after="0" w:line="11" w:lineRule="exact"/>
        <w:rPr>
          <w:rFonts w:ascii="Times New Roman" w:cs="Times New Roman" w:eastAsia="Times New Roman" w:hAnsi="Times New Roman"/>
          <w:sz w:val="17"/>
          <w:szCs w:val="17"/>
          <w:color w:val="auto"/>
        </w:rPr>
      </w:pPr>
    </w:p>
    <w:p>
      <w:pPr>
        <w:ind w:left="1240" w:hanging="303"/>
        <w:spacing w:after="0"/>
        <w:tabs>
          <w:tab w:leader="none" w:pos="1240" w:val="left"/>
        </w:tabs>
        <w:numPr>
          <w:ilvl w:val="1"/>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Software and services revenue, decreased 4% as compared to the prior year period and comprised 73% of total consolidated revenue</w:t>
      </w:r>
    </w:p>
    <w:p>
      <w:pPr>
        <w:spacing w:after="0" w:line="11" w:lineRule="exact"/>
        <w:rPr>
          <w:rFonts w:ascii="Times New Roman" w:cs="Times New Roman" w:eastAsia="Times New Roman" w:hAnsi="Times New Roman"/>
          <w:sz w:val="17"/>
          <w:szCs w:val="17"/>
          <w:color w:val="auto"/>
        </w:rPr>
      </w:pPr>
    </w:p>
    <w:p>
      <w:pPr>
        <w:ind w:left="620" w:hanging="305"/>
        <w:spacing w:after="0"/>
        <w:tabs>
          <w:tab w:leader="none" w:pos="62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Adjusted EBITDA of $93 million, down 10% compared to the prior year period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Cyber Ransomware Incident</w:t>
      </w:r>
    </w:p>
    <w:p>
      <w:pPr>
        <w:spacing w:after="0" w:line="247"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As previously disclosed, on April 13, 2023 the Company determined that a single data center outage impacting certain of its commerce customers was caused by a cyber ransomware incident. Upon such determination, the Company immediately started contacting customers, enacted its cybersecurity protocol and engaged outside experts to contain the incident and begin the recovery process. We concluded that this incident impacted operations for some customers only with respect to specific Aloha</w:t>
      </w: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3435" cy="419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cloud-based services and Counterpoint. Our investigation also concluded no financial reporting systems were impacted. As of September 30, 2024, the Company has incurred $46 million of expenses related to the cyber ransomware incident and has recovered $21 million under our insurance policies. As of September 30, 2024, we expect to receive an additional $6 million which was recorded as an insurance receivable. We are still pursuing insurance recoveries for the remaining costs. We may incur additional costs relating to this incident in the future, including expenses to respond to this matter, payment of damages or other costs to customers or others. At this time we do not believe additional costs incurred as a result of the incident will ultimately have a material adverse effect on our business, results of operations or financial condition; however, we remain subject to risks and uncertainties as a result of the incident.</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Out-of-period adjustments</w:t>
      </w:r>
    </w:p>
    <w:p>
      <w:pPr>
        <w:spacing w:after="0" w:line="247"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7"/>
          <w:szCs w:val="17"/>
          <w:color w:val="auto"/>
        </w:rPr>
        <w:t>In the first quarter of 2023, the Company recorded a $10 million out-of-period adjustment to increase operating expenses and an employee-related liability in order to correct for an understatement of such same balances during the fourth quarter of 2022.</w:t>
      </w:r>
    </w:p>
    <w:p>
      <w:pPr>
        <w:spacing w:after="0" w:line="173"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7"/>
          <w:szCs w:val="17"/>
          <w:color w:val="auto"/>
        </w:rPr>
        <w:t>In the second quarter of 2024, the Company recorded an out-of-period correction to decrease revenue by $10 million, decrease accounts receivable by $5 million, and increase contract liabilities by $5 million. The adjustment is not expected to be material to the full year results of operations for 2024.</w:t>
      </w:r>
    </w:p>
    <w:p>
      <w:pPr>
        <w:spacing w:after="0" w:line="173"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7"/>
          <w:szCs w:val="17"/>
          <w:color w:val="auto"/>
        </w:rPr>
        <w:t>During the second quarter of 2024, the Company recorded corrections related to the Spin-Off. As of December 31, 2023, total assets were understated by approximately $12 million, total liabilities were overstated by approximately $7 million, and total equity was understated by approximately $19 million.</w:t>
      </w:r>
    </w:p>
    <w:p>
      <w:pPr>
        <w:spacing w:after="0" w:line="173"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7"/>
          <w:szCs w:val="17"/>
          <w:color w:val="auto"/>
        </w:rPr>
        <w:t>In the third quarter of 2024, the Company recorded an out-of-period correction to increase other income expense by approximately $8 million, increase other current liabilities by $4 million and increase accumulated other comprehensive (loss) income by $4 million.</w:t>
      </w:r>
    </w:p>
    <w:p>
      <w:pPr>
        <w:spacing w:after="0" w:line="173"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7"/>
          <w:szCs w:val="17"/>
          <w:color w:val="0F0F0F"/>
        </w:rPr>
        <w:t xml:space="preserve">The aggregation of the remaining 2024 out-of-period corrections are not expected to be material to the full year results of operations for 2024. The Company evaluated the impact of these adjustments and concluded they were not material to </w:t>
      </w:r>
      <w:r>
        <w:rPr>
          <w:rFonts w:ascii="Times New Roman" w:cs="Times New Roman" w:eastAsia="Times New Roman" w:hAnsi="Times New Roman"/>
          <w:sz w:val="17"/>
          <w:szCs w:val="17"/>
          <w:color w:val="1F1F1F"/>
        </w:rPr>
        <w:t>any</w:t>
      </w:r>
      <w:r>
        <w:rPr>
          <w:rFonts w:ascii="Times New Roman" w:cs="Times New Roman" w:eastAsia="Times New Roman" w:hAnsi="Times New Roman"/>
          <w:sz w:val="17"/>
          <w:szCs w:val="17"/>
          <w:color w:val="0F0F0F"/>
        </w:rPr>
        <w:t xml:space="preserve"> previously issued interim or annual consolidated financial statements.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ACH Disbursements</w:t>
      </w:r>
    </w:p>
    <w:p>
      <w:pPr>
        <w:spacing w:after="0" w:line="24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In February 2024, the Company identified fraudulent automated clearing house “ACH” disbursements from a Company bank account. The cumulative amount of these disbursements total $34 million, and during the nine months ended September 30, 2024, we recovered $15 million related to this matter. The Company is pursuing insurance recoveries for the remainder; however, there can be no assurance that the Company will be successful in recovering additional amounts of the unauthorized ACH disbursements from the Company’s insurance providers. Although not materially impacting any previously reported periods, the misstatements resulted in the revision of interim periods in 2023.</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STRATEGIC INITIATIVES AND TRENDS</w:t>
      </w:r>
    </w:p>
    <w:p>
      <w:pPr>
        <w:spacing w:after="0" w:line="249"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As a leading technology company, we seek to maintain our market position by expanding our share of wallet among existing customers and attracting new customers, leveraging our cloud-based, platform-enabled software and services offerings. We believe there is considerable opportunity to grow with new and existing customers as retailers and restaurants are increasingly adopting technology and support services to enhance and transform their operations. As digital adoption becomes increasingly important for businesses to engage with their end-users, we are investing in innovation to attract and retain customers across our segments. Our ability to create experiences that ultimately improve end-user satisfaction through a combination of innovation and service is a competitive strength of the Company. In order to provide long-term value to all our stakeholders, we set complementary business goals and financial strategies. Execution of these is driven by the following key pillars: (i) focus on our customers; (ii) leverage our brand (and global distribution); (iii) support customers through innovation; and (iv) allocate our capital strategically through a cost-disciplined approach to operations. We also plan to continue to improve our execution to drive solid returns and to transform our business to enhance value for all stockholders.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Macroeconomic Trends</w:t>
      </w:r>
    </w:p>
    <w:p>
      <w:pPr>
        <w:spacing w:after="0" w:line="249"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7"/>
          <w:szCs w:val="17"/>
          <w:color w:val="auto"/>
        </w:rPr>
        <w:t>Given the multinational nature of our business, we are subject to risks and exposures from the evolving macroeconomic environment, including the effects of increased global inflationary pressures and interest rates, fluctuations in foreign currency exchange rates, political economic slowdowns or recessions and geopolitical pressures, including the unknown impacts of</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3435" cy="419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7"/>
          <w:szCs w:val="17"/>
          <w:color w:val="auto"/>
        </w:rPr>
        <w:t>current and future trade regulations. We continuously monitor the direct and indirect impacts of these circumstances on our business and financial results, as well as the overall global economy and geopolitical landscape. For example, foreign currency exchange rate fluctuations may negatively impact our financial results during the reporting period.</w:t>
      </w:r>
    </w:p>
    <w:p>
      <w:pPr>
        <w:spacing w:after="0" w:line="189"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7"/>
          <w:szCs w:val="17"/>
          <w:color w:val="auto"/>
        </w:rPr>
        <w:t>As we continue to execute on our strategy to shift to recurring revenue, our revenues and earnings will become more predictable; however, the broader implications of these macroeconomic events on our business, results of operations and overall financial position, particularly in the short term, remain uncertain.</w:t>
      </w:r>
    </w:p>
    <w:p>
      <w:pPr>
        <w:spacing w:after="0" w:line="173"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7"/>
          <w:szCs w:val="17"/>
          <w:color w:val="auto"/>
        </w:rPr>
        <w:t>For further discussion of trends, uncertainties and other factors that could affect our operating results, refer to Part I, Item 1A, “Risk Factors”, contained in our 2023 Form 10-K and subsequent filings we make within the SEC.</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Results from Operations</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For the three and nine months ended September 30, 2024 compared to the three and nine months ended September 30, 2023</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Consolidated Results</w:t>
      </w:r>
    </w:p>
    <w:p>
      <w:pPr>
        <w:spacing w:after="0" w:line="247"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7"/>
          <w:szCs w:val="17"/>
          <w:color w:val="auto"/>
        </w:rPr>
        <w:t>The following tables show our results for the three and nine months ended September 30, the relative percentage that those amounts represent to revenue, and the change in those amounts year-over-year.</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4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540" w:type="dxa"/>
            <w:vAlign w:val="bottom"/>
            <w:gridSpan w:val="5"/>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8"/>
              </w:rPr>
              <w:t>Three months ended September 30</w:t>
            </w:r>
          </w:p>
        </w:tc>
        <w:tc>
          <w:tcPr>
            <w:tcW w:w="3020" w:type="dxa"/>
            <w:vAlign w:val="bottom"/>
            <w:gridSpan w:val="4"/>
          </w:tcPr>
          <w:p>
            <w:pPr>
              <w:ind w:left="760"/>
              <w:spacing w:after="0"/>
              <w:rPr>
                <w:sz w:val="20"/>
                <w:szCs w:val="20"/>
                <w:color w:val="auto"/>
              </w:rPr>
            </w:pPr>
            <w:r>
              <w:rPr>
                <w:rFonts w:ascii="Times New Roman" w:cs="Times New Roman" w:eastAsia="Times New Roman" w:hAnsi="Times New Roman"/>
                <w:sz w:val="14"/>
                <w:szCs w:val="14"/>
                <w:b w:val="1"/>
                <w:bCs w:val="1"/>
                <w:color w:val="auto"/>
              </w:rPr>
              <w:t xml:space="preserve">Percentage of Revenue </w:t>
            </w:r>
            <w:r>
              <w:rPr>
                <w:rFonts w:ascii="Times New Roman" w:cs="Times New Roman" w:eastAsia="Times New Roman" w:hAnsi="Times New Roman"/>
                <w:sz w:val="17"/>
                <w:szCs w:val="17"/>
                <w:b w:val="1"/>
                <w:bCs w:val="1"/>
                <w:color w:val="auto"/>
                <w:vertAlign w:val="superscript"/>
              </w:rPr>
              <w:t>(1)</w:t>
            </w:r>
          </w:p>
        </w:tc>
        <w:tc>
          <w:tcPr>
            <w:tcW w:w="14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Increase (Decrease)</w:t>
            </w:r>
          </w:p>
        </w:tc>
      </w:tr>
      <w:tr>
        <w:trPr>
          <w:trHeight w:val="182"/>
        </w:trPr>
        <w:tc>
          <w:tcPr>
            <w:tcW w:w="4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00" w:type="dxa"/>
            <w:vAlign w:val="bottom"/>
            <w:tcBorders>
              <w:top w:val="single" w:sz="8" w:color="auto"/>
              <w:bottom w:val="single" w:sz="8" w:color="auto"/>
            </w:tcBorders>
          </w:tcPr>
          <w:p>
            <w:pPr>
              <w:spacing w:after="0"/>
              <w:rPr>
                <w:sz w:val="15"/>
                <w:szCs w:val="15"/>
                <w:color w:val="auto"/>
              </w:rPr>
            </w:pPr>
          </w:p>
        </w:tc>
        <w:tc>
          <w:tcPr>
            <w:tcW w:w="1040" w:type="dxa"/>
            <w:vAlign w:val="bottom"/>
            <w:tcBorders>
              <w:top w:val="single" w:sz="8" w:color="auto"/>
              <w:bottom w:val="single" w:sz="8" w:color="auto"/>
            </w:tcBorders>
          </w:tcPr>
          <w:p>
            <w:pPr>
              <w:jc w:val="right"/>
              <w:ind w:right="397"/>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top w:val="single" w:sz="8" w:color="auto"/>
              <w:bottom w:val="single" w:sz="8" w:color="CCEEFF"/>
            </w:tcBorders>
          </w:tcPr>
          <w:p>
            <w:pPr>
              <w:spacing w:after="0"/>
              <w:rPr>
                <w:sz w:val="15"/>
                <w:szCs w:val="15"/>
                <w:color w:val="auto"/>
              </w:rPr>
            </w:pPr>
          </w:p>
        </w:tc>
        <w:tc>
          <w:tcPr>
            <w:tcW w:w="320" w:type="dxa"/>
            <w:vAlign w:val="bottom"/>
            <w:tcBorders>
              <w:top w:val="single" w:sz="8" w:color="auto"/>
              <w:bottom w:val="single" w:sz="8" w:color="auto"/>
            </w:tcBorders>
          </w:tcPr>
          <w:p>
            <w:pPr>
              <w:spacing w:after="0"/>
              <w:rPr>
                <w:sz w:val="15"/>
                <w:szCs w:val="15"/>
                <w:color w:val="auto"/>
              </w:rPr>
            </w:pPr>
          </w:p>
        </w:tc>
        <w:tc>
          <w:tcPr>
            <w:tcW w:w="1000" w:type="dxa"/>
            <w:vAlign w:val="bottom"/>
            <w:tcBorders>
              <w:top w:val="single" w:sz="8" w:color="auto"/>
              <w:bottom w:val="single" w:sz="8" w:color="auto"/>
            </w:tcBorders>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Borders>
              <w:bottom w:val="single" w:sz="8" w:color="CCEEFF"/>
            </w:tcBorders>
          </w:tcPr>
          <w:p>
            <w:pPr>
              <w:spacing w:after="0"/>
              <w:rPr>
                <w:sz w:val="15"/>
                <w:szCs w:val="15"/>
                <w:color w:val="auto"/>
              </w:rPr>
            </w:pPr>
          </w:p>
        </w:tc>
        <w:tc>
          <w:tcPr>
            <w:tcW w:w="1420" w:type="dxa"/>
            <w:vAlign w:val="bottom"/>
            <w:tcBorders>
              <w:top w:val="single" w:sz="8" w:color="auto"/>
              <w:bottom w:val="single" w:sz="8" w:color="auto"/>
            </w:tcBorders>
          </w:tcPr>
          <w:p>
            <w:pPr>
              <w:jc w:val="right"/>
              <w:ind w:right="477"/>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top w:val="single" w:sz="8" w:color="auto"/>
              <w:bottom w:val="single" w:sz="8" w:color="CCEEFF"/>
            </w:tcBorders>
          </w:tcPr>
          <w:p>
            <w:pPr>
              <w:spacing w:after="0"/>
              <w:rPr>
                <w:sz w:val="15"/>
                <w:szCs w:val="15"/>
                <w:color w:val="auto"/>
              </w:rPr>
            </w:pPr>
          </w:p>
        </w:tc>
        <w:tc>
          <w:tcPr>
            <w:tcW w:w="1400" w:type="dxa"/>
            <w:vAlign w:val="bottom"/>
            <w:tcBorders>
              <w:top w:val="single" w:sz="8" w:color="auto"/>
              <w:bottom w:val="single" w:sz="8" w:color="auto"/>
            </w:tcBorders>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top w:val="single" w:sz="8" w:color="auto"/>
              <w:bottom w:val="single" w:sz="8" w:color="CCEEFF"/>
            </w:tcBorders>
          </w:tcPr>
          <w:p>
            <w:pPr>
              <w:spacing w:after="0"/>
              <w:rPr>
                <w:sz w:val="15"/>
                <w:szCs w:val="15"/>
                <w:color w:val="auto"/>
              </w:rPr>
            </w:pPr>
          </w:p>
        </w:tc>
        <w:tc>
          <w:tcPr>
            <w:tcW w:w="140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2024 vs 2023</w:t>
            </w:r>
          </w:p>
        </w:tc>
      </w:tr>
      <w:tr>
        <w:trPr>
          <w:trHeight w:val="219"/>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Product revenue</w:t>
            </w:r>
          </w:p>
        </w:tc>
        <w:tc>
          <w:tcPr>
            <w:tcW w:w="2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219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296</w:t>
            </w:r>
          </w:p>
        </w:tc>
        <w:tc>
          <w:tcPr>
            <w:tcW w:w="8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30.8 %</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36.6 %</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w:t>
            </w:r>
          </w:p>
        </w:tc>
      </w:tr>
      <w:tr>
        <w:trPr>
          <w:trHeight w:val="220"/>
        </w:trPr>
        <w:tc>
          <w:tcPr>
            <w:tcW w:w="4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Service revenue</w:t>
            </w: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492</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513</w:t>
            </w:r>
          </w:p>
        </w:tc>
        <w:tc>
          <w:tcPr>
            <w:tcW w:w="80" w:type="dxa"/>
            <w:vAlign w:val="bottom"/>
            <w:tcBorders>
              <w:bottom w:val="single" w:sz="8" w:color="CCEEFF"/>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69.2 %</w:t>
            </w:r>
          </w:p>
        </w:tc>
        <w:tc>
          <w:tcPr>
            <w:tcW w:w="100" w:type="dxa"/>
            <w:vAlign w:val="bottom"/>
            <w:tcBorders>
              <w:bottom w:val="single" w:sz="8" w:color="CCEEFF"/>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63.4 %</w:t>
            </w:r>
          </w:p>
        </w:tc>
        <w:tc>
          <w:tcPr>
            <w:tcW w:w="100" w:type="dxa"/>
            <w:vAlign w:val="bottom"/>
            <w:tcBorders>
              <w:bottom w:val="single" w:sz="8" w:color="CCEEFF"/>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w:t>
            </w:r>
          </w:p>
        </w:tc>
      </w:tr>
      <w:tr>
        <w:trPr>
          <w:trHeight w:val="213"/>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Total revenue</w:t>
            </w:r>
          </w:p>
        </w:tc>
        <w:tc>
          <w:tcPr>
            <w:tcW w:w="2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711</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809</w:t>
            </w:r>
          </w:p>
        </w:tc>
        <w:tc>
          <w:tcPr>
            <w:tcW w:w="80" w:type="dxa"/>
            <w:vAlign w:val="bottom"/>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100.0 %</w:t>
            </w:r>
          </w:p>
        </w:tc>
        <w:tc>
          <w:tcPr>
            <w:tcW w:w="100" w:type="dxa"/>
            <w:vAlign w:val="bottom"/>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100.0 %</w:t>
            </w:r>
          </w:p>
        </w:tc>
        <w:tc>
          <w:tcPr>
            <w:tcW w:w="100" w:type="dxa"/>
            <w:vAlign w:val="bottom"/>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w:t>
            </w:r>
          </w:p>
        </w:tc>
      </w:tr>
      <w:tr>
        <w:trPr>
          <w:trHeight w:val="213"/>
        </w:trPr>
        <w:tc>
          <w:tcPr>
            <w:tcW w:w="40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Product gross margin</w:t>
            </w: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34</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w:t>
            </w:r>
          </w:p>
        </w:tc>
        <w:tc>
          <w:tcPr>
            <w:tcW w:w="8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15.5 %</w:t>
            </w:r>
          </w:p>
        </w:tc>
        <w:tc>
          <w:tcPr>
            <w:tcW w:w="1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14.5 %</w:t>
            </w:r>
          </w:p>
        </w:tc>
        <w:tc>
          <w:tcPr>
            <w:tcW w:w="1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w:t>
            </w:r>
          </w:p>
        </w:tc>
      </w:tr>
      <w:tr>
        <w:trPr>
          <w:trHeight w:val="220"/>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Service gross margin</w:t>
            </w:r>
          </w:p>
        </w:tc>
        <w:tc>
          <w:tcPr>
            <w:tcW w:w="2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132</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152</w:t>
            </w:r>
          </w:p>
        </w:tc>
        <w:tc>
          <w:tcPr>
            <w:tcW w:w="80" w:type="dxa"/>
            <w:vAlign w:val="bottom"/>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26.8 %</w:t>
            </w:r>
          </w:p>
        </w:tc>
        <w:tc>
          <w:tcPr>
            <w:tcW w:w="100" w:type="dxa"/>
            <w:vAlign w:val="bottom"/>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29.6 %</w:t>
            </w:r>
          </w:p>
        </w:tc>
        <w:tc>
          <w:tcPr>
            <w:tcW w:w="100" w:type="dxa"/>
            <w:vAlign w:val="bottom"/>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w:t>
            </w:r>
          </w:p>
        </w:tc>
      </w:tr>
      <w:tr>
        <w:trPr>
          <w:trHeight w:val="213"/>
        </w:trPr>
        <w:tc>
          <w:tcPr>
            <w:tcW w:w="408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Total gross margin</w:t>
            </w: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166</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195</w:t>
            </w:r>
          </w:p>
        </w:tc>
        <w:tc>
          <w:tcPr>
            <w:tcW w:w="8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23.3 %</w:t>
            </w:r>
          </w:p>
        </w:tc>
        <w:tc>
          <w:tcPr>
            <w:tcW w:w="1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24.1 %</w:t>
            </w:r>
          </w:p>
        </w:tc>
        <w:tc>
          <w:tcPr>
            <w:tcW w:w="1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w:t>
            </w:r>
          </w:p>
        </w:tc>
      </w:tr>
      <w:tr>
        <w:trPr>
          <w:trHeight w:val="220"/>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Selling, general and administrative expenses</w:t>
            </w: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113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142</w:t>
            </w:r>
          </w:p>
        </w:tc>
        <w:tc>
          <w:tcPr>
            <w:tcW w:w="8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15.9 %</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17.6 %</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w:t>
            </w:r>
          </w:p>
        </w:tc>
      </w:tr>
      <w:tr>
        <w:trPr>
          <w:trHeight w:val="220"/>
        </w:trPr>
        <w:tc>
          <w:tcPr>
            <w:tcW w:w="4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Research and development expenses</w:t>
            </w: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38</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29</w:t>
            </w:r>
          </w:p>
        </w:tc>
        <w:tc>
          <w:tcPr>
            <w:tcW w:w="80" w:type="dxa"/>
            <w:vAlign w:val="bottom"/>
            <w:tcBorders>
              <w:bottom w:val="single" w:sz="8" w:color="CCEEFF"/>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5.3 %</w:t>
            </w:r>
          </w:p>
        </w:tc>
        <w:tc>
          <w:tcPr>
            <w:tcW w:w="100" w:type="dxa"/>
            <w:vAlign w:val="bottom"/>
            <w:tcBorders>
              <w:bottom w:val="single" w:sz="8" w:color="CCEEFF"/>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3.6 %</w:t>
            </w:r>
          </w:p>
        </w:tc>
        <w:tc>
          <w:tcPr>
            <w:tcW w:w="100" w:type="dxa"/>
            <w:vAlign w:val="bottom"/>
            <w:tcBorders>
              <w:bottom w:val="single" w:sz="8" w:color="CCEEFF"/>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31 %</w:t>
            </w:r>
          </w:p>
        </w:tc>
      </w:tr>
      <w:tr>
        <w:trPr>
          <w:trHeight w:val="238"/>
        </w:trPr>
        <w:tc>
          <w:tcPr>
            <w:tcW w:w="4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Income (loss) from operations</w:t>
            </w:r>
          </w:p>
        </w:tc>
        <w:tc>
          <w:tcPr>
            <w:tcW w:w="20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15</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w:t>
            </w:r>
          </w:p>
        </w:tc>
        <w:tc>
          <w:tcPr>
            <w:tcW w:w="8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2.1 %</w:t>
            </w:r>
          </w:p>
        </w:tc>
        <w:tc>
          <w:tcPr>
            <w:tcW w:w="10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3.0 %</w:t>
            </w:r>
          </w:p>
        </w:tc>
        <w:tc>
          <w:tcPr>
            <w:tcW w:w="10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w:t>
            </w:r>
          </w:p>
        </w:tc>
      </w:tr>
      <w:tr>
        <w:trPr>
          <w:trHeight w:val="20"/>
        </w:trPr>
        <w:tc>
          <w:tcPr>
            <w:tcW w:w="40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r>
      <w:tr>
        <w:trPr>
          <w:trHeight w:val="581"/>
        </w:trPr>
        <w:tc>
          <w:tcPr>
            <w:tcW w:w="4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540" w:type="dxa"/>
            <w:vAlign w:val="bottom"/>
            <w:gridSpan w:val="5"/>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8"/>
              </w:rPr>
              <w:t>Nine months ended September 30</w:t>
            </w:r>
          </w:p>
        </w:tc>
        <w:tc>
          <w:tcPr>
            <w:tcW w:w="3020" w:type="dxa"/>
            <w:vAlign w:val="bottom"/>
            <w:gridSpan w:val="4"/>
          </w:tcPr>
          <w:p>
            <w:pPr>
              <w:ind w:left="760"/>
              <w:spacing w:after="0"/>
              <w:rPr>
                <w:sz w:val="20"/>
                <w:szCs w:val="20"/>
                <w:color w:val="auto"/>
              </w:rPr>
            </w:pPr>
            <w:r>
              <w:rPr>
                <w:rFonts w:ascii="Times New Roman" w:cs="Times New Roman" w:eastAsia="Times New Roman" w:hAnsi="Times New Roman"/>
                <w:sz w:val="14"/>
                <w:szCs w:val="14"/>
                <w:b w:val="1"/>
                <w:bCs w:val="1"/>
                <w:color w:val="auto"/>
              </w:rPr>
              <w:t xml:space="preserve">Percentage of Revenue </w:t>
            </w:r>
            <w:r>
              <w:rPr>
                <w:rFonts w:ascii="Times New Roman" w:cs="Times New Roman" w:eastAsia="Times New Roman" w:hAnsi="Times New Roman"/>
                <w:sz w:val="17"/>
                <w:szCs w:val="17"/>
                <w:b w:val="1"/>
                <w:bCs w:val="1"/>
                <w:color w:val="auto"/>
                <w:vertAlign w:val="superscript"/>
              </w:rPr>
              <w:t>(1)</w:t>
            </w:r>
          </w:p>
        </w:tc>
        <w:tc>
          <w:tcPr>
            <w:tcW w:w="14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Increase (Decrease)</w:t>
            </w:r>
          </w:p>
        </w:tc>
      </w:tr>
      <w:tr>
        <w:trPr>
          <w:trHeight w:val="182"/>
        </w:trPr>
        <w:tc>
          <w:tcPr>
            <w:tcW w:w="4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00" w:type="dxa"/>
            <w:vAlign w:val="bottom"/>
            <w:tcBorders>
              <w:top w:val="single" w:sz="8" w:color="auto"/>
              <w:bottom w:val="single" w:sz="8" w:color="auto"/>
            </w:tcBorders>
          </w:tcPr>
          <w:p>
            <w:pPr>
              <w:spacing w:after="0"/>
              <w:rPr>
                <w:sz w:val="15"/>
                <w:szCs w:val="15"/>
                <w:color w:val="auto"/>
              </w:rPr>
            </w:pPr>
          </w:p>
        </w:tc>
        <w:tc>
          <w:tcPr>
            <w:tcW w:w="1040" w:type="dxa"/>
            <w:vAlign w:val="bottom"/>
            <w:tcBorders>
              <w:top w:val="single" w:sz="8" w:color="auto"/>
              <w:bottom w:val="single" w:sz="8" w:color="auto"/>
            </w:tcBorders>
          </w:tcPr>
          <w:p>
            <w:pPr>
              <w:jc w:val="right"/>
              <w:ind w:right="397"/>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top w:val="single" w:sz="8" w:color="auto"/>
              <w:bottom w:val="single" w:sz="8" w:color="CCEEFF"/>
            </w:tcBorders>
          </w:tcPr>
          <w:p>
            <w:pPr>
              <w:spacing w:after="0"/>
              <w:rPr>
                <w:sz w:val="15"/>
                <w:szCs w:val="15"/>
                <w:color w:val="auto"/>
              </w:rPr>
            </w:pPr>
          </w:p>
        </w:tc>
        <w:tc>
          <w:tcPr>
            <w:tcW w:w="320" w:type="dxa"/>
            <w:vAlign w:val="bottom"/>
            <w:tcBorders>
              <w:top w:val="single" w:sz="8" w:color="auto"/>
              <w:bottom w:val="single" w:sz="8" w:color="auto"/>
            </w:tcBorders>
          </w:tcPr>
          <w:p>
            <w:pPr>
              <w:spacing w:after="0"/>
              <w:rPr>
                <w:sz w:val="15"/>
                <w:szCs w:val="15"/>
                <w:color w:val="auto"/>
              </w:rPr>
            </w:pPr>
          </w:p>
        </w:tc>
        <w:tc>
          <w:tcPr>
            <w:tcW w:w="1000" w:type="dxa"/>
            <w:vAlign w:val="bottom"/>
            <w:tcBorders>
              <w:top w:val="single" w:sz="8" w:color="auto"/>
              <w:bottom w:val="single" w:sz="8" w:color="auto"/>
            </w:tcBorders>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Borders>
              <w:bottom w:val="single" w:sz="8" w:color="CCEEFF"/>
            </w:tcBorders>
          </w:tcPr>
          <w:p>
            <w:pPr>
              <w:spacing w:after="0"/>
              <w:rPr>
                <w:sz w:val="15"/>
                <w:szCs w:val="15"/>
                <w:color w:val="auto"/>
              </w:rPr>
            </w:pPr>
          </w:p>
        </w:tc>
        <w:tc>
          <w:tcPr>
            <w:tcW w:w="1420" w:type="dxa"/>
            <w:vAlign w:val="bottom"/>
            <w:tcBorders>
              <w:top w:val="single" w:sz="8" w:color="auto"/>
              <w:bottom w:val="single" w:sz="8" w:color="auto"/>
            </w:tcBorders>
          </w:tcPr>
          <w:p>
            <w:pPr>
              <w:jc w:val="right"/>
              <w:ind w:right="477"/>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top w:val="single" w:sz="8" w:color="auto"/>
              <w:bottom w:val="single" w:sz="8" w:color="CCEEFF"/>
            </w:tcBorders>
          </w:tcPr>
          <w:p>
            <w:pPr>
              <w:spacing w:after="0"/>
              <w:rPr>
                <w:sz w:val="15"/>
                <w:szCs w:val="15"/>
                <w:color w:val="auto"/>
              </w:rPr>
            </w:pPr>
          </w:p>
        </w:tc>
        <w:tc>
          <w:tcPr>
            <w:tcW w:w="1400" w:type="dxa"/>
            <w:vAlign w:val="bottom"/>
            <w:tcBorders>
              <w:top w:val="single" w:sz="8" w:color="auto"/>
              <w:bottom w:val="single" w:sz="8" w:color="auto"/>
            </w:tcBorders>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top w:val="single" w:sz="8" w:color="auto"/>
              <w:bottom w:val="single" w:sz="8" w:color="CCEEFF"/>
            </w:tcBorders>
          </w:tcPr>
          <w:p>
            <w:pPr>
              <w:spacing w:after="0"/>
              <w:rPr>
                <w:sz w:val="15"/>
                <w:szCs w:val="15"/>
                <w:color w:val="auto"/>
              </w:rPr>
            </w:pPr>
          </w:p>
        </w:tc>
        <w:tc>
          <w:tcPr>
            <w:tcW w:w="140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2024 vs 2023</w:t>
            </w:r>
          </w:p>
        </w:tc>
      </w:tr>
      <w:tr>
        <w:trPr>
          <w:trHeight w:val="219"/>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Product revenue</w:t>
            </w:r>
          </w:p>
        </w:tc>
        <w:tc>
          <w:tcPr>
            <w:tcW w:w="2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684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875</w:t>
            </w:r>
          </w:p>
        </w:tc>
        <w:tc>
          <w:tcPr>
            <w:tcW w:w="8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31.9 %</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36.7 %</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w:t>
            </w:r>
          </w:p>
        </w:tc>
      </w:tr>
      <w:tr>
        <w:trPr>
          <w:trHeight w:val="220"/>
        </w:trPr>
        <w:tc>
          <w:tcPr>
            <w:tcW w:w="4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Service revenue</w:t>
            </w: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1,460</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1,507</w:t>
            </w:r>
          </w:p>
        </w:tc>
        <w:tc>
          <w:tcPr>
            <w:tcW w:w="80" w:type="dxa"/>
            <w:vAlign w:val="bottom"/>
            <w:tcBorders>
              <w:bottom w:val="single" w:sz="8" w:color="CCEEFF"/>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68.1 %</w:t>
            </w:r>
          </w:p>
        </w:tc>
        <w:tc>
          <w:tcPr>
            <w:tcW w:w="100" w:type="dxa"/>
            <w:vAlign w:val="bottom"/>
            <w:tcBorders>
              <w:bottom w:val="single" w:sz="8" w:color="CCEEFF"/>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63.3 %</w:t>
            </w:r>
          </w:p>
        </w:tc>
        <w:tc>
          <w:tcPr>
            <w:tcW w:w="100" w:type="dxa"/>
            <w:vAlign w:val="bottom"/>
            <w:tcBorders>
              <w:bottom w:val="single" w:sz="8" w:color="CCEEFF"/>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w:t>
            </w:r>
          </w:p>
        </w:tc>
      </w:tr>
      <w:tr>
        <w:trPr>
          <w:trHeight w:val="213"/>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Total revenue</w:t>
            </w:r>
          </w:p>
        </w:tc>
        <w:tc>
          <w:tcPr>
            <w:tcW w:w="2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2,144</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2,382</w:t>
            </w:r>
          </w:p>
        </w:tc>
        <w:tc>
          <w:tcPr>
            <w:tcW w:w="80" w:type="dxa"/>
            <w:vAlign w:val="bottom"/>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100.0 %</w:t>
            </w:r>
          </w:p>
        </w:tc>
        <w:tc>
          <w:tcPr>
            <w:tcW w:w="100" w:type="dxa"/>
            <w:vAlign w:val="bottom"/>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100.0 %</w:t>
            </w:r>
          </w:p>
        </w:tc>
        <w:tc>
          <w:tcPr>
            <w:tcW w:w="100" w:type="dxa"/>
            <w:vAlign w:val="bottom"/>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w:t>
            </w:r>
          </w:p>
        </w:tc>
      </w:tr>
      <w:tr>
        <w:trPr>
          <w:trHeight w:val="213"/>
        </w:trPr>
        <w:tc>
          <w:tcPr>
            <w:tcW w:w="40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Product gross margin</w:t>
            </w: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90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104</w:t>
            </w:r>
          </w:p>
        </w:tc>
        <w:tc>
          <w:tcPr>
            <w:tcW w:w="8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13.2 %</w:t>
            </w:r>
          </w:p>
        </w:tc>
        <w:tc>
          <w:tcPr>
            <w:tcW w:w="1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11.9 %</w:t>
            </w:r>
          </w:p>
        </w:tc>
        <w:tc>
          <w:tcPr>
            <w:tcW w:w="1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w:t>
            </w:r>
          </w:p>
        </w:tc>
      </w:tr>
      <w:tr>
        <w:trPr>
          <w:trHeight w:val="220"/>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Service gross margin</w:t>
            </w:r>
          </w:p>
        </w:tc>
        <w:tc>
          <w:tcPr>
            <w:tcW w:w="2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340</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454</w:t>
            </w:r>
          </w:p>
        </w:tc>
        <w:tc>
          <w:tcPr>
            <w:tcW w:w="80" w:type="dxa"/>
            <w:vAlign w:val="bottom"/>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23.3 %</w:t>
            </w:r>
          </w:p>
        </w:tc>
        <w:tc>
          <w:tcPr>
            <w:tcW w:w="100" w:type="dxa"/>
            <w:vAlign w:val="bottom"/>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30.1 %</w:t>
            </w:r>
          </w:p>
        </w:tc>
        <w:tc>
          <w:tcPr>
            <w:tcW w:w="100" w:type="dxa"/>
            <w:vAlign w:val="bottom"/>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w:t>
            </w:r>
          </w:p>
        </w:tc>
      </w:tr>
      <w:tr>
        <w:trPr>
          <w:trHeight w:val="213"/>
        </w:trPr>
        <w:tc>
          <w:tcPr>
            <w:tcW w:w="408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Total gross margin</w:t>
            </w: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430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558</w:t>
            </w:r>
          </w:p>
        </w:tc>
        <w:tc>
          <w:tcPr>
            <w:tcW w:w="8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20.1 %</w:t>
            </w:r>
          </w:p>
        </w:tc>
        <w:tc>
          <w:tcPr>
            <w:tcW w:w="1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23.4 %</w:t>
            </w:r>
          </w:p>
        </w:tc>
        <w:tc>
          <w:tcPr>
            <w:tcW w:w="1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w:t>
            </w:r>
          </w:p>
        </w:tc>
      </w:tr>
      <w:tr>
        <w:trPr>
          <w:trHeight w:val="220"/>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Selling, general and administrative expenses</w:t>
            </w: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340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427</w:t>
            </w:r>
          </w:p>
        </w:tc>
        <w:tc>
          <w:tcPr>
            <w:tcW w:w="8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15.9 %</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17.9 %</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w:t>
            </w:r>
          </w:p>
        </w:tc>
      </w:tr>
      <w:tr>
        <w:trPr>
          <w:trHeight w:val="220"/>
        </w:trPr>
        <w:tc>
          <w:tcPr>
            <w:tcW w:w="4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Research and development expenses</w:t>
            </w: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129</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98</w:t>
            </w:r>
          </w:p>
        </w:tc>
        <w:tc>
          <w:tcPr>
            <w:tcW w:w="80" w:type="dxa"/>
            <w:vAlign w:val="bottom"/>
            <w:tcBorders>
              <w:bottom w:val="single" w:sz="8" w:color="CCEEFF"/>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6.0 %</w:t>
            </w:r>
          </w:p>
        </w:tc>
        <w:tc>
          <w:tcPr>
            <w:tcW w:w="100" w:type="dxa"/>
            <w:vAlign w:val="bottom"/>
            <w:tcBorders>
              <w:bottom w:val="single" w:sz="8" w:color="CCEEFF"/>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4.1 %</w:t>
            </w:r>
          </w:p>
        </w:tc>
        <w:tc>
          <w:tcPr>
            <w:tcW w:w="100" w:type="dxa"/>
            <w:vAlign w:val="bottom"/>
            <w:tcBorders>
              <w:bottom w:val="single" w:sz="8" w:color="CCEEFF"/>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32 %</w:t>
            </w:r>
          </w:p>
        </w:tc>
      </w:tr>
      <w:tr>
        <w:trPr>
          <w:trHeight w:val="238"/>
        </w:trPr>
        <w:tc>
          <w:tcPr>
            <w:tcW w:w="4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Income (loss) from operations</w:t>
            </w:r>
          </w:p>
        </w:tc>
        <w:tc>
          <w:tcPr>
            <w:tcW w:w="20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(39)</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w:t>
            </w:r>
          </w:p>
        </w:tc>
        <w:tc>
          <w:tcPr>
            <w:tcW w:w="8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(1.8)%</w:t>
            </w:r>
          </w:p>
        </w:tc>
        <w:tc>
          <w:tcPr>
            <w:tcW w:w="10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1.4 %</w:t>
            </w:r>
          </w:p>
        </w:tc>
        <w:tc>
          <w:tcPr>
            <w:tcW w:w="10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(218)%</w:t>
            </w:r>
          </w:p>
        </w:tc>
      </w:tr>
      <w:tr>
        <w:trPr>
          <w:trHeight w:val="20"/>
        </w:trPr>
        <w:tc>
          <w:tcPr>
            <w:tcW w:w="40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r>
    </w:tbl>
    <w:p>
      <w:pPr>
        <w:spacing w:after="0" w:line="64" w:lineRule="exact"/>
        <w:rPr>
          <w:sz w:val="20"/>
          <w:szCs w:val="20"/>
          <w:color w:val="auto"/>
        </w:rPr>
      </w:pPr>
    </w:p>
    <w:p>
      <w:pPr>
        <w:ind w:firstLine="4"/>
        <w:spacing w:after="0" w:line="230" w:lineRule="auto"/>
        <w:tabs>
          <w:tab w:leader="none" w:pos="164" w:val="left"/>
        </w:tabs>
        <w:numPr>
          <w:ilvl w:val="0"/>
          <w:numId w:val="10"/>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6"/>
          <w:szCs w:val="16"/>
          <w:color w:val="auto"/>
        </w:rPr>
        <w:t>The percentage of revenue is calculated for each line item divided by total revenue, except for product gross margin and service gross margin, which are divided by the related component of revenue.</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Key Strategic Financial Metrics</w:t>
      </w:r>
    </w:p>
    <w:p>
      <w:pPr>
        <w:spacing w:after="0" w:line="247" w:lineRule="exact"/>
        <w:rPr>
          <w:sz w:val="20"/>
          <w:szCs w:val="20"/>
          <w:color w:val="auto"/>
        </w:rPr>
      </w:pPr>
    </w:p>
    <w:p>
      <w:pPr>
        <w:spacing w:after="0" w:line="292" w:lineRule="auto"/>
        <w:rPr>
          <w:sz w:val="20"/>
          <w:szCs w:val="20"/>
          <w:color w:val="auto"/>
        </w:rPr>
      </w:pPr>
      <w:r>
        <w:rPr>
          <w:rFonts w:ascii="Times New Roman" w:cs="Times New Roman" w:eastAsia="Times New Roman" w:hAnsi="Times New Roman"/>
          <w:sz w:val="17"/>
          <w:szCs w:val="17"/>
          <w:color w:val="auto"/>
        </w:rPr>
        <w:t>The following tables show our key strategic financial metrics for the three and nine months ended September 30, the relative percentage that those amounts represent to total revenue, and the change in those amounts year-over-year.</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3435" cy="419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Recurring revenue as a percentage of total revenue</w:t>
      </w: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4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80" w:type="dxa"/>
            <w:vAlign w:val="bottom"/>
            <w:gridSpan w:val="8"/>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8"/>
              </w:rPr>
              <w:t>Three months ended September 30</w:t>
            </w:r>
          </w:p>
        </w:tc>
        <w:tc>
          <w:tcPr>
            <w:tcW w:w="3000" w:type="dxa"/>
            <w:vAlign w:val="bottom"/>
            <w:gridSpan w:val="4"/>
          </w:tcPr>
          <w:p>
            <w:pPr>
              <w:ind w:left="620"/>
              <w:spacing w:after="0"/>
              <w:rPr>
                <w:sz w:val="20"/>
                <w:szCs w:val="20"/>
                <w:color w:val="auto"/>
              </w:rPr>
            </w:pPr>
            <w:r>
              <w:rPr>
                <w:rFonts w:ascii="Times New Roman" w:cs="Times New Roman" w:eastAsia="Times New Roman" w:hAnsi="Times New Roman"/>
                <w:sz w:val="14"/>
                <w:szCs w:val="14"/>
                <w:b w:val="1"/>
                <w:bCs w:val="1"/>
                <w:color w:val="auto"/>
              </w:rPr>
              <w:t>Percentage of Total Revenue</w:t>
            </w:r>
          </w:p>
        </w:tc>
        <w:tc>
          <w:tcPr>
            <w:tcW w:w="14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Increase (Decrease)</w:t>
            </w:r>
          </w:p>
        </w:tc>
        <w:tc>
          <w:tcPr>
            <w:tcW w:w="0" w:type="dxa"/>
            <w:vAlign w:val="bottom"/>
          </w:tcPr>
          <w:p>
            <w:pPr>
              <w:spacing w:after="0"/>
              <w:rPr>
                <w:sz w:val="1"/>
                <w:szCs w:val="1"/>
                <w:color w:val="auto"/>
              </w:rPr>
            </w:pPr>
          </w:p>
        </w:tc>
      </w:tr>
      <w:tr>
        <w:trPr>
          <w:trHeight w:val="23"/>
        </w:trPr>
        <w:tc>
          <w:tcPr>
            <w:tcW w:w="414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2"/>
        </w:trPr>
        <w:tc>
          <w:tcPr>
            <w:tcW w:w="414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460" w:type="dxa"/>
            <w:vAlign w:val="bottom"/>
            <w:tcBorders>
              <w:top w:val="single" w:sz="8" w:color="auto"/>
              <w:bottom w:val="single" w:sz="8" w:color="auto"/>
            </w:tcBorders>
          </w:tcPr>
          <w:p>
            <w:pPr>
              <w:spacing w:after="0"/>
              <w:rPr>
                <w:sz w:val="15"/>
                <w:szCs w:val="15"/>
                <w:color w:val="auto"/>
              </w:rPr>
            </w:pPr>
          </w:p>
        </w:tc>
        <w:tc>
          <w:tcPr>
            <w:tcW w:w="20" w:type="dxa"/>
            <w:vAlign w:val="bottom"/>
            <w:tcBorders>
              <w:top w:val="single" w:sz="8" w:color="auto"/>
              <w:bottom w:val="single" w:sz="8" w:color="auto"/>
            </w:tcBorders>
          </w:tcPr>
          <w:p>
            <w:pPr>
              <w:spacing w:after="0"/>
              <w:rPr>
                <w:sz w:val="15"/>
                <w:szCs w:val="15"/>
                <w:color w:val="auto"/>
              </w:rPr>
            </w:pPr>
          </w:p>
        </w:tc>
        <w:tc>
          <w:tcPr>
            <w:tcW w:w="60" w:type="dxa"/>
            <w:vAlign w:val="bottom"/>
            <w:tcBorders>
              <w:top w:val="single" w:sz="8" w:color="auto"/>
              <w:bottom w:val="single" w:sz="8" w:color="CCEEFF"/>
            </w:tcBorders>
          </w:tcPr>
          <w:p>
            <w:pPr>
              <w:spacing w:after="0"/>
              <w:rPr>
                <w:sz w:val="15"/>
                <w:szCs w:val="15"/>
                <w:color w:val="auto"/>
              </w:rPr>
            </w:pPr>
          </w:p>
        </w:tc>
        <w:tc>
          <w:tcPr>
            <w:tcW w:w="20" w:type="dxa"/>
            <w:vAlign w:val="bottom"/>
            <w:tcBorders>
              <w:top w:val="single" w:sz="8" w:color="auto"/>
              <w:bottom w:val="single" w:sz="8" w:color="CCEEFF"/>
            </w:tcBorders>
          </w:tcPr>
          <w:p>
            <w:pPr>
              <w:spacing w:after="0"/>
              <w:rPr>
                <w:sz w:val="15"/>
                <w:szCs w:val="15"/>
                <w:color w:val="auto"/>
              </w:rPr>
            </w:pPr>
          </w:p>
        </w:tc>
        <w:tc>
          <w:tcPr>
            <w:tcW w:w="300" w:type="dxa"/>
            <w:vAlign w:val="bottom"/>
            <w:tcBorders>
              <w:top w:val="single" w:sz="8" w:color="auto"/>
              <w:bottom w:val="single" w:sz="8" w:color="auto"/>
            </w:tcBorders>
          </w:tcPr>
          <w:p>
            <w:pPr>
              <w:spacing w:after="0"/>
              <w:rPr>
                <w:sz w:val="15"/>
                <w:szCs w:val="15"/>
                <w:color w:val="auto"/>
              </w:rPr>
            </w:pPr>
          </w:p>
        </w:tc>
        <w:tc>
          <w:tcPr>
            <w:tcW w:w="940" w:type="dxa"/>
            <w:vAlign w:val="bottom"/>
            <w:tcBorders>
              <w:top w:val="single" w:sz="8" w:color="auto"/>
              <w:bottom w:val="single" w:sz="8" w:color="auto"/>
            </w:tcBorders>
          </w:tcPr>
          <w:p>
            <w:pPr>
              <w:jc w:val="right"/>
              <w:ind w:right="39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5"/>
                <w:szCs w:val="15"/>
                <w:color w:val="auto"/>
              </w:rPr>
            </w:pPr>
          </w:p>
        </w:tc>
        <w:tc>
          <w:tcPr>
            <w:tcW w:w="1420" w:type="dxa"/>
            <w:vAlign w:val="bottom"/>
            <w:tcBorders>
              <w:top w:val="single" w:sz="8" w:color="auto"/>
              <w:bottom w:val="single" w:sz="8" w:color="auto"/>
            </w:tcBorders>
          </w:tcPr>
          <w:p>
            <w:pPr>
              <w:jc w:val="right"/>
              <w:ind w:right="50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top w:val="single" w:sz="8" w:color="auto"/>
              <w:bottom w:val="single" w:sz="8" w:color="CCEEFF"/>
            </w:tcBorders>
          </w:tcPr>
          <w:p>
            <w:pPr>
              <w:spacing w:after="0"/>
              <w:rPr>
                <w:sz w:val="15"/>
                <w:szCs w:val="15"/>
                <w:color w:val="auto"/>
              </w:rPr>
            </w:pPr>
          </w:p>
        </w:tc>
        <w:tc>
          <w:tcPr>
            <w:tcW w:w="1380" w:type="dxa"/>
            <w:vAlign w:val="bottom"/>
            <w:tcBorders>
              <w:top w:val="single" w:sz="8" w:color="auto"/>
              <w:bottom w:val="single" w:sz="8" w:color="auto"/>
            </w:tcBorders>
          </w:tcPr>
          <w:p>
            <w:pPr>
              <w:jc w:val="right"/>
              <w:ind w:right="47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5"/>
                <w:szCs w:val="15"/>
                <w:color w:val="auto"/>
              </w:rPr>
            </w:pPr>
          </w:p>
        </w:tc>
        <w:tc>
          <w:tcPr>
            <w:tcW w:w="140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2024 vs 2023</w:t>
            </w:r>
          </w:p>
        </w:tc>
        <w:tc>
          <w:tcPr>
            <w:tcW w:w="0" w:type="dxa"/>
            <w:vAlign w:val="bottom"/>
          </w:tcPr>
          <w:p>
            <w:pPr>
              <w:spacing w:after="0"/>
              <w:rPr>
                <w:sz w:val="1"/>
                <w:szCs w:val="1"/>
                <w:color w:val="auto"/>
              </w:rPr>
            </w:pPr>
          </w:p>
        </w:tc>
      </w:tr>
      <w:tr>
        <w:trPr>
          <w:trHeight w:val="219"/>
        </w:trPr>
        <w:tc>
          <w:tcPr>
            <w:tcW w:w="4140" w:type="dxa"/>
            <w:vAlign w:val="bottom"/>
            <w:shd w:val="clear" w:color="auto" w:fill="CCEEFF"/>
          </w:tcPr>
          <w:p>
            <w:pPr>
              <w:ind w:left="240"/>
              <w:spacing w:after="0" w:line="219" w:lineRule="exact"/>
              <w:rPr>
                <w:sz w:val="20"/>
                <w:szCs w:val="20"/>
                <w:color w:val="auto"/>
              </w:rPr>
            </w:pPr>
            <w:r>
              <w:rPr>
                <w:rFonts w:ascii="Times New Roman" w:cs="Times New Roman" w:eastAsia="Times New Roman" w:hAnsi="Times New Roman"/>
                <w:sz w:val="17"/>
                <w:szCs w:val="17"/>
                <w:color w:val="auto"/>
              </w:rPr>
              <w:t>Recurring revenue</w:t>
            </w:r>
            <w:r>
              <w:rPr>
                <w:rFonts w:ascii="Times New Roman" w:cs="Times New Roman" w:eastAsia="Times New Roman" w:hAnsi="Times New Roman"/>
                <w:sz w:val="22"/>
                <w:szCs w:val="22"/>
                <w:color w:val="auto"/>
                <w:vertAlign w:val="superscript"/>
              </w:rPr>
              <w:t>(1)</w:t>
            </w:r>
          </w:p>
        </w:tc>
        <w:tc>
          <w:tcPr>
            <w:tcW w:w="2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60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407</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409</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57.2 %</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50.6 %</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 %</w:t>
            </w:r>
          </w:p>
        </w:tc>
        <w:tc>
          <w:tcPr>
            <w:tcW w:w="0" w:type="dxa"/>
            <w:vAlign w:val="bottom"/>
          </w:tcPr>
          <w:p>
            <w:pPr>
              <w:spacing w:after="0"/>
              <w:rPr>
                <w:sz w:val="1"/>
                <w:szCs w:val="1"/>
                <w:color w:val="auto"/>
              </w:rPr>
            </w:pPr>
          </w:p>
        </w:tc>
      </w:tr>
      <w:tr>
        <w:trPr>
          <w:trHeight w:val="220"/>
        </w:trPr>
        <w:tc>
          <w:tcPr>
            <w:tcW w:w="41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7"/>
                <w:szCs w:val="17"/>
                <w:color w:val="auto"/>
              </w:rPr>
              <w:t>All other products and services</w:t>
            </w:r>
          </w:p>
        </w:tc>
        <w:tc>
          <w:tcPr>
            <w:tcW w:w="20" w:type="dxa"/>
            <w:vAlign w:val="bottom"/>
            <w:tcBorders>
              <w:bottom w:val="single" w:sz="8" w:color="CCEEFF"/>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304</w:t>
            </w:r>
          </w:p>
        </w:tc>
        <w:tc>
          <w:tcPr>
            <w:tcW w:w="20" w:type="dxa"/>
            <w:vAlign w:val="bottom"/>
            <w:tcBorders>
              <w:bottom w:val="single" w:sz="8" w:color="auto"/>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400</w:t>
            </w:r>
          </w:p>
        </w:tc>
        <w:tc>
          <w:tcPr>
            <w:tcW w:w="100" w:type="dxa"/>
            <w:vAlign w:val="bottom"/>
            <w:tcBorders>
              <w:bottom w:val="single" w:sz="8" w:color="CCEEFF"/>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42.8 %</w:t>
            </w:r>
          </w:p>
        </w:tc>
        <w:tc>
          <w:tcPr>
            <w:tcW w:w="100" w:type="dxa"/>
            <w:vAlign w:val="bottom"/>
            <w:tcBorders>
              <w:bottom w:val="single" w:sz="8" w:color="CCEEFF"/>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49.4 %</w:t>
            </w:r>
          </w:p>
        </w:tc>
        <w:tc>
          <w:tcPr>
            <w:tcW w:w="100" w:type="dxa"/>
            <w:vAlign w:val="bottom"/>
            <w:tcBorders>
              <w:bottom w:val="single" w:sz="8" w:color="CCEEFF"/>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(24)%</w:t>
            </w:r>
          </w:p>
        </w:tc>
        <w:tc>
          <w:tcPr>
            <w:tcW w:w="0" w:type="dxa"/>
            <w:vAlign w:val="bottom"/>
          </w:tcPr>
          <w:p>
            <w:pPr>
              <w:spacing w:after="0"/>
              <w:rPr>
                <w:sz w:val="1"/>
                <w:szCs w:val="1"/>
                <w:color w:val="auto"/>
              </w:rPr>
            </w:pPr>
          </w:p>
        </w:tc>
      </w:tr>
      <w:tr>
        <w:trPr>
          <w:trHeight w:val="238"/>
        </w:trPr>
        <w:tc>
          <w:tcPr>
            <w:tcW w:w="4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Total Revenue</w:t>
            </w:r>
          </w:p>
        </w:tc>
        <w:tc>
          <w:tcPr>
            <w:tcW w:w="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jc w:val="right"/>
              <w:ind w:right="60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711</w:t>
            </w:r>
          </w:p>
        </w:tc>
        <w:tc>
          <w:tcPr>
            <w:tcW w:w="20" w:type="dxa"/>
            <w:vAlign w:val="bottom"/>
            <w:tcBorders>
              <w:bottom w:val="single" w:sz="8" w:color="auto"/>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809</w:t>
            </w:r>
          </w:p>
        </w:tc>
        <w:tc>
          <w:tcPr>
            <w:tcW w:w="10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100.0 %</w:t>
            </w:r>
          </w:p>
        </w:tc>
        <w:tc>
          <w:tcPr>
            <w:tcW w:w="10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100.0 %</w:t>
            </w:r>
          </w:p>
        </w:tc>
        <w:tc>
          <w:tcPr>
            <w:tcW w:w="10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w:t>
            </w:r>
          </w:p>
        </w:tc>
        <w:tc>
          <w:tcPr>
            <w:tcW w:w="0" w:type="dxa"/>
            <w:vAlign w:val="bottom"/>
          </w:tcPr>
          <w:p>
            <w:pPr>
              <w:spacing w:after="0"/>
              <w:rPr>
                <w:sz w:val="1"/>
                <w:szCs w:val="1"/>
                <w:color w:val="auto"/>
              </w:rPr>
            </w:pPr>
          </w:p>
        </w:tc>
      </w:tr>
      <w:tr>
        <w:trPr>
          <w:trHeight w:val="20"/>
        </w:trPr>
        <w:tc>
          <w:tcPr>
            <w:tcW w:w="41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gridSpan w:val="2"/>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27"/>
        </w:trPr>
        <w:tc>
          <w:tcPr>
            <w:tcW w:w="4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80" w:type="dxa"/>
            <w:vAlign w:val="bottom"/>
            <w:gridSpan w:val="8"/>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8"/>
              </w:rPr>
              <w:t>Nine months ended September 30</w:t>
            </w:r>
          </w:p>
        </w:tc>
        <w:tc>
          <w:tcPr>
            <w:tcW w:w="3000" w:type="dxa"/>
            <w:vAlign w:val="bottom"/>
            <w:gridSpan w:val="4"/>
          </w:tcPr>
          <w:p>
            <w:pPr>
              <w:ind w:left="660"/>
              <w:spacing w:after="0"/>
              <w:rPr>
                <w:sz w:val="20"/>
                <w:szCs w:val="20"/>
                <w:color w:val="auto"/>
              </w:rPr>
            </w:pPr>
            <w:r>
              <w:rPr>
                <w:rFonts w:ascii="Times New Roman" w:cs="Times New Roman" w:eastAsia="Times New Roman" w:hAnsi="Times New Roman"/>
                <w:sz w:val="14"/>
                <w:szCs w:val="14"/>
                <w:b w:val="1"/>
                <w:bCs w:val="1"/>
                <w:color w:val="auto"/>
              </w:rPr>
              <w:t>Percentage of Total Revenue</w:t>
            </w:r>
          </w:p>
        </w:tc>
        <w:tc>
          <w:tcPr>
            <w:tcW w:w="14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Increase (Decrease)</w:t>
            </w:r>
          </w:p>
        </w:tc>
        <w:tc>
          <w:tcPr>
            <w:tcW w:w="0" w:type="dxa"/>
            <w:vAlign w:val="bottom"/>
          </w:tcPr>
          <w:p>
            <w:pPr>
              <w:spacing w:after="0"/>
              <w:rPr>
                <w:sz w:val="1"/>
                <w:szCs w:val="1"/>
                <w:color w:val="auto"/>
              </w:rPr>
            </w:pPr>
          </w:p>
        </w:tc>
      </w:tr>
      <w:tr>
        <w:trPr>
          <w:trHeight w:val="23"/>
        </w:trPr>
        <w:tc>
          <w:tcPr>
            <w:tcW w:w="41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800" w:type="dxa"/>
            <w:vAlign w:val="bottom"/>
            <w:tcBorders>
              <w:bottom w:val="single" w:sz="8" w:color="auto"/>
            </w:tcBorders>
            <w:gridSpan w:val="2"/>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2"/>
        </w:trPr>
        <w:tc>
          <w:tcPr>
            <w:tcW w:w="4140" w:type="dxa"/>
            <w:vAlign w:val="bottom"/>
            <w:tcBorders>
              <w:bottom w:val="single" w:sz="8" w:color="CCEEFF"/>
            </w:tcBorders>
            <w:vMerge w:val="continue"/>
          </w:tcPr>
          <w:p>
            <w:pPr>
              <w:spacing w:after="0"/>
              <w:rPr>
                <w:sz w:val="15"/>
                <w:szCs w:val="15"/>
                <w:color w:val="auto"/>
              </w:rPr>
            </w:pPr>
          </w:p>
        </w:tc>
        <w:tc>
          <w:tcPr>
            <w:tcW w:w="8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460" w:type="dxa"/>
            <w:vAlign w:val="bottom"/>
            <w:tcBorders>
              <w:bottom w:val="single" w:sz="8" w:color="auto"/>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39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5"/>
                <w:szCs w:val="15"/>
                <w:color w:val="auto"/>
              </w:rPr>
            </w:pPr>
          </w:p>
        </w:tc>
        <w:tc>
          <w:tcPr>
            <w:tcW w:w="1420" w:type="dxa"/>
            <w:vAlign w:val="bottom"/>
            <w:tcBorders>
              <w:bottom w:val="single" w:sz="8" w:color="auto"/>
            </w:tcBorders>
          </w:tcPr>
          <w:p>
            <w:pPr>
              <w:jc w:val="right"/>
              <w:ind w:right="50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5"/>
                <w:szCs w:val="15"/>
                <w:color w:val="auto"/>
              </w:rPr>
            </w:pPr>
          </w:p>
        </w:tc>
        <w:tc>
          <w:tcPr>
            <w:tcW w:w="1380" w:type="dxa"/>
            <w:vAlign w:val="bottom"/>
            <w:tcBorders>
              <w:bottom w:val="single" w:sz="8" w:color="auto"/>
            </w:tcBorders>
          </w:tcPr>
          <w:p>
            <w:pPr>
              <w:jc w:val="right"/>
              <w:ind w:right="47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5"/>
                <w:szCs w:val="15"/>
                <w:color w:val="auto"/>
              </w:rPr>
            </w:pPr>
          </w:p>
        </w:tc>
        <w:tc>
          <w:tcPr>
            <w:tcW w:w="1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2024 vs 2023</w:t>
            </w:r>
          </w:p>
        </w:tc>
        <w:tc>
          <w:tcPr>
            <w:tcW w:w="0" w:type="dxa"/>
            <w:vAlign w:val="bottom"/>
          </w:tcPr>
          <w:p>
            <w:pPr>
              <w:spacing w:after="0"/>
              <w:rPr>
                <w:sz w:val="1"/>
                <w:szCs w:val="1"/>
                <w:color w:val="auto"/>
              </w:rPr>
            </w:pPr>
          </w:p>
        </w:tc>
      </w:tr>
      <w:tr>
        <w:trPr>
          <w:trHeight w:val="219"/>
        </w:trPr>
        <w:tc>
          <w:tcPr>
            <w:tcW w:w="4140" w:type="dxa"/>
            <w:vAlign w:val="bottom"/>
            <w:shd w:val="clear" w:color="auto" w:fill="CCEEFF"/>
          </w:tcPr>
          <w:p>
            <w:pPr>
              <w:ind w:left="240"/>
              <w:spacing w:after="0" w:line="219" w:lineRule="exact"/>
              <w:rPr>
                <w:sz w:val="20"/>
                <w:szCs w:val="20"/>
                <w:color w:val="auto"/>
              </w:rPr>
            </w:pPr>
            <w:r>
              <w:rPr>
                <w:rFonts w:ascii="Times New Roman" w:cs="Times New Roman" w:eastAsia="Times New Roman" w:hAnsi="Times New Roman"/>
                <w:sz w:val="17"/>
                <w:szCs w:val="17"/>
                <w:color w:val="auto"/>
              </w:rPr>
              <w:t xml:space="preserve">Recurring revenue </w:t>
            </w:r>
            <w:r>
              <w:rPr>
                <w:rFonts w:ascii="Times New Roman" w:cs="Times New Roman" w:eastAsia="Times New Roman" w:hAnsi="Times New Roman"/>
                <w:sz w:val="22"/>
                <w:szCs w:val="22"/>
                <w:color w:val="auto"/>
                <w:vertAlign w:val="superscript"/>
              </w:rPr>
              <w:t>(1)</w:t>
            </w:r>
          </w:p>
        </w:tc>
        <w:tc>
          <w:tcPr>
            <w:tcW w:w="800" w:type="dxa"/>
            <w:vAlign w:val="bottom"/>
            <w:gridSpan w:val="2"/>
            <w:shd w:val="clear" w:color="auto" w:fill="CCEEFF"/>
          </w:tcPr>
          <w:p>
            <w:pPr>
              <w:jc w:val="right"/>
              <w:ind w:right="62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1,214</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1,216</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56.6 %</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51.0 %</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 %</w:t>
            </w:r>
          </w:p>
        </w:tc>
        <w:tc>
          <w:tcPr>
            <w:tcW w:w="0" w:type="dxa"/>
            <w:vAlign w:val="bottom"/>
          </w:tcPr>
          <w:p>
            <w:pPr>
              <w:spacing w:after="0"/>
              <w:rPr>
                <w:sz w:val="1"/>
                <w:szCs w:val="1"/>
                <w:color w:val="auto"/>
              </w:rPr>
            </w:pPr>
          </w:p>
        </w:tc>
      </w:tr>
      <w:tr>
        <w:trPr>
          <w:trHeight w:val="220"/>
        </w:trPr>
        <w:tc>
          <w:tcPr>
            <w:tcW w:w="41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7"/>
                <w:szCs w:val="17"/>
                <w:color w:val="auto"/>
              </w:rPr>
              <w:t>All other products and services</w:t>
            </w:r>
          </w:p>
        </w:tc>
        <w:tc>
          <w:tcPr>
            <w:tcW w:w="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930</w:t>
            </w:r>
          </w:p>
        </w:tc>
        <w:tc>
          <w:tcPr>
            <w:tcW w:w="2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1,166</w:t>
            </w:r>
          </w:p>
        </w:tc>
        <w:tc>
          <w:tcPr>
            <w:tcW w:w="100" w:type="dxa"/>
            <w:vAlign w:val="bottom"/>
            <w:tcBorders>
              <w:bottom w:val="single" w:sz="8" w:color="CCEEFF"/>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43.4 %</w:t>
            </w:r>
          </w:p>
        </w:tc>
        <w:tc>
          <w:tcPr>
            <w:tcW w:w="100" w:type="dxa"/>
            <w:vAlign w:val="bottom"/>
            <w:tcBorders>
              <w:bottom w:val="single" w:sz="8" w:color="CCEEFF"/>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49.0 %</w:t>
            </w:r>
          </w:p>
        </w:tc>
        <w:tc>
          <w:tcPr>
            <w:tcW w:w="100" w:type="dxa"/>
            <w:vAlign w:val="bottom"/>
            <w:tcBorders>
              <w:bottom w:val="single" w:sz="8" w:color="CCEEFF"/>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w:t>
            </w:r>
          </w:p>
        </w:tc>
        <w:tc>
          <w:tcPr>
            <w:tcW w:w="0" w:type="dxa"/>
            <w:vAlign w:val="bottom"/>
          </w:tcPr>
          <w:p>
            <w:pPr>
              <w:spacing w:after="0"/>
              <w:rPr>
                <w:sz w:val="1"/>
                <w:szCs w:val="1"/>
                <w:color w:val="auto"/>
              </w:rPr>
            </w:pPr>
          </w:p>
        </w:tc>
      </w:tr>
      <w:tr>
        <w:trPr>
          <w:trHeight w:val="238"/>
        </w:trPr>
        <w:tc>
          <w:tcPr>
            <w:tcW w:w="4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Total Revenue</w:t>
            </w:r>
          </w:p>
        </w:tc>
        <w:tc>
          <w:tcPr>
            <w:tcW w:w="800" w:type="dxa"/>
            <w:vAlign w:val="bottom"/>
            <w:tcBorders>
              <w:bottom w:val="single" w:sz="8" w:color="auto"/>
            </w:tcBorders>
            <w:gridSpan w:val="2"/>
            <w:shd w:val="clear" w:color="auto" w:fill="CCEEFF"/>
          </w:tcPr>
          <w:p>
            <w:pPr>
              <w:jc w:val="right"/>
              <w:ind w:right="62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2,144</w:t>
            </w:r>
          </w:p>
        </w:tc>
        <w:tc>
          <w:tcPr>
            <w:tcW w:w="2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2,382</w:t>
            </w:r>
          </w:p>
        </w:tc>
        <w:tc>
          <w:tcPr>
            <w:tcW w:w="10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100.0 %</w:t>
            </w:r>
          </w:p>
        </w:tc>
        <w:tc>
          <w:tcPr>
            <w:tcW w:w="10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100.0 %</w:t>
            </w:r>
          </w:p>
        </w:tc>
        <w:tc>
          <w:tcPr>
            <w:tcW w:w="10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w:t>
            </w:r>
          </w:p>
        </w:tc>
        <w:tc>
          <w:tcPr>
            <w:tcW w:w="0" w:type="dxa"/>
            <w:vAlign w:val="bottom"/>
          </w:tcPr>
          <w:p>
            <w:pPr>
              <w:spacing w:after="0"/>
              <w:rPr>
                <w:sz w:val="1"/>
                <w:szCs w:val="1"/>
                <w:color w:val="auto"/>
              </w:rPr>
            </w:pPr>
          </w:p>
        </w:tc>
      </w:tr>
      <w:tr>
        <w:trPr>
          <w:trHeight w:val="20"/>
        </w:trPr>
        <w:tc>
          <w:tcPr>
            <w:tcW w:w="41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7" w:lineRule="exact"/>
        <w:rPr>
          <w:sz w:val="20"/>
          <w:szCs w:val="20"/>
          <w:color w:val="auto"/>
        </w:rPr>
      </w:pPr>
    </w:p>
    <w:p>
      <w:pPr>
        <w:ind w:left="240" w:hanging="236"/>
        <w:spacing w:after="0" w:line="272" w:lineRule="auto"/>
        <w:tabs>
          <w:tab w:leader="none" w:pos="150" w:val="left"/>
        </w:tabs>
        <w:numPr>
          <w:ilvl w:val="0"/>
          <w:numId w:val="11"/>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Recurring revenue includes all revenue streams from contracts where there is a predictable revenue pattern that will occur at regular intervals with a relatively high degree of certainty. This includes hardware and software maintenance revenue, cloud revenue, payment processing revenue and certain professional services arrangements as well as term-based software license arrangements that include customer termination rights.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Revenue by type</w:t>
      </w:r>
    </w:p>
    <w:p>
      <w:pPr>
        <w:spacing w:after="0" w:line="49" w:lineRule="exact"/>
        <w:rPr>
          <w:sz w:val="20"/>
          <w:szCs w:val="20"/>
          <w:color w:val="auto"/>
        </w:rPr>
      </w:pPr>
    </w:p>
    <w:tbl>
      <w:tblPr>
        <w:tblLayout w:type="fixed"/>
        <w:tblInd w:w="20" w:type="dxa"/>
        <w:tblCellMar>
          <w:top w:w="0" w:type="dxa"/>
          <w:left w:w="0" w:type="dxa"/>
          <w:bottom w:w="0" w:type="dxa"/>
          <w:right w:w="0" w:type="dxa"/>
        </w:tblCellMar>
      </w:tblPr>
      <w:tr>
        <w:trPr>
          <w:trHeight w:val="183"/>
        </w:trPr>
        <w:tc>
          <w:tcPr>
            <w:tcW w:w="4080" w:type="dxa"/>
            <w:vAlign w:val="bottom"/>
          </w:tcPr>
          <w:p>
            <w:pPr>
              <w:spacing w:after="0"/>
              <w:rPr>
                <w:sz w:val="15"/>
                <w:szCs w:val="15"/>
                <w:color w:val="auto"/>
              </w:rPr>
            </w:pPr>
          </w:p>
        </w:tc>
        <w:tc>
          <w:tcPr>
            <w:tcW w:w="2740" w:type="dxa"/>
            <w:vAlign w:val="bottom"/>
            <w:gridSpan w:val="3"/>
          </w:tcPr>
          <w:p>
            <w:pPr>
              <w:ind w:left="30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3000" w:type="dxa"/>
            <w:vAlign w:val="bottom"/>
            <w:gridSpan w:val="3"/>
          </w:tcPr>
          <w:p>
            <w:pPr>
              <w:ind w:left="620"/>
              <w:spacing w:after="0"/>
              <w:rPr>
                <w:sz w:val="20"/>
                <w:szCs w:val="20"/>
                <w:color w:val="auto"/>
              </w:rPr>
            </w:pPr>
            <w:r>
              <w:rPr>
                <w:rFonts w:ascii="Times New Roman" w:cs="Times New Roman" w:eastAsia="Times New Roman" w:hAnsi="Times New Roman"/>
                <w:sz w:val="14"/>
                <w:szCs w:val="14"/>
                <w:b w:val="1"/>
                <w:bCs w:val="1"/>
                <w:color w:val="auto"/>
              </w:rPr>
              <w:t>Percentage of Total Revenue</w:t>
            </w:r>
          </w:p>
        </w:tc>
        <w:tc>
          <w:tcPr>
            <w:tcW w:w="14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Increase (Decrease)</w:t>
            </w:r>
          </w:p>
        </w:tc>
        <w:tc>
          <w:tcPr>
            <w:tcW w:w="0" w:type="dxa"/>
            <w:vAlign w:val="bottom"/>
          </w:tcPr>
          <w:p>
            <w:pPr>
              <w:spacing w:after="0"/>
              <w:rPr>
                <w:sz w:val="1"/>
                <w:szCs w:val="1"/>
                <w:color w:val="auto"/>
              </w:rPr>
            </w:pPr>
          </w:p>
        </w:tc>
      </w:tr>
      <w:tr>
        <w:trPr>
          <w:trHeight w:val="23"/>
        </w:trPr>
        <w:tc>
          <w:tcPr>
            <w:tcW w:w="40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3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6"/>
        </w:trPr>
        <w:tc>
          <w:tcPr>
            <w:tcW w:w="4080" w:type="dxa"/>
            <w:vAlign w:val="bottom"/>
            <w:vMerge w:val="continue"/>
          </w:tcPr>
          <w:p>
            <w:pPr>
              <w:spacing w:after="0"/>
              <w:rPr>
                <w:sz w:val="15"/>
                <w:szCs w:val="15"/>
                <w:color w:val="auto"/>
              </w:rPr>
            </w:pPr>
          </w:p>
        </w:tc>
        <w:tc>
          <w:tcPr>
            <w:tcW w:w="1320" w:type="dxa"/>
            <w:vAlign w:val="bottom"/>
          </w:tcPr>
          <w:p>
            <w:pPr>
              <w:jc w:val="right"/>
              <w:ind w:right="47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320" w:type="dxa"/>
            <w:vAlign w:val="bottom"/>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5"/>
                <w:szCs w:val="15"/>
                <w:color w:val="auto"/>
              </w:rPr>
            </w:pPr>
          </w:p>
        </w:tc>
        <w:tc>
          <w:tcPr>
            <w:tcW w:w="1460" w:type="dxa"/>
            <w:vAlign w:val="bottom"/>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40" w:type="dxa"/>
            <w:vAlign w:val="bottom"/>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5"/>
                <w:szCs w:val="15"/>
                <w:color w:val="auto"/>
              </w:rPr>
            </w:pPr>
          </w:p>
        </w:tc>
        <w:tc>
          <w:tcPr>
            <w:tcW w:w="14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2024 vs 2023</w:t>
            </w: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41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Software and services revenue</w:t>
            </w:r>
          </w:p>
        </w:tc>
        <w:tc>
          <w:tcPr>
            <w:tcW w:w="200" w:type="dxa"/>
            <w:vAlign w:val="bottom"/>
            <w:tcBorders>
              <w:top w:val="single" w:sz="8" w:color="auto"/>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517</w:t>
            </w:r>
          </w:p>
        </w:tc>
        <w:tc>
          <w:tcPr>
            <w:tcW w:w="8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540</w:t>
            </w:r>
          </w:p>
        </w:tc>
        <w:tc>
          <w:tcPr>
            <w:tcW w:w="100" w:type="dxa"/>
            <w:vAlign w:val="bottom"/>
            <w:tcBorders>
              <w:top w:val="single" w:sz="8" w:color="CCEEFF"/>
            </w:tcBorders>
            <w:shd w:val="clear" w:color="auto" w:fill="CCEEFF"/>
          </w:tcPr>
          <w:p>
            <w:pPr>
              <w:spacing w:after="0"/>
              <w:rPr>
                <w:sz w:val="19"/>
                <w:szCs w:val="19"/>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72.7 %</w:t>
            </w:r>
          </w:p>
        </w:tc>
        <w:tc>
          <w:tcPr>
            <w:tcW w:w="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66.7 %</w:t>
            </w:r>
          </w:p>
        </w:tc>
        <w:tc>
          <w:tcPr>
            <w:tcW w:w="100" w:type="dxa"/>
            <w:vAlign w:val="bottom"/>
            <w:tcBorders>
              <w:top w:val="single" w:sz="8" w:color="CCEEFF"/>
            </w:tcBorders>
            <w:shd w:val="clear" w:color="auto" w:fill="CCEEFF"/>
          </w:tcPr>
          <w:p>
            <w:pPr>
              <w:spacing w:after="0"/>
              <w:rPr>
                <w:sz w:val="19"/>
                <w:szCs w:val="19"/>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0" w:type="dxa"/>
            <w:vAlign w:val="bottom"/>
          </w:tcPr>
          <w:p>
            <w:pPr>
              <w:spacing w:after="0"/>
              <w:rPr>
                <w:sz w:val="1"/>
                <w:szCs w:val="1"/>
                <w:color w:val="auto"/>
              </w:rPr>
            </w:pPr>
          </w:p>
        </w:tc>
      </w:tr>
      <w:tr>
        <w:trPr>
          <w:trHeight w:val="220"/>
        </w:trPr>
        <w:tc>
          <w:tcPr>
            <w:tcW w:w="4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Hardware revenue</w:t>
            </w:r>
          </w:p>
        </w:tc>
        <w:tc>
          <w:tcPr>
            <w:tcW w:w="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194</w:t>
            </w: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269</w:t>
            </w:r>
          </w:p>
        </w:tc>
        <w:tc>
          <w:tcPr>
            <w:tcW w:w="100" w:type="dxa"/>
            <w:vAlign w:val="bottom"/>
            <w:tcBorders>
              <w:bottom w:val="single" w:sz="8" w:color="CCEEFF"/>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27.3 %</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33.3 %</w:t>
            </w:r>
          </w:p>
        </w:tc>
        <w:tc>
          <w:tcPr>
            <w:tcW w:w="100" w:type="dxa"/>
            <w:vAlign w:val="bottom"/>
            <w:tcBorders>
              <w:bottom w:val="single" w:sz="8" w:color="CCEEFF"/>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(28)%</w:t>
            </w:r>
          </w:p>
        </w:tc>
        <w:tc>
          <w:tcPr>
            <w:tcW w:w="0" w:type="dxa"/>
            <w:vAlign w:val="bottom"/>
          </w:tcPr>
          <w:p>
            <w:pPr>
              <w:spacing w:after="0"/>
              <w:rPr>
                <w:sz w:val="1"/>
                <w:szCs w:val="1"/>
                <w:color w:val="auto"/>
              </w:rPr>
            </w:pPr>
          </w:p>
        </w:tc>
      </w:tr>
      <w:tr>
        <w:trPr>
          <w:trHeight w:val="238"/>
        </w:trPr>
        <w:tc>
          <w:tcPr>
            <w:tcW w:w="4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Total Revenue</w:t>
            </w:r>
          </w:p>
        </w:tc>
        <w:tc>
          <w:tcPr>
            <w:tcW w:w="200" w:type="dxa"/>
            <w:vAlign w:val="bottom"/>
            <w:tcBorders>
              <w:bottom w:val="single" w:sz="8" w:color="auto"/>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711</w:t>
            </w:r>
          </w:p>
        </w:tc>
        <w:tc>
          <w:tcPr>
            <w:tcW w:w="8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809</w:t>
            </w:r>
          </w:p>
        </w:tc>
        <w:tc>
          <w:tcPr>
            <w:tcW w:w="10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100.0 %</w:t>
            </w:r>
          </w:p>
        </w:tc>
        <w:tc>
          <w:tcPr>
            <w:tcW w:w="20" w:type="dxa"/>
            <w:vAlign w:val="bottom"/>
            <w:tcBorders>
              <w:bottom w:val="single" w:sz="8" w:color="auto"/>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100.0 %</w:t>
            </w:r>
          </w:p>
        </w:tc>
        <w:tc>
          <w:tcPr>
            <w:tcW w:w="10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w:t>
            </w:r>
          </w:p>
        </w:tc>
        <w:tc>
          <w:tcPr>
            <w:tcW w:w="0" w:type="dxa"/>
            <w:vAlign w:val="bottom"/>
          </w:tcPr>
          <w:p>
            <w:pPr>
              <w:spacing w:after="0"/>
              <w:rPr>
                <w:sz w:val="1"/>
                <w:szCs w:val="1"/>
                <w:color w:val="auto"/>
              </w:rPr>
            </w:pPr>
          </w:p>
        </w:tc>
      </w:tr>
      <w:tr>
        <w:trPr>
          <w:trHeight w:val="20"/>
        </w:trPr>
        <w:tc>
          <w:tcPr>
            <w:tcW w:w="4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7"/>
        </w:trPr>
        <w:tc>
          <w:tcPr>
            <w:tcW w:w="4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540" w:type="dxa"/>
            <w:vAlign w:val="bottom"/>
            <w:gridSpan w:val="6"/>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8"/>
              </w:rPr>
              <w:t>Nine months ended September 30</w:t>
            </w:r>
          </w:p>
        </w:tc>
        <w:tc>
          <w:tcPr>
            <w:tcW w:w="3000" w:type="dxa"/>
            <w:vAlign w:val="bottom"/>
            <w:gridSpan w:val="6"/>
          </w:tcPr>
          <w:p>
            <w:pPr>
              <w:ind w:left="620"/>
              <w:spacing w:after="0"/>
              <w:rPr>
                <w:sz w:val="20"/>
                <w:szCs w:val="20"/>
                <w:color w:val="auto"/>
              </w:rPr>
            </w:pPr>
            <w:r>
              <w:rPr>
                <w:rFonts w:ascii="Times New Roman" w:cs="Times New Roman" w:eastAsia="Times New Roman" w:hAnsi="Times New Roman"/>
                <w:sz w:val="14"/>
                <w:szCs w:val="14"/>
                <w:b w:val="1"/>
                <w:bCs w:val="1"/>
                <w:color w:val="auto"/>
              </w:rPr>
              <w:t>Percentage of Total Revenue</w:t>
            </w:r>
          </w:p>
        </w:tc>
        <w:tc>
          <w:tcPr>
            <w:tcW w:w="14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Increase (Decrease)</w:t>
            </w:r>
          </w:p>
        </w:tc>
        <w:tc>
          <w:tcPr>
            <w:tcW w:w="0" w:type="dxa"/>
            <w:vAlign w:val="bottom"/>
          </w:tcPr>
          <w:p>
            <w:pPr>
              <w:spacing w:after="0"/>
              <w:rPr>
                <w:sz w:val="1"/>
                <w:szCs w:val="1"/>
                <w:color w:val="auto"/>
              </w:rPr>
            </w:pPr>
          </w:p>
        </w:tc>
      </w:tr>
      <w:tr>
        <w:trPr>
          <w:trHeight w:val="23"/>
        </w:trPr>
        <w:tc>
          <w:tcPr>
            <w:tcW w:w="41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2"/>
        </w:trPr>
        <w:tc>
          <w:tcPr>
            <w:tcW w:w="4100" w:type="dxa"/>
            <w:vAlign w:val="bottom"/>
            <w:tcBorders>
              <w:bottom w:val="single" w:sz="8" w:color="CCEEFF"/>
            </w:tcBorders>
            <w:vMerge w:val="continue"/>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417"/>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5"/>
                <w:szCs w:val="15"/>
                <w:color w:val="auto"/>
              </w:rPr>
            </w:pPr>
          </w:p>
        </w:tc>
        <w:tc>
          <w:tcPr>
            <w:tcW w:w="140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380" w:type="dxa"/>
            <w:vAlign w:val="bottom"/>
            <w:tcBorders>
              <w:bottom w:val="single" w:sz="8" w:color="auto"/>
            </w:tcBorders>
          </w:tcPr>
          <w:p>
            <w:pPr>
              <w:jc w:val="right"/>
              <w:ind w:right="477"/>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5"/>
                <w:szCs w:val="15"/>
                <w:color w:val="auto"/>
              </w:rPr>
            </w:pPr>
          </w:p>
        </w:tc>
        <w:tc>
          <w:tcPr>
            <w:tcW w:w="1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2024 vs 2023</w:t>
            </w:r>
          </w:p>
        </w:tc>
        <w:tc>
          <w:tcPr>
            <w:tcW w:w="0" w:type="dxa"/>
            <w:vAlign w:val="bottom"/>
          </w:tcPr>
          <w:p>
            <w:pPr>
              <w:spacing w:after="0"/>
              <w:rPr>
                <w:sz w:val="1"/>
                <w:szCs w:val="1"/>
                <w:color w:val="auto"/>
              </w:rPr>
            </w:pPr>
          </w:p>
        </w:tc>
      </w:tr>
      <w:tr>
        <w:trPr>
          <w:trHeight w:val="219"/>
        </w:trPr>
        <w:tc>
          <w:tcPr>
            <w:tcW w:w="4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Software and services revenue</w:t>
            </w:r>
          </w:p>
        </w:tc>
        <w:tc>
          <w:tcPr>
            <w:tcW w:w="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1,534</w:t>
            </w:r>
          </w:p>
        </w:tc>
        <w:tc>
          <w:tcPr>
            <w:tcW w:w="80" w:type="dxa"/>
            <w:vAlign w:val="bottom"/>
            <w:shd w:val="clear" w:color="auto" w:fill="CCEEFF"/>
          </w:tcPr>
          <w:p>
            <w:pPr>
              <w:spacing w:after="0"/>
              <w:rPr>
                <w:sz w:val="19"/>
                <w:szCs w:val="19"/>
                <w:color w:val="auto"/>
              </w:rPr>
            </w:pPr>
          </w:p>
        </w:tc>
        <w:tc>
          <w:tcPr>
            <w:tcW w:w="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1,585</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71.5 %</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66.5 %</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0" w:type="dxa"/>
            <w:vAlign w:val="bottom"/>
          </w:tcPr>
          <w:p>
            <w:pPr>
              <w:spacing w:after="0"/>
              <w:rPr>
                <w:sz w:val="1"/>
                <w:szCs w:val="1"/>
                <w:color w:val="auto"/>
              </w:rPr>
            </w:pPr>
          </w:p>
        </w:tc>
      </w:tr>
      <w:tr>
        <w:trPr>
          <w:trHeight w:val="220"/>
        </w:trPr>
        <w:tc>
          <w:tcPr>
            <w:tcW w:w="4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Hardware revenue</w:t>
            </w:r>
          </w:p>
        </w:tc>
        <w:tc>
          <w:tcPr>
            <w:tcW w:w="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610</w:t>
            </w: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797</w:t>
            </w:r>
          </w:p>
        </w:tc>
        <w:tc>
          <w:tcPr>
            <w:tcW w:w="100" w:type="dxa"/>
            <w:vAlign w:val="bottom"/>
            <w:tcBorders>
              <w:bottom w:val="single" w:sz="8" w:color="CCEEFF"/>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28.5 %</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33.5 %</w:t>
            </w:r>
          </w:p>
        </w:tc>
        <w:tc>
          <w:tcPr>
            <w:tcW w:w="100" w:type="dxa"/>
            <w:vAlign w:val="bottom"/>
            <w:tcBorders>
              <w:bottom w:val="single" w:sz="8" w:color="CCEEFF"/>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(23)%</w:t>
            </w:r>
          </w:p>
        </w:tc>
        <w:tc>
          <w:tcPr>
            <w:tcW w:w="0" w:type="dxa"/>
            <w:vAlign w:val="bottom"/>
          </w:tcPr>
          <w:p>
            <w:pPr>
              <w:spacing w:after="0"/>
              <w:rPr>
                <w:sz w:val="1"/>
                <w:szCs w:val="1"/>
                <w:color w:val="auto"/>
              </w:rPr>
            </w:pPr>
          </w:p>
        </w:tc>
      </w:tr>
      <w:tr>
        <w:trPr>
          <w:trHeight w:val="238"/>
        </w:trPr>
        <w:tc>
          <w:tcPr>
            <w:tcW w:w="4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Total Revenue</w:t>
            </w:r>
          </w:p>
        </w:tc>
        <w:tc>
          <w:tcPr>
            <w:tcW w:w="200" w:type="dxa"/>
            <w:vAlign w:val="bottom"/>
            <w:tcBorders>
              <w:bottom w:val="single" w:sz="8" w:color="auto"/>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2,144</w:t>
            </w:r>
          </w:p>
        </w:tc>
        <w:tc>
          <w:tcPr>
            <w:tcW w:w="8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2,382</w:t>
            </w:r>
          </w:p>
        </w:tc>
        <w:tc>
          <w:tcPr>
            <w:tcW w:w="10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100.0 %</w:t>
            </w:r>
          </w:p>
        </w:tc>
        <w:tc>
          <w:tcPr>
            <w:tcW w:w="20" w:type="dxa"/>
            <w:vAlign w:val="bottom"/>
            <w:tcBorders>
              <w:bottom w:val="single" w:sz="8" w:color="auto"/>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100.0 %</w:t>
            </w:r>
          </w:p>
        </w:tc>
        <w:tc>
          <w:tcPr>
            <w:tcW w:w="10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w:t>
            </w:r>
          </w:p>
        </w:tc>
        <w:tc>
          <w:tcPr>
            <w:tcW w:w="0" w:type="dxa"/>
            <w:vAlign w:val="bottom"/>
          </w:tcPr>
          <w:p>
            <w:pPr>
              <w:spacing w:after="0"/>
              <w:rPr>
                <w:sz w:val="1"/>
                <w:szCs w:val="1"/>
                <w:color w:val="auto"/>
              </w:rPr>
            </w:pPr>
          </w:p>
        </w:tc>
      </w:tr>
      <w:tr>
        <w:trPr>
          <w:trHeight w:val="20"/>
        </w:trPr>
        <w:tc>
          <w:tcPr>
            <w:tcW w:w="4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8"/>
        </w:trPr>
        <w:tc>
          <w:tcPr>
            <w:tcW w:w="9840" w:type="dxa"/>
            <w:vAlign w:val="bottom"/>
            <w:gridSpan w:val="15"/>
          </w:tcPr>
          <w:p>
            <w:pPr>
              <w:spacing w:after="0"/>
              <w:rPr>
                <w:sz w:val="20"/>
                <w:szCs w:val="20"/>
                <w:color w:val="auto"/>
              </w:rPr>
            </w:pPr>
            <w:r>
              <w:rPr>
                <w:rFonts w:ascii="Times New Roman" w:cs="Times New Roman" w:eastAsia="Times New Roman" w:hAnsi="Times New Roman"/>
                <w:sz w:val="17"/>
                <w:szCs w:val="17"/>
                <w:b w:val="1"/>
                <w:bCs w:val="1"/>
                <w:i w:val="1"/>
                <w:iCs w:val="1"/>
                <w:color w:val="auto"/>
              </w:rPr>
              <w:t>Net income (loss) from continuing operations attributable to NCR Voyix and Adjusted EBITDA</w:t>
            </w:r>
            <w:r>
              <w:rPr>
                <w:rFonts w:ascii="Times New Roman" w:cs="Times New Roman" w:eastAsia="Times New Roman" w:hAnsi="Times New Roman"/>
                <w:sz w:val="22"/>
                <w:szCs w:val="22"/>
                <w:b w:val="1"/>
                <w:bCs w:val="1"/>
                <w:i w:val="1"/>
                <w:iCs w:val="1"/>
                <w:color w:val="auto"/>
                <w:vertAlign w:val="superscript"/>
              </w:rPr>
              <w:t>(2)</w:t>
            </w:r>
            <w:r>
              <w:rPr>
                <w:rFonts w:ascii="Times New Roman" w:cs="Times New Roman" w:eastAsia="Times New Roman" w:hAnsi="Times New Roman"/>
                <w:sz w:val="17"/>
                <w:szCs w:val="17"/>
                <w:b w:val="1"/>
                <w:bCs w:val="1"/>
                <w:i w:val="1"/>
                <w:iCs w:val="1"/>
                <w:color w:val="auto"/>
              </w:rPr>
              <w:t xml:space="preserve"> as a percentage of total revenue</w:t>
            </w: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4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540" w:type="dxa"/>
            <w:vAlign w:val="bottom"/>
            <w:gridSpan w:val="6"/>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8"/>
              </w:rPr>
              <w:t>Three months ended September 30</w:t>
            </w:r>
          </w:p>
        </w:tc>
        <w:tc>
          <w:tcPr>
            <w:tcW w:w="3000" w:type="dxa"/>
            <w:vAlign w:val="bottom"/>
            <w:gridSpan w:val="6"/>
          </w:tcPr>
          <w:p>
            <w:pPr>
              <w:ind w:left="620"/>
              <w:spacing w:after="0"/>
              <w:rPr>
                <w:sz w:val="20"/>
                <w:szCs w:val="20"/>
                <w:color w:val="auto"/>
              </w:rPr>
            </w:pPr>
            <w:r>
              <w:rPr>
                <w:rFonts w:ascii="Times New Roman" w:cs="Times New Roman" w:eastAsia="Times New Roman" w:hAnsi="Times New Roman"/>
                <w:sz w:val="14"/>
                <w:szCs w:val="14"/>
                <w:b w:val="1"/>
                <w:bCs w:val="1"/>
                <w:color w:val="auto"/>
              </w:rPr>
              <w:t>Percentage of Total Revenue</w:t>
            </w:r>
          </w:p>
        </w:tc>
        <w:tc>
          <w:tcPr>
            <w:tcW w:w="14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Increase (Decrease)</w:t>
            </w:r>
          </w:p>
        </w:tc>
        <w:tc>
          <w:tcPr>
            <w:tcW w:w="0" w:type="dxa"/>
            <w:vAlign w:val="bottom"/>
          </w:tcPr>
          <w:p>
            <w:pPr>
              <w:spacing w:after="0"/>
              <w:rPr>
                <w:sz w:val="1"/>
                <w:szCs w:val="1"/>
                <w:color w:val="auto"/>
              </w:rPr>
            </w:pPr>
          </w:p>
        </w:tc>
      </w:tr>
      <w:tr>
        <w:trPr>
          <w:trHeight w:val="23"/>
        </w:trPr>
        <w:tc>
          <w:tcPr>
            <w:tcW w:w="41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2"/>
        </w:trPr>
        <w:tc>
          <w:tcPr>
            <w:tcW w:w="4100" w:type="dxa"/>
            <w:vAlign w:val="bottom"/>
            <w:tcBorders>
              <w:bottom w:val="single" w:sz="8" w:color="CCEEFF"/>
            </w:tcBorders>
            <w:vMerge w:val="continue"/>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417"/>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5"/>
                <w:szCs w:val="15"/>
                <w:color w:val="auto"/>
              </w:rPr>
            </w:pPr>
          </w:p>
        </w:tc>
        <w:tc>
          <w:tcPr>
            <w:tcW w:w="140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ind w:right="477"/>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5"/>
                <w:szCs w:val="15"/>
                <w:color w:val="auto"/>
              </w:rPr>
            </w:pPr>
          </w:p>
        </w:tc>
        <w:tc>
          <w:tcPr>
            <w:tcW w:w="1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2024 vs 2023</w:t>
            </w:r>
          </w:p>
        </w:tc>
        <w:tc>
          <w:tcPr>
            <w:tcW w:w="0" w:type="dxa"/>
            <w:vAlign w:val="bottom"/>
          </w:tcPr>
          <w:p>
            <w:pPr>
              <w:spacing w:after="0"/>
              <w:rPr>
                <w:sz w:val="1"/>
                <w:szCs w:val="1"/>
                <w:color w:val="auto"/>
              </w:rPr>
            </w:pPr>
          </w:p>
        </w:tc>
      </w:tr>
      <w:tr>
        <w:trPr>
          <w:trHeight w:val="154"/>
        </w:trPr>
        <w:tc>
          <w:tcPr>
            <w:tcW w:w="4100" w:type="dxa"/>
            <w:vAlign w:val="bottom"/>
            <w:shd w:val="clear" w:color="auto" w:fill="CCEEFF"/>
          </w:tcPr>
          <w:p>
            <w:pPr>
              <w:ind w:left="220"/>
              <w:spacing w:after="0" w:line="154" w:lineRule="exact"/>
              <w:rPr>
                <w:sz w:val="20"/>
                <w:szCs w:val="20"/>
                <w:color w:val="auto"/>
              </w:rPr>
            </w:pPr>
            <w:r>
              <w:rPr>
                <w:rFonts w:ascii="Times New Roman" w:cs="Times New Roman" w:eastAsia="Times New Roman" w:hAnsi="Times New Roman"/>
                <w:sz w:val="17"/>
                <w:szCs w:val="17"/>
                <w:color w:val="auto"/>
              </w:rPr>
              <w:t>Net income (loss) from continuing operations</w:t>
            </w:r>
          </w:p>
        </w:tc>
        <w:tc>
          <w:tcPr>
            <w:tcW w:w="20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b w:val="1"/>
                <w:bCs w:val="1"/>
                <w:color w:val="auto"/>
              </w:rPr>
              <w:t>$</w:t>
            </w:r>
          </w:p>
        </w:tc>
        <w:tc>
          <w:tcPr>
            <w:tcW w:w="10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(31)</w:t>
            </w: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(4.4)%</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3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33"/>
        </w:trPr>
        <w:tc>
          <w:tcPr>
            <w:tcW w:w="41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attributable to NCR Voyix</w:t>
            </w:r>
          </w:p>
        </w:tc>
        <w:tc>
          <w:tcPr>
            <w:tcW w:w="200" w:type="dxa"/>
            <w:vAlign w:val="bottom"/>
            <w:gridSpan w:val="2"/>
            <w:vMerge w:val="continue"/>
            <w:shd w:val="clear" w:color="auto" w:fill="CCEEFF"/>
          </w:tcPr>
          <w:p>
            <w:pPr>
              <w:spacing w:after="0"/>
              <w:rPr>
                <w:sz w:val="20"/>
                <w:szCs w:val="20"/>
                <w:color w:val="auto"/>
              </w:rPr>
            </w:pPr>
          </w:p>
        </w:tc>
        <w:tc>
          <w:tcPr>
            <w:tcW w:w="1080" w:type="dxa"/>
            <w:vAlign w:val="bottom"/>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(266)</w:t>
            </w:r>
          </w:p>
        </w:tc>
        <w:tc>
          <w:tcPr>
            <w:tcW w:w="100" w:type="dxa"/>
            <w:vAlign w:val="bottom"/>
            <w:shd w:val="clear" w:color="auto" w:fill="CCEEFF"/>
          </w:tcPr>
          <w:p>
            <w:pPr>
              <w:spacing w:after="0"/>
              <w:rPr>
                <w:sz w:val="20"/>
                <w:szCs w:val="20"/>
                <w:color w:val="auto"/>
              </w:rPr>
            </w:pPr>
          </w:p>
        </w:tc>
        <w:tc>
          <w:tcPr>
            <w:tcW w:w="1400" w:type="dxa"/>
            <w:vAlign w:val="bottom"/>
            <w:vMerge w:val="continue"/>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(32.9)%</w:t>
            </w:r>
          </w:p>
        </w:tc>
        <w:tc>
          <w:tcPr>
            <w:tcW w:w="100" w:type="dxa"/>
            <w:vAlign w:val="bottom"/>
            <w:shd w:val="clear" w:color="auto" w:fill="CCEEFF"/>
          </w:tcPr>
          <w:p>
            <w:pPr>
              <w:spacing w:after="0"/>
              <w:rPr>
                <w:sz w:val="20"/>
                <w:szCs w:val="20"/>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(88)%</w:t>
            </w:r>
          </w:p>
        </w:tc>
        <w:tc>
          <w:tcPr>
            <w:tcW w:w="0" w:type="dxa"/>
            <w:vAlign w:val="bottom"/>
          </w:tcPr>
          <w:p>
            <w:pPr>
              <w:spacing w:after="0"/>
              <w:rPr>
                <w:sz w:val="1"/>
                <w:szCs w:val="1"/>
                <w:color w:val="auto"/>
              </w:rPr>
            </w:pPr>
          </w:p>
        </w:tc>
      </w:tr>
      <w:tr>
        <w:trPr>
          <w:trHeight w:val="228"/>
        </w:trPr>
        <w:tc>
          <w:tcPr>
            <w:tcW w:w="41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Adjusted EBITDA</w:t>
            </w:r>
          </w:p>
        </w:tc>
        <w:tc>
          <w:tcPr>
            <w:tcW w:w="20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b w:val="1"/>
                <w:bCs w:val="1"/>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93</w:t>
            </w:r>
          </w:p>
        </w:tc>
        <w:tc>
          <w:tcPr>
            <w:tcW w:w="80" w:type="dxa"/>
            <w:vAlign w:val="bottom"/>
          </w:tcPr>
          <w:p>
            <w:pPr>
              <w:spacing w:after="0"/>
              <w:rPr>
                <w:sz w:val="19"/>
                <w:szCs w:val="19"/>
                <w:color w:val="auto"/>
              </w:rPr>
            </w:pPr>
          </w:p>
        </w:tc>
        <w:tc>
          <w:tcPr>
            <w:tcW w:w="32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103</w:t>
            </w:r>
          </w:p>
        </w:tc>
        <w:tc>
          <w:tcPr>
            <w:tcW w:w="1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13.1 %</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12.7 %</w:t>
            </w:r>
          </w:p>
        </w:tc>
        <w:tc>
          <w:tcPr>
            <w:tcW w:w="1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w:t>
            </w: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160" w:hanging="156"/>
        <w:spacing w:after="0"/>
        <w:tabs>
          <w:tab w:leader="none" w:pos="160" w:val="left"/>
        </w:tabs>
        <w:numPr>
          <w:ilvl w:val="0"/>
          <w:numId w:val="12"/>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6"/>
          <w:szCs w:val="16"/>
          <w:color w:val="auto"/>
        </w:rPr>
        <w:t>Refer to our definition of Adjusted EBITDA in the section entitled “Non-GAAP Financial Measures and Use of Certain Terms.”</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4120" w:type="dxa"/>
            <w:vAlign w:val="bottom"/>
          </w:tcPr>
          <w:p>
            <w:pPr>
              <w:spacing w:after="0"/>
              <w:rPr>
                <w:sz w:val="15"/>
                <w:szCs w:val="15"/>
                <w:color w:val="auto"/>
              </w:rPr>
            </w:pPr>
          </w:p>
        </w:tc>
        <w:tc>
          <w:tcPr>
            <w:tcW w:w="2140" w:type="dxa"/>
            <w:vAlign w:val="bottom"/>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 ended September</w:t>
            </w:r>
          </w:p>
        </w:tc>
        <w:tc>
          <w:tcPr>
            <w:tcW w:w="480" w:type="dxa"/>
            <w:vAlign w:val="bottom"/>
          </w:tcPr>
          <w:p>
            <w:pPr>
              <w:jc w:val="right"/>
              <w:ind w:right="239"/>
              <w:spacing w:after="0"/>
              <w:rPr>
                <w:sz w:val="20"/>
                <w:szCs w:val="20"/>
                <w:color w:val="auto"/>
              </w:rPr>
            </w:pPr>
            <w:r>
              <w:rPr>
                <w:rFonts w:ascii="Times New Roman" w:cs="Times New Roman" w:eastAsia="Times New Roman" w:hAnsi="Times New Roman"/>
                <w:sz w:val="14"/>
                <w:szCs w:val="14"/>
                <w:b w:val="1"/>
                <w:bCs w:val="1"/>
                <w:color w:val="auto"/>
                <w:w w:val="99"/>
              </w:rPr>
              <w:t>30</w:t>
            </w:r>
          </w:p>
        </w:tc>
        <w:tc>
          <w:tcPr>
            <w:tcW w:w="100" w:type="dxa"/>
            <w:vAlign w:val="bottom"/>
          </w:tcPr>
          <w:p>
            <w:pPr>
              <w:spacing w:after="0"/>
              <w:rPr>
                <w:sz w:val="15"/>
                <w:szCs w:val="15"/>
                <w:color w:val="auto"/>
              </w:rPr>
            </w:pPr>
          </w:p>
        </w:tc>
        <w:tc>
          <w:tcPr>
            <w:tcW w:w="3000" w:type="dxa"/>
            <w:vAlign w:val="bottom"/>
            <w:gridSpan w:val="4"/>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Percentage of Total Revenue</w:t>
            </w:r>
          </w:p>
        </w:tc>
        <w:tc>
          <w:tcPr>
            <w:tcW w:w="1400" w:type="dxa"/>
            <w:vAlign w:val="bottom"/>
          </w:tcPr>
          <w:p>
            <w:pPr>
              <w:jc w:val="right"/>
              <w:ind w:right="42"/>
              <w:spacing w:after="0"/>
              <w:rPr>
                <w:sz w:val="20"/>
                <w:szCs w:val="20"/>
                <w:color w:val="auto"/>
              </w:rPr>
            </w:pPr>
            <w:r>
              <w:rPr>
                <w:rFonts w:ascii="Times New Roman" w:cs="Times New Roman" w:eastAsia="Times New Roman" w:hAnsi="Times New Roman"/>
                <w:sz w:val="14"/>
                <w:szCs w:val="14"/>
                <w:b w:val="1"/>
                <w:bCs w:val="1"/>
                <w:color w:val="auto"/>
              </w:rPr>
              <w:t>Increase (Decrease)</w:t>
            </w:r>
          </w:p>
        </w:tc>
        <w:tc>
          <w:tcPr>
            <w:tcW w:w="0" w:type="dxa"/>
            <w:vAlign w:val="bottom"/>
          </w:tcPr>
          <w:p>
            <w:pPr>
              <w:spacing w:after="0"/>
              <w:rPr>
                <w:sz w:val="1"/>
                <w:szCs w:val="1"/>
                <w:color w:val="auto"/>
              </w:rPr>
            </w:pPr>
          </w:p>
        </w:tc>
      </w:tr>
      <w:tr>
        <w:trPr>
          <w:trHeight w:val="23"/>
        </w:trPr>
        <w:tc>
          <w:tcPr>
            <w:tcW w:w="41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8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2"/>
        </w:trPr>
        <w:tc>
          <w:tcPr>
            <w:tcW w:w="4120" w:type="dxa"/>
            <w:vAlign w:val="bottom"/>
            <w:tcBorders>
              <w:bottom w:val="single" w:sz="8" w:color="CCEEFF"/>
            </w:tcBorders>
            <w:vMerge w:val="continue"/>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44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48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400" w:type="dxa"/>
            <w:vAlign w:val="bottom"/>
            <w:tcBorders>
              <w:bottom w:val="single" w:sz="8" w:color="auto"/>
            </w:tcBorders>
          </w:tcPr>
          <w:p>
            <w:pPr>
              <w:jc w:val="right"/>
              <w:ind w:right="48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5"/>
                <w:szCs w:val="15"/>
                <w:color w:val="auto"/>
              </w:rPr>
            </w:pPr>
          </w:p>
        </w:tc>
        <w:tc>
          <w:tcPr>
            <w:tcW w:w="140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5"/>
                <w:szCs w:val="15"/>
                <w:color w:val="auto"/>
              </w:rPr>
            </w:pPr>
          </w:p>
        </w:tc>
        <w:tc>
          <w:tcPr>
            <w:tcW w:w="1400" w:type="dxa"/>
            <w:vAlign w:val="bottom"/>
            <w:tcBorders>
              <w:bottom w:val="single" w:sz="8" w:color="auto"/>
            </w:tcBorders>
          </w:tcPr>
          <w:p>
            <w:pPr>
              <w:jc w:val="right"/>
              <w:ind w:right="242"/>
              <w:spacing w:after="0"/>
              <w:rPr>
                <w:sz w:val="20"/>
                <w:szCs w:val="20"/>
                <w:color w:val="auto"/>
              </w:rPr>
            </w:pPr>
            <w:r>
              <w:rPr>
                <w:rFonts w:ascii="Times New Roman" w:cs="Times New Roman" w:eastAsia="Times New Roman" w:hAnsi="Times New Roman"/>
                <w:sz w:val="14"/>
                <w:szCs w:val="14"/>
                <w:b w:val="1"/>
                <w:bCs w:val="1"/>
                <w:color w:val="auto"/>
              </w:rPr>
              <w:t>2024 vs 2023</w:t>
            </w:r>
          </w:p>
        </w:tc>
        <w:tc>
          <w:tcPr>
            <w:tcW w:w="0" w:type="dxa"/>
            <w:vAlign w:val="bottom"/>
          </w:tcPr>
          <w:p>
            <w:pPr>
              <w:spacing w:after="0"/>
              <w:rPr>
                <w:sz w:val="1"/>
                <w:szCs w:val="1"/>
                <w:color w:val="auto"/>
              </w:rPr>
            </w:pPr>
          </w:p>
        </w:tc>
      </w:tr>
      <w:tr>
        <w:trPr>
          <w:trHeight w:val="162"/>
        </w:trPr>
        <w:tc>
          <w:tcPr>
            <w:tcW w:w="4120" w:type="dxa"/>
            <w:vAlign w:val="bottom"/>
            <w:shd w:val="clear" w:color="auto" w:fill="CCEEFF"/>
          </w:tcPr>
          <w:p>
            <w:pPr>
              <w:ind w:left="220"/>
              <w:spacing w:after="0" w:line="162" w:lineRule="exact"/>
              <w:rPr>
                <w:sz w:val="20"/>
                <w:szCs w:val="20"/>
                <w:color w:val="auto"/>
              </w:rPr>
            </w:pPr>
            <w:r>
              <w:rPr>
                <w:rFonts w:ascii="Times New Roman" w:cs="Times New Roman" w:eastAsia="Times New Roman" w:hAnsi="Times New Roman"/>
                <w:sz w:val="17"/>
                <w:szCs w:val="17"/>
                <w:color w:val="auto"/>
              </w:rPr>
              <w:t>Net income (loss) from continuing operations</w:t>
            </w:r>
          </w:p>
        </w:tc>
        <w:tc>
          <w:tcPr>
            <w:tcW w:w="820" w:type="dxa"/>
            <w:vAlign w:val="bottom"/>
            <w:vMerge w:val="restart"/>
            <w:shd w:val="clear" w:color="auto" w:fill="CCEEFF"/>
          </w:tcPr>
          <w:p>
            <w:pPr>
              <w:jc w:val="right"/>
              <w:ind w:right="642"/>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4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(193)</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(9.0)%</w:t>
            </w:r>
          </w:p>
        </w:tc>
        <w:tc>
          <w:tcPr>
            <w:tcW w:w="100" w:type="dxa"/>
            <w:vAlign w:val="bottom"/>
            <w:shd w:val="clear" w:color="auto" w:fill="CCEEFF"/>
          </w:tcPr>
          <w:p>
            <w:pPr>
              <w:spacing w:after="0"/>
              <w:rPr>
                <w:sz w:val="14"/>
                <w:szCs w:val="14"/>
                <w:color w:val="auto"/>
              </w:rPr>
            </w:pPr>
          </w:p>
        </w:tc>
        <w:tc>
          <w:tcPr>
            <w:tcW w:w="14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26"/>
        </w:trPr>
        <w:tc>
          <w:tcPr>
            <w:tcW w:w="41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attributable to NCR</w:t>
            </w:r>
          </w:p>
        </w:tc>
        <w:tc>
          <w:tcPr>
            <w:tcW w:w="820" w:type="dxa"/>
            <w:vAlign w:val="bottom"/>
            <w:vMerge w:val="continue"/>
            <w:shd w:val="clear" w:color="auto" w:fill="CCEEFF"/>
          </w:tcPr>
          <w:p>
            <w:pPr>
              <w:spacing w:after="0"/>
              <w:rPr>
                <w:sz w:val="19"/>
                <w:szCs w:val="19"/>
                <w:color w:val="auto"/>
              </w:rPr>
            </w:pPr>
          </w:p>
        </w:tc>
        <w:tc>
          <w:tcPr>
            <w:tcW w:w="4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48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(457)</w:t>
            </w:r>
          </w:p>
        </w:tc>
        <w:tc>
          <w:tcPr>
            <w:tcW w:w="100" w:type="dxa"/>
            <w:vAlign w:val="bottom"/>
            <w:shd w:val="clear" w:color="auto" w:fill="CCEEFF"/>
          </w:tcPr>
          <w:p>
            <w:pPr>
              <w:spacing w:after="0"/>
              <w:rPr>
                <w:sz w:val="19"/>
                <w:szCs w:val="19"/>
                <w:color w:val="auto"/>
              </w:rPr>
            </w:pPr>
          </w:p>
        </w:tc>
        <w:tc>
          <w:tcPr>
            <w:tcW w:w="14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(19.2)%</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w:t>
            </w:r>
          </w:p>
        </w:tc>
        <w:tc>
          <w:tcPr>
            <w:tcW w:w="0" w:type="dxa"/>
            <w:vAlign w:val="bottom"/>
          </w:tcPr>
          <w:p>
            <w:pPr>
              <w:spacing w:after="0"/>
              <w:rPr>
                <w:sz w:val="1"/>
                <w:szCs w:val="1"/>
                <w:color w:val="auto"/>
              </w:rPr>
            </w:pPr>
          </w:p>
        </w:tc>
      </w:tr>
      <w:tr>
        <w:trPr>
          <w:trHeight w:val="228"/>
        </w:trPr>
        <w:tc>
          <w:tcPr>
            <w:tcW w:w="41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Adjusted EBITDA</w:t>
            </w:r>
          </w:p>
        </w:tc>
        <w:tc>
          <w:tcPr>
            <w:tcW w:w="820" w:type="dxa"/>
            <w:vAlign w:val="bottom"/>
          </w:tcPr>
          <w:p>
            <w:pPr>
              <w:jc w:val="right"/>
              <w:ind w:right="642"/>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233</w:t>
            </w:r>
          </w:p>
        </w:tc>
        <w:tc>
          <w:tcPr>
            <w:tcW w:w="100" w:type="dxa"/>
            <w:vAlign w:val="bottom"/>
          </w:tcPr>
          <w:p>
            <w:pPr>
              <w:spacing w:after="0"/>
              <w:rPr>
                <w:sz w:val="19"/>
                <w:szCs w:val="19"/>
                <w:color w:val="auto"/>
              </w:rPr>
            </w:pPr>
          </w:p>
        </w:tc>
        <w:tc>
          <w:tcPr>
            <w:tcW w:w="30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4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272</w:t>
            </w:r>
          </w:p>
        </w:tc>
        <w:tc>
          <w:tcPr>
            <w:tcW w:w="1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10.9 %</w:t>
            </w:r>
          </w:p>
        </w:tc>
        <w:tc>
          <w:tcPr>
            <w:tcW w:w="1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11.4 %</w:t>
            </w:r>
          </w:p>
        </w:tc>
        <w:tc>
          <w:tcPr>
            <w:tcW w:w="1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3435" cy="419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Non-GAAP Financial Measures and Use of Certain Terms:</w:t>
      </w:r>
    </w:p>
    <w:p>
      <w:pPr>
        <w:spacing w:after="0" w:line="24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i w:val="1"/>
          <w:iCs w:val="1"/>
          <w:color w:val="auto"/>
        </w:rPr>
        <w:t xml:space="preserve">Adjusted Earnings Before Interest, Taxes, Depreciation and Amortization (“Adjusted EBITDA”) </w:t>
      </w:r>
      <w:r>
        <w:rPr>
          <w:rFonts w:ascii="Times New Roman" w:cs="Times New Roman" w:eastAsia="Times New Roman" w:hAnsi="Times New Roman"/>
          <w:sz w:val="17"/>
          <w:szCs w:val="17"/>
          <w:color w:val="auto"/>
        </w:rPr>
        <w:t>Our management uses the non-GAAP measure Adjusted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EBITDA because it provides useful information to investors as an indicator of strength and performance of the Company’s ongoing business operations, including funding discretionary spending such as capital expenditures, strategic acquisitions, and other investments. We determine Adjusted EBITDA based on GAAP net income (loss) from continuing operations attributable to NCR Voyix plus interest expense, net; plus income tax expense (benefit); plus depreciation and amortization (excluding acquisition-related amortization of intangibles); plus stock-based compensation expense; plus other income (expense); plus pension mark-to-market adjustments and other special items, including amortization of acquisition-related intangibles, acquisition-related costs, loss (gain) on disposal of businesses, separation-related costs, cyber ransomware incident recovery costs, net of insurance recoveries, fraudulent ACH disbursements costs, net of recoveries, foreign currency devaluation, transformation and restructuring charges (which includes integration, severance and other exit and disposal costs), and strategic initiative costs, among others. The special items are considered non-operational or non-recurring in nature, so are excluded from the Adjusted EBITDA metric utilized by our chief operating decision maker in evaluating segment performance and are separately delineated to reconcile back to total reported income (loss) from continuing operations attributable to NCR Voyix. This format is useful to investors because it allows analysis and comparability of operating trends. It also includes the same information that is used by our management to make decisions regarding the segments and to assess our financial performance. Refer to the table below for the reconciliations of net income (loss) from continuing operations attributable to NCR Voyix (GAAP) to Adjusted EBITDA (non-GAAP).</w:t>
      </w:r>
    </w:p>
    <w:p>
      <w:pPr>
        <w:spacing w:after="0" w:line="200"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7"/>
          <w:szCs w:val="17"/>
          <w:color w:val="auto"/>
        </w:rPr>
        <w:t>Our definitions and calculations of these non-GAAP measures may differ from similarly-titled measures reported by other companies and cannot, therefore, be compared with similarly-titled measures of other companies. These non-GAAP measures should not be considered as substitutes for, or superior to, results determined in accordance with GAAP.</w:t>
      </w:r>
    </w:p>
    <w:p>
      <w:pPr>
        <w:spacing w:after="0" w:line="221" w:lineRule="exact"/>
        <w:rPr>
          <w:sz w:val="20"/>
          <w:szCs w:val="20"/>
          <w:color w:val="auto"/>
        </w:rPr>
      </w:pPr>
    </w:p>
    <w:tbl>
      <w:tblPr>
        <w:tblLayout w:type="fixed"/>
        <w:tblInd w:w="20" w:type="dxa"/>
        <w:tblCellMar>
          <w:top w:w="0" w:type="dxa"/>
          <w:left w:w="0" w:type="dxa"/>
          <w:bottom w:w="0" w:type="dxa"/>
          <w:right w:w="0" w:type="dxa"/>
        </w:tblCellMar>
      </w:tblPr>
      <w:tr>
        <w:trPr>
          <w:trHeight w:val="183"/>
        </w:trPr>
        <w:tc>
          <w:tcPr>
            <w:tcW w:w="5720" w:type="dxa"/>
            <w:vAlign w:val="bottom"/>
          </w:tcPr>
          <w:p>
            <w:pPr>
              <w:spacing w:after="0"/>
              <w:rPr>
                <w:sz w:val="15"/>
                <w:szCs w:val="15"/>
                <w:color w:val="auto"/>
              </w:rPr>
            </w:pPr>
          </w:p>
        </w:tc>
        <w:tc>
          <w:tcPr>
            <w:tcW w:w="2800" w:type="dxa"/>
            <w:vAlign w:val="bottom"/>
            <w:gridSpan w:val="3"/>
          </w:tcPr>
          <w:p>
            <w:pPr>
              <w:ind w:left="32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700" w:type="dxa"/>
            <w:vAlign w:val="bottom"/>
            <w:gridSpan w:val="2"/>
          </w:tcPr>
          <w:p>
            <w:pPr>
              <w:jc w:val="right"/>
              <w:ind w:right="291"/>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23"/>
        </w:trPr>
        <w:tc>
          <w:tcPr>
            <w:tcW w:w="57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3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6"/>
        </w:trPr>
        <w:tc>
          <w:tcPr>
            <w:tcW w:w="5720" w:type="dxa"/>
            <w:vAlign w:val="bottom"/>
            <w:vMerge w:val="continue"/>
          </w:tcPr>
          <w:p>
            <w:pPr>
              <w:spacing w:after="0"/>
              <w:rPr>
                <w:sz w:val="15"/>
                <w:szCs w:val="15"/>
                <w:color w:val="auto"/>
              </w:rPr>
            </w:pPr>
          </w:p>
        </w:tc>
        <w:tc>
          <w:tcPr>
            <w:tcW w:w="1340" w:type="dxa"/>
            <w:vAlign w:val="bottom"/>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360" w:type="dxa"/>
            <w:vAlign w:val="bottom"/>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5"/>
                <w:szCs w:val="15"/>
                <w:color w:val="auto"/>
              </w:rPr>
            </w:pPr>
          </w:p>
        </w:tc>
        <w:tc>
          <w:tcPr>
            <w:tcW w:w="1340" w:type="dxa"/>
            <w:vAlign w:val="bottom"/>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360" w:type="dxa"/>
            <w:vAlign w:val="bottom"/>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bl>
    <w:p>
      <w:pPr>
        <w:spacing w:after="0" w:line="4" w:lineRule="exact"/>
        <w:rPr>
          <w:sz w:val="20"/>
          <w:szCs w:val="20"/>
          <w:color w:val="auto"/>
        </w:rPr>
      </w:pPr>
    </w:p>
    <w:p>
      <w:pPr>
        <w:sectPr>
          <w:pgSz w:w="11900" w:h="16838" w:orient="portrait"/>
          <w:cols w:equalWidth="0" w:num="1">
            <w:col w:w="11240"/>
          </w:cols>
          <w:pgMar w:left="320" w:top="118" w:right="339" w:bottom="1440" w:gutter="0" w:footer="0" w:header="0"/>
        </w:sectPr>
      </w:pPr>
    </w:p>
    <w:p>
      <w:pPr>
        <w:ind w:left="20"/>
        <w:spacing w:after="0" w:line="246" w:lineRule="auto"/>
        <w:rPr>
          <w:sz w:val="20"/>
          <w:szCs w:val="20"/>
          <w:color w:val="auto"/>
        </w:rPr>
      </w:pPr>
      <w:r>
        <w:rPr>
          <w:rFonts w:ascii="Times New Roman" w:cs="Times New Roman" w:eastAsia="Times New Roman" w:hAnsi="Times New Roman"/>
          <w:sz w:val="17"/>
          <w:szCs w:val="17"/>
          <w:b w:val="1"/>
          <w:bCs w:val="1"/>
          <w:color w:val="auto"/>
        </w:rPr>
        <w:t>Net income (loss) from continuing operations attributable to NCR Voyix (GAAP)</w:t>
      </w:r>
    </w:p>
    <w:p>
      <w:pPr>
        <w:spacing w:after="0" w:line="3" w:lineRule="exact"/>
        <w:rPr>
          <w:sz w:val="20"/>
          <w:szCs w:val="20"/>
          <w:color w:val="auto"/>
        </w:rPr>
      </w:pPr>
    </w:p>
    <w:p>
      <w:pPr>
        <w:ind w:left="20"/>
        <w:spacing w:after="0" w:line="244" w:lineRule="auto"/>
        <w:rPr>
          <w:sz w:val="20"/>
          <w:szCs w:val="20"/>
          <w:color w:val="auto"/>
        </w:rPr>
      </w:pPr>
      <w:r>
        <w:rPr>
          <w:rFonts w:ascii="Times New Roman" w:cs="Times New Roman" w:eastAsia="Times New Roman" w:hAnsi="Times New Roman"/>
          <w:sz w:val="17"/>
          <w:szCs w:val="17"/>
          <w:color w:val="auto"/>
        </w:rPr>
        <w:t>Depreciation and amortization (excluding acquisition related amortization of intangibles)</w:t>
      </w:r>
    </w:p>
    <w:p>
      <w:pPr>
        <w:spacing w:after="0" w:line="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Acquisition-related amortization of intangibles</w:t>
      </w:r>
    </w:p>
    <w:p>
      <w:pPr>
        <w:spacing w:after="0" w:line="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Interest expense</w:t>
      </w:r>
    </w:p>
    <w:p>
      <w:pPr>
        <w:spacing w:after="0" w:line="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Interest income</w:t>
      </w:r>
    </w:p>
    <w:p>
      <w:pPr>
        <w:spacing w:after="0" w:line="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Acquisition-related costs</w:t>
      </w:r>
    </w:p>
    <w:p>
      <w:pPr>
        <w:spacing w:after="0" w:line="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Income tax expense (benefit)</w:t>
      </w:r>
    </w:p>
    <w:p>
      <w:pPr>
        <w:spacing w:after="0" w:line="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Stock-based compensation expense</w:t>
      </w:r>
    </w:p>
    <w:p>
      <w:pPr>
        <w:ind w:left="20"/>
        <w:spacing w:after="0" w:line="236" w:lineRule="auto"/>
        <w:rPr>
          <w:sz w:val="20"/>
          <w:szCs w:val="20"/>
          <w:color w:val="auto"/>
        </w:rPr>
      </w:pPr>
      <w:r>
        <w:rPr>
          <w:rFonts w:ascii="Times New Roman" w:cs="Times New Roman" w:eastAsia="Times New Roman" w:hAnsi="Times New Roman"/>
          <w:sz w:val="17"/>
          <w:szCs w:val="17"/>
          <w:color w:val="auto"/>
        </w:rPr>
        <w:t>Transformation and restructuring costs</w:t>
      </w:r>
      <w:r>
        <w:rPr>
          <w:rFonts w:ascii="Times New Roman" w:cs="Times New Roman" w:eastAsia="Times New Roman" w:hAnsi="Times New Roman"/>
          <w:sz w:val="22"/>
          <w:szCs w:val="22"/>
          <w:color w:val="auto"/>
          <w:vertAlign w:val="superscript"/>
        </w:rPr>
        <w:t>(1)</w:t>
      </w:r>
    </w:p>
    <w:p>
      <w:pPr>
        <w:ind w:left="20"/>
        <w:spacing w:after="0" w:line="219" w:lineRule="auto"/>
        <w:rPr>
          <w:sz w:val="20"/>
          <w:szCs w:val="20"/>
          <w:color w:val="auto"/>
        </w:rPr>
      </w:pPr>
      <w:r>
        <w:rPr>
          <w:rFonts w:ascii="Times New Roman" w:cs="Times New Roman" w:eastAsia="Times New Roman" w:hAnsi="Times New Roman"/>
          <w:sz w:val="17"/>
          <w:szCs w:val="17"/>
          <w:color w:val="auto"/>
        </w:rPr>
        <w:t>Separation costs</w:t>
      </w:r>
      <w:r>
        <w:rPr>
          <w:rFonts w:ascii="Times New Roman" w:cs="Times New Roman" w:eastAsia="Times New Roman" w:hAnsi="Times New Roman"/>
          <w:sz w:val="22"/>
          <w:szCs w:val="22"/>
          <w:color w:val="auto"/>
          <w:vertAlign w:val="superscript"/>
        </w:rPr>
        <w:t>(2)</w:t>
      </w:r>
    </w:p>
    <w:p>
      <w:pPr>
        <w:spacing w:after="0" w:line="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Loss (gain) on disposal of businesses</w:t>
      </w:r>
    </w:p>
    <w:p>
      <w:pPr>
        <w:ind w:left="20"/>
        <w:spacing w:after="0" w:line="222" w:lineRule="auto"/>
        <w:rPr>
          <w:sz w:val="20"/>
          <w:szCs w:val="20"/>
          <w:color w:val="auto"/>
        </w:rPr>
      </w:pPr>
      <w:r>
        <w:rPr>
          <w:rFonts w:ascii="Times New Roman" w:cs="Times New Roman" w:eastAsia="Times New Roman" w:hAnsi="Times New Roman"/>
          <w:sz w:val="17"/>
          <w:szCs w:val="17"/>
          <w:color w:val="auto"/>
        </w:rPr>
        <w:t>Foreign currency devaluation</w:t>
      </w:r>
      <w:r>
        <w:rPr>
          <w:rFonts w:ascii="Times New Roman" w:cs="Times New Roman" w:eastAsia="Times New Roman" w:hAnsi="Times New Roman"/>
          <w:sz w:val="22"/>
          <w:szCs w:val="22"/>
          <w:color w:val="auto"/>
          <w:vertAlign w:val="superscript"/>
        </w:rPr>
        <w:t>(3)</w:t>
      </w:r>
    </w:p>
    <w:p>
      <w:pPr>
        <w:ind w:left="20"/>
        <w:spacing w:after="0" w:line="219" w:lineRule="auto"/>
        <w:rPr>
          <w:sz w:val="20"/>
          <w:szCs w:val="20"/>
          <w:color w:val="auto"/>
        </w:rPr>
      </w:pPr>
      <w:r>
        <w:rPr>
          <w:rFonts w:ascii="Times New Roman" w:cs="Times New Roman" w:eastAsia="Times New Roman" w:hAnsi="Times New Roman"/>
          <w:sz w:val="17"/>
          <w:szCs w:val="17"/>
          <w:color w:val="auto"/>
        </w:rPr>
        <w:t>Fraudulent ACH disbursements</w:t>
      </w:r>
      <w:r>
        <w:rPr>
          <w:rFonts w:ascii="Times New Roman" w:cs="Times New Roman" w:eastAsia="Times New Roman" w:hAnsi="Times New Roman"/>
          <w:sz w:val="22"/>
          <w:szCs w:val="22"/>
          <w:color w:val="auto"/>
          <w:vertAlign w:val="superscript"/>
        </w:rPr>
        <w:t>(4)</w:t>
      </w:r>
    </w:p>
    <w:p>
      <w:pPr>
        <w:spacing w:after="0" w:line="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Loss (gain) on debt extinguishment</w:t>
      </w:r>
    </w:p>
    <w:p>
      <w:pPr>
        <w:ind w:left="20"/>
        <w:spacing w:after="0" w:line="222" w:lineRule="auto"/>
        <w:rPr>
          <w:sz w:val="20"/>
          <w:szCs w:val="20"/>
          <w:color w:val="auto"/>
        </w:rPr>
      </w:pPr>
      <w:r>
        <w:rPr>
          <w:rFonts w:ascii="Times New Roman" w:cs="Times New Roman" w:eastAsia="Times New Roman" w:hAnsi="Times New Roman"/>
          <w:sz w:val="17"/>
          <w:szCs w:val="17"/>
          <w:color w:val="auto"/>
        </w:rPr>
        <w:t>Cyber ransomware incident recovery costs</w:t>
      </w:r>
      <w:r>
        <w:rPr>
          <w:rFonts w:ascii="Times New Roman" w:cs="Times New Roman" w:eastAsia="Times New Roman" w:hAnsi="Times New Roman"/>
          <w:sz w:val="22"/>
          <w:szCs w:val="22"/>
          <w:color w:val="auto"/>
          <w:vertAlign w:val="superscript"/>
        </w:rPr>
        <w:t>(5)</w:t>
      </w:r>
    </w:p>
    <w:p>
      <w:pPr>
        <w:ind w:left="20"/>
        <w:spacing w:after="0" w:line="232" w:lineRule="auto"/>
        <w:rPr>
          <w:sz w:val="20"/>
          <w:szCs w:val="20"/>
          <w:color w:val="auto"/>
        </w:rPr>
      </w:pPr>
      <w:r>
        <w:rPr>
          <w:rFonts w:ascii="Times New Roman" w:cs="Times New Roman" w:eastAsia="Times New Roman" w:hAnsi="Times New Roman"/>
          <w:sz w:val="17"/>
          <w:szCs w:val="17"/>
          <w:color w:val="auto"/>
        </w:rPr>
        <w:t>Strategic initiatives</w:t>
      </w:r>
      <w:r>
        <w:rPr>
          <w:rFonts w:ascii="Times New Roman" w:cs="Times New Roman" w:eastAsia="Times New Roman" w:hAnsi="Times New Roman"/>
          <w:sz w:val="22"/>
          <w:szCs w:val="22"/>
          <w:color w:val="auto"/>
          <w:vertAlign w:val="superscript"/>
        </w:rPr>
        <w:t>(6)</w:t>
      </w:r>
    </w:p>
    <w:p>
      <w:pPr>
        <w:ind w:left="20"/>
        <w:spacing w:after="0"/>
        <w:rPr>
          <w:sz w:val="20"/>
          <w:szCs w:val="20"/>
          <w:color w:val="auto"/>
        </w:rPr>
      </w:pPr>
      <w:r>
        <w:rPr>
          <w:rFonts w:ascii="Times New Roman" w:cs="Times New Roman" w:eastAsia="Times New Roman" w:hAnsi="Times New Roman"/>
          <w:sz w:val="17"/>
          <w:szCs w:val="17"/>
          <w:b w:val="1"/>
          <w:bCs w:val="1"/>
          <w:color w:val="auto"/>
        </w:rPr>
        <w:t>Adjusted EBITDA (non-GAAP)</w:t>
      </w:r>
    </w:p>
    <w:p>
      <w:pPr>
        <w:spacing w:after="0" w:line="20" w:lineRule="exact"/>
        <w:rPr>
          <w:sz w:val="20"/>
          <w:szCs w:val="20"/>
          <w:color w:val="auto"/>
        </w:rPr>
      </w:pPr>
      <w:r>
        <w:rPr>
          <w:sz w:val="20"/>
          <w:szCs w:val="20"/>
          <w:color w:val="auto"/>
        </w:rPr>
        <w:br w:type="column"/>
      </w:r>
    </w:p>
    <w:p>
      <w:pPr>
        <w:spacing w:after="0" w:line="7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8"/>
        </w:trPr>
        <w:tc>
          <w:tcPr>
            <w:tcW w:w="540" w:type="dxa"/>
            <w:vAlign w:val="bottom"/>
          </w:tcPr>
          <w:p>
            <w:pPr>
              <w:jc w:val="right"/>
              <w:ind w:right="35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(31)</w:t>
            </w:r>
          </w:p>
        </w:tc>
        <w:tc>
          <w:tcPr>
            <w:tcW w:w="100" w:type="dxa"/>
            <w:vAlign w:val="bottom"/>
          </w:tcPr>
          <w:p>
            <w:pPr>
              <w:spacing w:after="0"/>
              <w:rPr>
                <w:sz w:val="19"/>
                <w:szCs w:val="19"/>
                <w:color w:val="auto"/>
              </w:rPr>
            </w:pPr>
          </w:p>
        </w:tc>
        <w:tc>
          <w:tcPr>
            <w:tcW w:w="500" w:type="dxa"/>
            <w:vAlign w:val="bottom"/>
          </w:tcPr>
          <w:p>
            <w:pPr>
              <w:jc w:val="right"/>
              <w:ind w:right="314"/>
              <w:spacing w:after="0"/>
              <w:rPr>
                <w:sz w:val="20"/>
                <w:szCs w:val="20"/>
                <w:color w:val="auto"/>
              </w:rPr>
            </w:pPr>
            <w:r>
              <w:rPr>
                <w:rFonts w:ascii="Times New Roman" w:cs="Times New Roman" w:eastAsia="Times New Roman" w:hAnsi="Times New Roman"/>
                <w:sz w:val="17"/>
                <w:szCs w:val="17"/>
                <w:color w:val="auto"/>
                <w:w w:val="93"/>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(266)</w:t>
            </w:r>
          </w:p>
        </w:tc>
        <w:tc>
          <w:tcPr>
            <w:tcW w:w="100" w:type="dxa"/>
            <w:vAlign w:val="bottom"/>
          </w:tcPr>
          <w:p>
            <w:pPr>
              <w:spacing w:after="0"/>
              <w:rPr>
                <w:sz w:val="19"/>
                <w:szCs w:val="19"/>
                <w:color w:val="auto"/>
              </w:rPr>
            </w:pPr>
          </w:p>
        </w:tc>
        <w:tc>
          <w:tcPr>
            <w:tcW w:w="500" w:type="dxa"/>
            <w:vAlign w:val="bottom"/>
          </w:tcPr>
          <w:p>
            <w:pPr>
              <w:jc w:val="right"/>
              <w:ind w:right="31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(193)</w:t>
            </w:r>
          </w:p>
        </w:tc>
        <w:tc>
          <w:tcPr>
            <w:tcW w:w="100" w:type="dxa"/>
            <w:vAlign w:val="bottom"/>
          </w:tcPr>
          <w:p>
            <w:pPr>
              <w:spacing w:after="0"/>
              <w:rPr>
                <w:sz w:val="19"/>
                <w:szCs w:val="19"/>
                <w:color w:val="auto"/>
              </w:rPr>
            </w:pPr>
          </w:p>
        </w:tc>
        <w:tc>
          <w:tcPr>
            <w:tcW w:w="500" w:type="dxa"/>
            <w:vAlign w:val="bottom"/>
          </w:tcPr>
          <w:p>
            <w:pPr>
              <w:jc w:val="right"/>
              <w:ind w:right="314"/>
              <w:spacing w:after="0"/>
              <w:rPr>
                <w:sz w:val="20"/>
                <w:szCs w:val="20"/>
                <w:color w:val="auto"/>
              </w:rPr>
            </w:pPr>
            <w:r>
              <w:rPr>
                <w:rFonts w:ascii="Times New Roman" w:cs="Times New Roman" w:eastAsia="Times New Roman" w:hAnsi="Times New Roman"/>
                <w:sz w:val="17"/>
                <w:szCs w:val="17"/>
                <w:color w:val="auto"/>
                <w:w w:val="93"/>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(457)</w:t>
            </w:r>
          </w:p>
        </w:tc>
      </w:tr>
      <w:tr>
        <w:trPr>
          <w:trHeight w:val="485"/>
        </w:trPr>
        <w:tc>
          <w:tcPr>
            <w:tcW w:w="54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53</w:t>
            </w: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w:t>
            </w: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153</w:t>
            </w: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140</w:t>
            </w:r>
          </w:p>
        </w:tc>
      </w:tr>
      <w:tr>
        <w:trPr>
          <w:trHeight w:val="220"/>
        </w:trPr>
        <w:tc>
          <w:tcPr>
            <w:tcW w:w="5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7</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22</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w:t>
            </w:r>
          </w:p>
        </w:tc>
      </w:tr>
      <w:tr>
        <w:trPr>
          <w:trHeight w:val="220"/>
        </w:trPr>
        <w:tc>
          <w:tcPr>
            <w:tcW w:w="5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40</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83</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120</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257</w:t>
            </w:r>
          </w:p>
        </w:tc>
      </w:tr>
      <w:tr>
        <w:trPr>
          <w:trHeight w:val="220"/>
        </w:trPr>
        <w:tc>
          <w:tcPr>
            <w:tcW w:w="5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(2)</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(5)</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w:t>
            </w:r>
          </w:p>
        </w:tc>
      </w:tr>
      <w:tr>
        <w:trPr>
          <w:trHeight w:val="220"/>
        </w:trPr>
        <w:tc>
          <w:tcPr>
            <w:tcW w:w="540" w:type="dxa"/>
            <w:vAlign w:val="bottom"/>
          </w:tcPr>
          <w:p>
            <w:pPr>
              <w:spacing w:after="0"/>
              <w:rPr>
                <w:sz w:val="19"/>
                <w:szCs w:val="19"/>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b w:val="1"/>
                <w:bCs w:val="1"/>
                <w:color w:val="auto"/>
              </w:rPr>
              <w:t>—</w:t>
            </w:r>
          </w:p>
        </w:tc>
        <w:tc>
          <w:tcPr>
            <w:tcW w:w="50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50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b w:val="1"/>
                <w:bCs w:val="1"/>
                <w:color w:val="auto"/>
              </w:rPr>
              <w:t>—</w:t>
            </w:r>
          </w:p>
        </w:tc>
        <w:tc>
          <w:tcPr>
            <w:tcW w:w="5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r>
      <w:tr>
        <w:trPr>
          <w:trHeight w:val="220"/>
        </w:trPr>
        <w:tc>
          <w:tcPr>
            <w:tcW w:w="5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(1)</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187</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3</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200</w:t>
            </w:r>
          </w:p>
        </w:tc>
      </w:tr>
      <w:tr>
        <w:trPr>
          <w:trHeight w:val="220"/>
        </w:trPr>
        <w:tc>
          <w:tcPr>
            <w:tcW w:w="5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9</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32</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65</w:t>
            </w:r>
          </w:p>
        </w:tc>
      </w:tr>
      <w:tr>
        <w:trPr>
          <w:trHeight w:val="220"/>
        </w:trPr>
        <w:tc>
          <w:tcPr>
            <w:tcW w:w="5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16</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90</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w:t>
            </w:r>
          </w:p>
        </w:tc>
      </w:tr>
      <w:tr>
        <w:trPr>
          <w:trHeight w:val="220"/>
        </w:trPr>
        <w:tc>
          <w:tcPr>
            <w:tcW w:w="5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1</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9</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w:t>
            </w:r>
          </w:p>
        </w:tc>
      </w:tr>
      <w:tr>
        <w:trPr>
          <w:trHeight w:val="220"/>
        </w:trPr>
        <w:tc>
          <w:tcPr>
            <w:tcW w:w="540" w:type="dxa"/>
            <w:vAlign w:val="bottom"/>
          </w:tcPr>
          <w:p>
            <w:pPr>
              <w:spacing w:after="0"/>
              <w:rPr>
                <w:sz w:val="19"/>
                <w:szCs w:val="19"/>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b w:val="1"/>
                <w:bCs w:val="1"/>
                <w:color w:val="auto"/>
              </w:rPr>
              <w:t>—</w:t>
            </w:r>
          </w:p>
        </w:tc>
        <w:tc>
          <w:tcPr>
            <w:tcW w:w="5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(14)</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w:t>
            </w:r>
          </w:p>
        </w:tc>
      </w:tr>
      <w:tr>
        <w:trPr>
          <w:trHeight w:val="220"/>
        </w:trPr>
        <w:tc>
          <w:tcPr>
            <w:tcW w:w="540" w:type="dxa"/>
            <w:vAlign w:val="bottom"/>
          </w:tcPr>
          <w:p>
            <w:pPr>
              <w:spacing w:after="0"/>
              <w:rPr>
                <w:sz w:val="19"/>
                <w:szCs w:val="19"/>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b w:val="1"/>
                <w:bCs w:val="1"/>
                <w:color w:val="auto"/>
              </w:rPr>
              <w:t>—</w:t>
            </w:r>
          </w:p>
        </w:tc>
        <w:tc>
          <w:tcPr>
            <w:tcW w:w="50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b w:val="1"/>
                <w:bCs w:val="1"/>
                <w:color w:val="auto"/>
              </w:rPr>
              <w:t>—</w:t>
            </w:r>
          </w:p>
        </w:tc>
        <w:tc>
          <w:tcPr>
            <w:tcW w:w="5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15</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r>
      <w:tr>
        <w:trPr>
          <w:trHeight w:val="220"/>
        </w:trPr>
        <w:tc>
          <w:tcPr>
            <w:tcW w:w="5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(2)</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(4)</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w:t>
            </w:r>
          </w:p>
        </w:tc>
      </w:tr>
      <w:tr>
        <w:trPr>
          <w:trHeight w:val="220"/>
        </w:trPr>
        <w:tc>
          <w:tcPr>
            <w:tcW w:w="5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(8)</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5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(8)</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20"/>
        </w:trPr>
        <w:tc>
          <w:tcPr>
            <w:tcW w:w="5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(1)</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(5)</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w:t>
            </w:r>
          </w:p>
        </w:tc>
      </w:tr>
      <w:tr>
        <w:trPr>
          <w:trHeight w:val="228"/>
        </w:trPr>
        <w:tc>
          <w:tcPr>
            <w:tcW w:w="5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12</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5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18</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3"/>
        </w:trPr>
        <w:tc>
          <w:tcPr>
            <w:tcW w:w="540" w:type="dxa"/>
            <w:vAlign w:val="bottom"/>
            <w:tcBorders>
              <w:top w:val="single" w:sz="8" w:color="auto"/>
              <w:bottom w:val="single" w:sz="8" w:color="auto"/>
            </w:tcBorders>
          </w:tcPr>
          <w:p>
            <w:pPr>
              <w:jc w:val="right"/>
              <w:ind w:right="35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93</w:t>
            </w:r>
          </w:p>
        </w:tc>
        <w:tc>
          <w:tcPr>
            <w:tcW w:w="100" w:type="dxa"/>
            <w:vAlign w:val="bottom"/>
          </w:tcPr>
          <w:p>
            <w:pPr>
              <w:spacing w:after="0"/>
              <w:rPr>
                <w:sz w:val="18"/>
                <w:szCs w:val="18"/>
                <w:color w:val="auto"/>
              </w:rPr>
            </w:pPr>
          </w:p>
        </w:tc>
        <w:tc>
          <w:tcPr>
            <w:tcW w:w="500" w:type="dxa"/>
            <w:vAlign w:val="bottom"/>
            <w:tcBorders>
              <w:top w:val="single" w:sz="8" w:color="auto"/>
              <w:bottom w:val="single" w:sz="8" w:color="auto"/>
            </w:tcBorders>
          </w:tcPr>
          <w:p>
            <w:pPr>
              <w:jc w:val="right"/>
              <w:ind w:right="314"/>
              <w:spacing w:after="0"/>
              <w:rPr>
                <w:sz w:val="20"/>
                <w:szCs w:val="20"/>
                <w:color w:val="auto"/>
              </w:rPr>
            </w:pPr>
            <w:r>
              <w:rPr>
                <w:rFonts w:ascii="Times New Roman" w:cs="Times New Roman" w:eastAsia="Times New Roman" w:hAnsi="Times New Roman"/>
                <w:sz w:val="17"/>
                <w:szCs w:val="17"/>
                <w:color w:val="auto"/>
                <w:w w:val="93"/>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103</w:t>
            </w:r>
          </w:p>
        </w:tc>
        <w:tc>
          <w:tcPr>
            <w:tcW w:w="100" w:type="dxa"/>
            <w:vAlign w:val="bottom"/>
          </w:tcPr>
          <w:p>
            <w:pPr>
              <w:spacing w:after="0"/>
              <w:rPr>
                <w:sz w:val="18"/>
                <w:szCs w:val="18"/>
                <w:color w:val="auto"/>
              </w:rPr>
            </w:pPr>
          </w:p>
        </w:tc>
        <w:tc>
          <w:tcPr>
            <w:tcW w:w="500" w:type="dxa"/>
            <w:vAlign w:val="bottom"/>
            <w:tcBorders>
              <w:top w:val="single" w:sz="8" w:color="auto"/>
              <w:bottom w:val="single" w:sz="8" w:color="auto"/>
            </w:tcBorders>
          </w:tcPr>
          <w:p>
            <w:pPr>
              <w:jc w:val="right"/>
              <w:ind w:right="31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233</w:t>
            </w:r>
          </w:p>
        </w:tc>
        <w:tc>
          <w:tcPr>
            <w:tcW w:w="100" w:type="dxa"/>
            <w:vAlign w:val="bottom"/>
          </w:tcPr>
          <w:p>
            <w:pPr>
              <w:spacing w:after="0"/>
              <w:rPr>
                <w:sz w:val="18"/>
                <w:szCs w:val="18"/>
                <w:color w:val="auto"/>
              </w:rPr>
            </w:pPr>
          </w:p>
        </w:tc>
        <w:tc>
          <w:tcPr>
            <w:tcW w:w="500" w:type="dxa"/>
            <w:vAlign w:val="bottom"/>
            <w:tcBorders>
              <w:top w:val="single" w:sz="8" w:color="auto"/>
              <w:bottom w:val="single" w:sz="8" w:color="auto"/>
            </w:tcBorders>
          </w:tcPr>
          <w:p>
            <w:pPr>
              <w:jc w:val="right"/>
              <w:ind w:right="314"/>
              <w:spacing w:after="0"/>
              <w:rPr>
                <w:sz w:val="20"/>
                <w:szCs w:val="20"/>
                <w:color w:val="auto"/>
              </w:rPr>
            </w:pPr>
            <w:r>
              <w:rPr>
                <w:rFonts w:ascii="Times New Roman" w:cs="Times New Roman" w:eastAsia="Times New Roman" w:hAnsi="Times New Roman"/>
                <w:sz w:val="17"/>
                <w:szCs w:val="17"/>
                <w:color w:val="auto"/>
                <w:w w:val="93"/>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272</w:t>
            </w:r>
          </w:p>
        </w:tc>
      </w:tr>
      <w:tr>
        <w:trPr>
          <w:trHeight w:val="20"/>
        </w:trPr>
        <w:tc>
          <w:tcPr>
            <w:tcW w:w="5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-3641725</wp:posOffset>
            </wp:positionH>
            <wp:positionV relativeFrom="paragraph">
              <wp:posOffset>-2139950</wp:posOffset>
            </wp:positionV>
            <wp:extent cx="7138035" cy="1397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8035" cy="139700"/>
                    </a:xfrm>
                    <a:prstGeom prst="rect">
                      <a:avLst/>
                    </a:prstGeom>
                    <a:noFill/>
                  </pic:spPr>
                </pic:pic>
              </a:graphicData>
            </a:graphic>
          </wp:anchor>
        </w:drawing>
        <w:drawing>
          <wp:anchor simplePos="0" relativeHeight="251657728" behindDoc="1" locked="0" layoutInCell="0" allowOverlap="1">
            <wp:simplePos x="0" y="0"/>
            <wp:positionH relativeFrom="column">
              <wp:posOffset>-3641725</wp:posOffset>
            </wp:positionH>
            <wp:positionV relativeFrom="paragraph">
              <wp:posOffset>-1859915</wp:posOffset>
            </wp:positionV>
            <wp:extent cx="7138035" cy="1397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8035" cy="139700"/>
                    </a:xfrm>
                    <a:prstGeom prst="rect">
                      <a:avLst/>
                    </a:prstGeom>
                    <a:noFill/>
                  </pic:spPr>
                </pic:pic>
              </a:graphicData>
            </a:graphic>
          </wp:anchor>
        </w:drawing>
        <w:drawing>
          <wp:anchor simplePos="0" relativeHeight="251657728" behindDoc="1" locked="0" layoutInCell="0" allowOverlap="1">
            <wp:simplePos x="0" y="0"/>
            <wp:positionH relativeFrom="column">
              <wp:posOffset>-3641725</wp:posOffset>
            </wp:positionH>
            <wp:positionV relativeFrom="paragraph">
              <wp:posOffset>-1579880</wp:posOffset>
            </wp:positionV>
            <wp:extent cx="7138035" cy="1397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8035" cy="139700"/>
                    </a:xfrm>
                    <a:prstGeom prst="rect">
                      <a:avLst/>
                    </a:prstGeom>
                    <a:noFill/>
                  </pic:spPr>
                </pic:pic>
              </a:graphicData>
            </a:graphic>
          </wp:anchor>
        </w:drawing>
        <w:drawing>
          <wp:anchor simplePos="0" relativeHeight="251657728" behindDoc="1" locked="0" layoutInCell="0" allowOverlap="1">
            <wp:simplePos x="0" y="0"/>
            <wp:positionH relativeFrom="column">
              <wp:posOffset>-3641725</wp:posOffset>
            </wp:positionH>
            <wp:positionV relativeFrom="paragraph">
              <wp:posOffset>-1299845</wp:posOffset>
            </wp:positionV>
            <wp:extent cx="7138035" cy="1397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8035" cy="139700"/>
                    </a:xfrm>
                    <a:prstGeom prst="rect">
                      <a:avLst/>
                    </a:prstGeom>
                    <a:noFill/>
                  </pic:spPr>
                </pic:pic>
              </a:graphicData>
            </a:graphic>
          </wp:anchor>
        </w:drawing>
        <w:drawing>
          <wp:anchor simplePos="0" relativeHeight="251657728" behindDoc="1" locked="0" layoutInCell="0" allowOverlap="1">
            <wp:simplePos x="0" y="0"/>
            <wp:positionH relativeFrom="column">
              <wp:posOffset>-3641725</wp:posOffset>
            </wp:positionH>
            <wp:positionV relativeFrom="paragraph">
              <wp:posOffset>-1020445</wp:posOffset>
            </wp:positionV>
            <wp:extent cx="7138035" cy="1397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8035" cy="139700"/>
                    </a:xfrm>
                    <a:prstGeom prst="rect">
                      <a:avLst/>
                    </a:prstGeom>
                    <a:noFill/>
                  </pic:spPr>
                </pic:pic>
              </a:graphicData>
            </a:graphic>
          </wp:anchor>
        </w:drawing>
        <w:drawing>
          <wp:anchor simplePos="0" relativeHeight="251657728" behindDoc="1" locked="0" layoutInCell="0" allowOverlap="1">
            <wp:simplePos x="0" y="0"/>
            <wp:positionH relativeFrom="column">
              <wp:posOffset>-3641725</wp:posOffset>
            </wp:positionH>
            <wp:positionV relativeFrom="paragraph">
              <wp:posOffset>-740410</wp:posOffset>
            </wp:positionV>
            <wp:extent cx="7138035" cy="1397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8035" cy="139700"/>
                    </a:xfrm>
                    <a:prstGeom prst="rect">
                      <a:avLst/>
                    </a:prstGeom>
                    <a:noFill/>
                  </pic:spPr>
                </pic:pic>
              </a:graphicData>
            </a:graphic>
          </wp:anchor>
        </w:drawing>
        <w:drawing>
          <wp:anchor simplePos="0" relativeHeight="251657728" behindDoc="1" locked="0" layoutInCell="0" allowOverlap="1">
            <wp:simplePos x="0" y="0"/>
            <wp:positionH relativeFrom="column">
              <wp:posOffset>-3641725</wp:posOffset>
            </wp:positionH>
            <wp:positionV relativeFrom="paragraph">
              <wp:posOffset>-460375</wp:posOffset>
            </wp:positionV>
            <wp:extent cx="7138035" cy="1397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8035" cy="139700"/>
                    </a:xfrm>
                    <a:prstGeom prst="rect">
                      <a:avLst/>
                    </a:prstGeom>
                    <a:noFill/>
                  </pic:spPr>
                </pic:pic>
              </a:graphicData>
            </a:graphic>
          </wp:anchor>
        </w:drawing>
        <w:drawing>
          <wp:anchor simplePos="0" relativeHeight="251657728" behindDoc="1" locked="0" layoutInCell="0" allowOverlap="1">
            <wp:simplePos x="0" y="0"/>
            <wp:positionH relativeFrom="column">
              <wp:posOffset>-3641725</wp:posOffset>
            </wp:positionH>
            <wp:positionV relativeFrom="paragraph">
              <wp:posOffset>-180340</wp:posOffset>
            </wp:positionV>
            <wp:extent cx="7138035" cy="16446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8035" cy="164465"/>
                    </a:xfrm>
                    <a:prstGeom prst="rect">
                      <a:avLst/>
                    </a:prstGeom>
                    <a:noFill/>
                  </pic:spPr>
                </pic:pic>
              </a:graphicData>
            </a:graphic>
          </wp:anchor>
        </w:drawing>
        <w:drawing>
          <wp:anchor simplePos="0" relativeHeight="251657728" behindDoc="1" locked="0" layoutInCell="0" allowOverlap="1">
            <wp:simplePos x="0" y="0"/>
            <wp:positionH relativeFrom="column">
              <wp:posOffset>-3641725</wp:posOffset>
            </wp:positionH>
            <wp:positionV relativeFrom="paragraph">
              <wp:posOffset>-2650490</wp:posOffset>
            </wp:positionV>
            <wp:extent cx="7138035" cy="25527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8035" cy="255270"/>
                    </a:xfrm>
                    <a:prstGeom prst="rect">
                      <a:avLst/>
                    </a:prstGeom>
                    <a:noFill/>
                  </pic:spPr>
                </pic:pic>
              </a:graphicData>
            </a:graphic>
          </wp:anchor>
        </w:drawing>
      </w:r>
    </w:p>
    <w:p>
      <w:pPr>
        <w:spacing w:after="0" w:line="77" w:lineRule="exact"/>
        <w:rPr>
          <w:sz w:val="20"/>
          <w:szCs w:val="20"/>
          <w:color w:val="auto"/>
        </w:rPr>
      </w:pPr>
    </w:p>
    <w:p>
      <w:pPr>
        <w:sectPr>
          <w:pgSz w:w="11900" w:h="16838" w:orient="portrait"/>
          <w:cols w:equalWidth="0" w:num="2">
            <w:col w:w="5320" w:space="420"/>
            <w:col w:w="5500"/>
          </w:cols>
          <w:pgMar w:left="320" w:top="118" w:right="339" w:bottom="1440" w:gutter="0" w:footer="0" w:header="0"/>
          <w:type w:val="continuous"/>
        </w:sectPr>
      </w:pPr>
    </w:p>
    <w:p>
      <w:pPr>
        <w:ind w:left="140" w:hanging="136"/>
        <w:spacing w:after="0"/>
        <w:tabs>
          <w:tab w:leader="none" w:pos="140" w:val="left"/>
        </w:tabs>
        <w:numPr>
          <w:ilvl w:val="0"/>
          <w:numId w:val="13"/>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Represents integration, severance, and other exit and disposal costs which are considered non-operational in nature.</w:t>
      </w:r>
    </w:p>
    <w:p>
      <w:pPr>
        <w:spacing w:after="0" w:line="1" w:lineRule="exact"/>
        <w:rPr>
          <w:sz w:val="20"/>
          <w:szCs w:val="20"/>
          <w:color w:val="auto"/>
        </w:rPr>
      </w:pPr>
    </w:p>
    <w:p>
      <w:pPr>
        <w:spacing w:after="0" w:line="214" w:lineRule="auto"/>
        <w:rPr>
          <w:sz w:val="20"/>
          <w:szCs w:val="20"/>
          <w:color w:val="auto"/>
        </w:rPr>
      </w:pPr>
      <w:r>
        <w:rPr>
          <w:rFonts w:ascii="Times New Roman" w:cs="Times New Roman" w:eastAsia="Times New Roman" w:hAnsi="Times New Roman"/>
          <w:sz w:val="20"/>
          <w:szCs w:val="20"/>
          <w:color w:val="auto"/>
          <w:vertAlign w:val="superscript"/>
        </w:rPr>
        <w:t>(2)</w:t>
      </w:r>
      <w:r>
        <w:rPr>
          <w:rFonts w:ascii="Times New Roman" w:cs="Times New Roman" w:eastAsia="Times New Roman" w:hAnsi="Times New Roman"/>
          <w:sz w:val="16"/>
          <w:szCs w:val="16"/>
          <w:color w:val="auto"/>
        </w:rPr>
        <w:t>Represents costs incurred as a result of the Spin-Off. Professional fees to effect the spin-off of NCR Atleos including separation management, organizational design, and legal fees have been classified within discontinued operations during the three and nine months ended September 30, 2023.</w:t>
      </w:r>
    </w:p>
    <w:p>
      <w:pPr>
        <w:spacing w:after="0" w:line="196" w:lineRule="auto"/>
        <w:rPr>
          <w:sz w:val="20"/>
          <w:szCs w:val="20"/>
          <w:color w:val="auto"/>
        </w:rPr>
      </w:pPr>
      <w:r>
        <w:rPr>
          <w:rFonts w:ascii="Times New Roman" w:cs="Times New Roman" w:eastAsia="Times New Roman" w:hAnsi="Times New Roman"/>
          <w:sz w:val="20"/>
          <w:szCs w:val="20"/>
          <w:color w:val="auto"/>
          <w:vertAlign w:val="superscript"/>
        </w:rPr>
        <w:t>(3)</w:t>
      </w:r>
      <w:r>
        <w:rPr>
          <w:rFonts w:ascii="Times New Roman" w:cs="Times New Roman" w:eastAsia="Times New Roman" w:hAnsi="Times New Roman"/>
          <w:sz w:val="16"/>
          <w:szCs w:val="16"/>
          <w:color w:val="auto"/>
        </w:rPr>
        <w:t>Represents gains and losses recognized during the quarter due to changes in valuation of the Lebanese pound and the Egyptian pound.</w:t>
      </w:r>
    </w:p>
    <w:p>
      <w:pPr>
        <w:spacing w:after="0" w:line="1" w:lineRule="exact"/>
        <w:rPr>
          <w:sz w:val="20"/>
          <w:szCs w:val="20"/>
          <w:color w:val="auto"/>
        </w:rPr>
      </w:pPr>
    </w:p>
    <w:p>
      <w:pPr>
        <w:spacing w:after="0" w:line="217" w:lineRule="auto"/>
        <w:rPr>
          <w:sz w:val="20"/>
          <w:szCs w:val="20"/>
          <w:color w:val="auto"/>
        </w:rPr>
      </w:pPr>
      <w:r>
        <w:rPr>
          <w:rFonts w:ascii="Times New Roman" w:cs="Times New Roman" w:eastAsia="Times New Roman" w:hAnsi="Times New Roman"/>
          <w:sz w:val="20"/>
          <w:szCs w:val="20"/>
          <w:color w:val="auto"/>
          <w:vertAlign w:val="superscript"/>
        </w:rPr>
        <w:t>(4)</w:t>
      </w:r>
      <w:r>
        <w:rPr>
          <w:rFonts w:ascii="Times New Roman" w:cs="Times New Roman" w:eastAsia="Times New Roman" w:hAnsi="Times New Roman"/>
          <w:sz w:val="16"/>
          <w:szCs w:val="16"/>
          <w:color w:val="auto"/>
        </w:rPr>
        <w:t>Represents company identified fraudulent ACH disbursements from a company bank account, net of recoveries. Additional details regarding this item are discussed in Note 1, “Basis of Presentation and Summary of Significant Accounting Policies”.</w:t>
      </w:r>
    </w:p>
    <w:p>
      <w:pPr>
        <w:spacing w:after="0" w:line="2" w:lineRule="exact"/>
        <w:rPr>
          <w:sz w:val="20"/>
          <w:szCs w:val="20"/>
          <w:color w:val="auto"/>
        </w:rPr>
      </w:pPr>
    </w:p>
    <w:p>
      <w:pPr>
        <w:spacing w:after="0" w:line="214" w:lineRule="auto"/>
        <w:rPr>
          <w:sz w:val="20"/>
          <w:szCs w:val="20"/>
          <w:color w:val="auto"/>
        </w:rPr>
      </w:pPr>
      <w:r>
        <w:rPr>
          <w:rFonts w:ascii="Times New Roman" w:cs="Times New Roman" w:eastAsia="Times New Roman" w:hAnsi="Times New Roman"/>
          <w:sz w:val="20"/>
          <w:szCs w:val="20"/>
          <w:color w:val="auto"/>
          <w:vertAlign w:val="superscript"/>
        </w:rPr>
        <w:t>(5)</w:t>
      </w:r>
      <w:r>
        <w:rPr>
          <w:rFonts w:ascii="Times New Roman" w:cs="Times New Roman" w:eastAsia="Times New Roman" w:hAnsi="Times New Roman"/>
          <w:sz w:val="16"/>
          <w:szCs w:val="16"/>
          <w:color w:val="auto"/>
        </w:rPr>
        <w:t>Represents expenses to respond to, remediate and investigate the April 13, 2023 cyber ransomware incident, net of insurance recoveries. Additional details regarding this cyber ransomware incident are discussed in Note 1, “Basis of Presentation and Summary of Significant Accounting Policies”.</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3435" cy="4191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45" w:name="page46"/>
    <w:bookmarkEnd w:id="4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vertAlign w:val="superscript"/>
        </w:rPr>
        <w:t>(6)</w:t>
      </w:r>
      <w:r>
        <w:rPr>
          <w:rFonts w:ascii="Times New Roman" w:cs="Times New Roman" w:eastAsia="Times New Roman" w:hAnsi="Times New Roman"/>
          <w:sz w:val="16"/>
          <w:szCs w:val="16"/>
          <w:color w:val="auto"/>
        </w:rPr>
        <w:t>Represents professional fees related to strategic initiatives which are considered non-operational in nature.</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Revenue</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40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540" w:type="dxa"/>
            <w:vAlign w:val="bottom"/>
            <w:gridSpan w:val="7"/>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8"/>
              </w:rPr>
              <w:t>Three months ended September 30</w:t>
            </w:r>
          </w:p>
        </w:tc>
        <w:tc>
          <w:tcPr>
            <w:tcW w:w="3000" w:type="dxa"/>
            <w:vAlign w:val="bottom"/>
            <w:gridSpan w:val="4"/>
          </w:tcPr>
          <w:p>
            <w:pPr>
              <w:ind w:left="620"/>
              <w:spacing w:after="0"/>
              <w:rPr>
                <w:sz w:val="20"/>
                <w:szCs w:val="20"/>
                <w:color w:val="auto"/>
              </w:rPr>
            </w:pPr>
            <w:r>
              <w:rPr>
                <w:rFonts w:ascii="Times New Roman" w:cs="Times New Roman" w:eastAsia="Times New Roman" w:hAnsi="Times New Roman"/>
                <w:sz w:val="14"/>
                <w:szCs w:val="14"/>
                <w:b w:val="1"/>
                <w:bCs w:val="1"/>
                <w:color w:val="auto"/>
              </w:rPr>
              <w:t>Percentage of Total Revenue</w:t>
            </w:r>
          </w:p>
        </w:tc>
        <w:tc>
          <w:tcPr>
            <w:tcW w:w="14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Increase (Decrease)</w:t>
            </w:r>
          </w:p>
        </w:tc>
        <w:tc>
          <w:tcPr>
            <w:tcW w:w="0" w:type="dxa"/>
            <w:vAlign w:val="bottom"/>
          </w:tcPr>
          <w:p>
            <w:pPr>
              <w:spacing w:after="0"/>
              <w:rPr>
                <w:sz w:val="1"/>
                <w:szCs w:val="1"/>
                <w:color w:val="auto"/>
              </w:rPr>
            </w:pPr>
          </w:p>
        </w:tc>
      </w:tr>
      <w:tr>
        <w:trPr>
          <w:trHeight w:val="23"/>
        </w:trPr>
        <w:tc>
          <w:tcPr>
            <w:tcW w:w="40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2"/>
        </w:trPr>
        <w:tc>
          <w:tcPr>
            <w:tcW w:w="4060" w:type="dxa"/>
            <w:vAlign w:val="bottom"/>
            <w:tcBorders>
              <w:bottom w:val="single" w:sz="8" w:color="CCEEFF"/>
            </w:tcBorders>
            <w:vMerge w:val="continue"/>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401"/>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43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5"/>
                <w:szCs w:val="15"/>
                <w:color w:val="auto"/>
              </w:rPr>
            </w:pPr>
          </w:p>
        </w:tc>
        <w:tc>
          <w:tcPr>
            <w:tcW w:w="1420" w:type="dxa"/>
            <w:vAlign w:val="bottom"/>
            <w:tcBorders>
              <w:bottom w:val="single" w:sz="8" w:color="auto"/>
            </w:tcBorders>
          </w:tcPr>
          <w:p>
            <w:pPr>
              <w:jc w:val="right"/>
              <w:ind w:right="50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5"/>
                <w:szCs w:val="15"/>
                <w:color w:val="auto"/>
              </w:rPr>
            </w:pPr>
          </w:p>
        </w:tc>
        <w:tc>
          <w:tcPr>
            <w:tcW w:w="1400" w:type="dxa"/>
            <w:vAlign w:val="bottom"/>
            <w:tcBorders>
              <w:bottom w:val="single" w:sz="8" w:color="auto"/>
            </w:tcBorders>
          </w:tcPr>
          <w:p>
            <w:pPr>
              <w:jc w:val="right"/>
              <w:ind w:right="478"/>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Borders>
              <w:bottom w:val="single" w:sz="8" w:color="CCEEFF"/>
            </w:tcBorders>
          </w:tcPr>
          <w:p>
            <w:pPr>
              <w:spacing w:after="0"/>
              <w:rPr>
                <w:sz w:val="15"/>
                <w:szCs w:val="15"/>
                <w:color w:val="auto"/>
              </w:rPr>
            </w:pPr>
          </w:p>
        </w:tc>
        <w:tc>
          <w:tcPr>
            <w:tcW w:w="1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2024 vs 2023</w:t>
            </w:r>
          </w:p>
        </w:tc>
        <w:tc>
          <w:tcPr>
            <w:tcW w:w="0" w:type="dxa"/>
            <w:vAlign w:val="bottom"/>
          </w:tcPr>
          <w:p>
            <w:pPr>
              <w:spacing w:after="0"/>
              <w:rPr>
                <w:sz w:val="1"/>
                <w:szCs w:val="1"/>
                <w:color w:val="auto"/>
              </w:rPr>
            </w:pPr>
          </w:p>
        </w:tc>
      </w:tr>
      <w:tr>
        <w:trPr>
          <w:trHeight w:val="219"/>
        </w:trPr>
        <w:tc>
          <w:tcPr>
            <w:tcW w:w="4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Product revenue</w:t>
            </w: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b w:val="1"/>
                <w:bCs w:val="1"/>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219</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296</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30.8 %</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36.6 %</w:t>
            </w:r>
          </w:p>
        </w:tc>
        <w:tc>
          <w:tcPr>
            <w:tcW w:w="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w:t>
            </w:r>
          </w:p>
        </w:tc>
        <w:tc>
          <w:tcPr>
            <w:tcW w:w="0" w:type="dxa"/>
            <w:vAlign w:val="bottom"/>
          </w:tcPr>
          <w:p>
            <w:pPr>
              <w:spacing w:after="0"/>
              <w:rPr>
                <w:sz w:val="1"/>
                <w:szCs w:val="1"/>
                <w:color w:val="auto"/>
              </w:rPr>
            </w:pPr>
          </w:p>
        </w:tc>
      </w:tr>
      <w:tr>
        <w:trPr>
          <w:trHeight w:val="220"/>
        </w:trPr>
        <w:tc>
          <w:tcPr>
            <w:tcW w:w="4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Service revenue</w:t>
            </w:r>
          </w:p>
        </w:tc>
        <w:tc>
          <w:tcPr>
            <w:tcW w:w="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492</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513</w:t>
            </w:r>
          </w:p>
        </w:tc>
        <w:tc>
          <w:tcPr>
            <w:tcW w:w="100" w:type="dxa"/>
            <w:vAlign w:val="bottom"/>
            <w:tcBorders>
              <w:bottom w:val="single" w:sz="8" w:color="CCEEFF"/>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69.2 %</w:t>
            </w:r>
          </w:p>
        </w:tc>
        <w:tc>
          <w:tcPr>
            <w:tcW w:w="100" w:type="dxa"/>
            <w:vAlign w:val="bottom"/>
            <w:tcBorders>
              <w:bottom w:val="single" w:sz="8" w:color="CCEEFF"/>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63.4 %</w:t>
            </w:r>
          </w:p>
        </w:tc>
        <w:tc>
          <w:tcPr>
            <w:tcW w:w="80" w:type="dxa"/>
            <w:vAlign w:val="bottom"/>
            <w:tcBorders>
              <w:bottom w:val="single" w:sz="8" w:color="CCEEFF"/>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0" w:type="dxa"/>
            <w:vAlign w:val="bottom"/>
          </w:tcPr>
          <w:p>
            <w:pPr>
              <w:spacing w:after="0"/>
              <w:rPr>
                <w:sz w:val="1"/>
                <w:szCs w:val="1"/>
                <w:color w:val="auto"/>
              </w:rPr>
            </w:pPr>
          </w:p>
        </w:tc>
      </w:tr>
      <w:tr>
        <w:trPr>
          <w:trHeight w:val="238"/>
        </w:trPr>
        <w:tc>
          <w:tcPr>
            <w:tcW w:w="4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Total revenue</w:t>
            </w:r>
          </w:p>
        </w:tc>
        <w:tc>
          <w:tcPr>
            <w:tcW w:w="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b w:val="1"/>
                <w:bCs w:val="1"/>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711</w:t>
            </w:r>
          </w:p>
        </w:tc>
        <w:tc>
          <w:tcPr>
            <w:tcW w:w="20" w:type="dxa"/>
            <w:vAlign w:val="bottom"/>
            <w:tcBorders>
              <w:bottom w:val="single" w:sz="8" w:color="auto"/>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809</w:t>
            </w:r>
          </w:p>
        </w:tc>
        <w:tc>
          <w:tcPr>
            <w:tcW w:w="10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100.0 %</w:t>
            </w:r>
          </w:p>
        </w:tc>
        <w:tc>
          <w:tcPr>
            <w:tcW w:w="10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100.0 %</w:t>
            </w:r>
          </w:p>
        </w:tc>
        <w:tc>
          <w:tcPr>
            <w:tcW w:w="8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w:t>
            </w:r>
          </w:p>
        </w:tc>
        <w:tc>
          <w:tcPr>
            <w:tcW w:w="0" w:type="dxa"/>
            <w:vAlign w:val="bottom"/>
          </w:tcPr>
          <w:p>
            <w:pPr>
              <w:spacing w:after="0"/>
              <w:rPr>
                <w:sz w:val="1"/>
                <w:szCs w:val="1"/>
                <w:color w:val="auto"/>
              </w:rPr>
            </w:pPr>
          </w:p>
        </w:tc>
      </w:tr>
      <w:tr>
        <w:trPr>
          <w:trHeight w:val="20"/>
        </w:trPr>
        <w:tc>
          <w:tcPr>
            <w:tcW w:w="40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9"/>
        </w:trPr>
        <w:tc>
          <w:tcPr>
            <w:tcW w:w="4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540" w:type="dxa"/>
            <w:vAlign w:val="bottom"/>
            <w:gridSpan w:val="7"/>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8"/>
              </w:rPr>
              <w:t>Nine months ended September 30</w:t>
            </w:r>
          </w:p>
        </w:tc>
        <w:tc>
          <w:tcPr>
            <w:tcW w:w="3000" w:type="dxa"/>
            <w:vAlign w:val="bottom"/>
            <w:gridSpan w:val="4"/>
          </w:tcPr>
          <w:p>
            <w:pPr>
              <w:ind w:left="660"/>
              <w:spacing w:after="0"/>
              <w:rPr>
                <w:sz w:val="20"/>
                <w:szCs w:val="20"/>
                <w:color w:val="auto"/>
              </w:rPr>
            </w:pPr>
            <w:r>
              <w:rPr>
                <w:rFonts w:ascii="Times New Roman" w:cs="Times New Roman" w:eastAsia="Times New Roman" w:hAnsi="Times New Roman"/>
                <w:sz w:val="14"/>
                <w:szCs w:val="14"/>
                <w:b w:val="1"/>
                <w:bCs w:val="1"/>
                <w:color w:val="auto"/>
              </w:rPr>
              <w:t>Percentage of Total Revenue</w:t>
            </w:r>
          </w:p>
        </w:tc>
        <w:tc>
          <w:tcPr>
            <w:tcW w:w="14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Increase (Decrease)</w:t>
            </w:r>
          </w:p>
        </w:tc>
        <w:tc>
          <w:tcPr>
            <w:tcW w:w="0" w:type="dxa"/>
            <w:vAlign w:val="bottom"/>
          </w:tcPr>
          <w:p>
            <w:pPr>
              <w:spacing w:after="0"/>
              <w:rPr>
                <w:sz w:val="1"/>
                <w:szCs w:val="1"/>
                <w:color w:val="auto"/>
              </w:rPr>
            </w:pPr>
          </w:p>
        </w:tc>
      </w:tr>
      <w:tr>
        <w:trPr>
          <w:trHeight w:val="23"/>
        </w:trPr>
        <w:tc>
          <w:tcPr>
            <w:tcW w:w="40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2"/>
        </w:trPr>
        <w:tc>
          <w:tcPr>
            <w:tcW w:w="4060" w:type="dxa"/>
            <w:vAlign w:val="bottom"/>
            <w:tcBorders>
              <w:bottom w:val="single" w:sz="8" w:color="CCEEFF"/>
            </w:tcBorders>
            <w:vMerge w:val="continue"/>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421"/>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43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5"/>
                <w:szCs w:val="15"/>
                <w:color w:val="auto"/>
              </w:rPr>
            </w:pPr>
          </w:p>
        </w:tc>
        <w:tc>
          <w:tcPr>
            <w:tcW w:w="1420" w:type="dxa"/>
            <w:vAlign w:val="bottom"/>
            <w:tcBorders>
              <w:bottom w:val="single" w:sz="8" w:color="auto"/>
            </w:tcBorders>
          </w:tcPr>
          <w:p>
            <w:pPr>
              <w:jc w:val="right"/>
              <w:ind w:right="50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5"/>
                <w:szCs w:val="15"/>
                <w:color w:val="auto"/>
              </w:rPr>
            </w:pPr>
          </w:p>
        </w:tc>
        <w:tc>
          <w:tcPr>
            <w:tcW w:w="1400" w:type="dxa"/>
            <w:vAlign w:val="bottom"/>
            <w:tcBorders>
              <w:bottom w:val="single" w:sz="8" w:color="auto"/>
            </w:tcBorders>
          </w:tcPr>
          <w:p>
            <w:pPr>
              <w:jc w:val="right"/>
              <w:ind w:right="478"/>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Borders>
              <w:bottom w:val="single" w:sz="8" w:color="CCEEFF"/>
            </w:tcBorders>
          </w:tcPr>
          <w:p>
            <w:pPr>
              <w:spacing w:after="0"/>
              <w:rPr>
                <w:sz w:val="15"/>
                <w:szCs w:val="15"/>
                <w:color w:val="auto"/>
              </w:rPr>
            </w:pPr>
          </w:p>
        </w:tc>
        <w:tc>
          <w:tcPr>
            <w:tcW w:w="1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2024 vs 2023</w:t>
            </w:r>
          </w:p>
        </w:tc>
        <w:tc>
          <w:tcPr>
            <w:tcW w:w="0" w:type="dxa"/>
            <w:vAlign w:val="bottom"/>
          </w:tcPr>
          <w:p>
            <w:pPr>
              <w:spacing w:after="0"/>
              <w:rPr>
                <w:sz w:val="1"/>
                <w:szCs w:val="1"/>
                <w:color w:val="auto"/>
              </w:rPr>
            </w:pPr>
          </w:p>
        </w:tc>
      </w:tr>
      <w:tr>
        <w:trPr>
          <w:trHeight w:val="219"/>
        </w:trPr>
        <w:tc>
          <w:tcPr>
            <w:tcW w:w="4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Product revenue</w:t>
            </w:r>
          </w:p>
        </w:tc>
        <w:tc>
          <w:tcPr>
            <w:tcW w:w="240" w:type="dxa"/>
            <w:vAlign w:val="bottom"/>
            <w:gridSpan w:val="2"/>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684</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875</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31.9 %</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36.7 %</w:t>
            </w:r>
          </w:p>
        </w:tc>
        <w:tc>
          <w:tcPr>
            <w:tcW w:w="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w:t>
            </w:r>
          </w:p>
        </w:tc>
        <w:tc>
          <w:tcPr>
            <w:tcW w:w="0" w:type="dxa"/>
            <w:vAlign w:val="bottom"/>
          </w:tcPr>
          <w:p>
            <w:pPr>
              <w:spacing w:after="0"/>
              <w:rPr>
                <w:sz w:val="1"/>
                <w:szCs w:val="1"/>
                <w:color w:val="auto"/>
              </w:rPr>
            </w:pPr>
          </w:p>
        </w:tc>
      </w:tr>
      <w:tr>
        <w:trPr>
          <w:trHeight w:val="220"/>
        </w:trPr>
        <w:tc>
          <w:tcPr>
            <w:tcW w:w="4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Service revenue</w:t>
            </w:r>
          </w:p>
        </w:tc>
        <w:tc>
          <w:tcPr>
            <w:tcW w:w="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1,460</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1,507</w:t>
            </w:r>
          </w:p>
        </w:tc>
        <w:tc>
          <w:tcPr>
            <w:tcW w:w="100" w:type="dxa"/>
            <w:vAlign w:val="bottom"/>
            <w:tcBorders>
              <w:bottom w:val="single" w:sz="8" w:color="CCEEFF"/>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68.1 %</w:t>
            </w:r>
          </w:p>
        </w:tc>
        <w:tc>
          <w:tcPr>
            <w:tcW w:w="100" w:type="dxa"/>
            <w:vAlign w:val="bottom"/>
            <w:tcBorders>
              <w:bottom w:val="single" w:sz="8" w:color="CCEEFF"/>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63.3 %</w:t>
            </w:r>
          </w:p>
        </w:tc>
        <w:tc>
          <w:tcPr>
            <w:tcW w:w="80" w:type="dxa"/>
            <w:vAlign w:val="bottom"/>
            <w:tcBorders>
              <w:bottom w:val="single" w:sz="8" w:color="CCEEFF"/>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0" w:type="dxa"/>
            <w:vAlign w:val="bottom"/>
          </w:tcPr>
          <w:p>
            <w:pPr>
              <w:spacing w:after="0"/>
              <w:rPr>
                <w:sz w:val="1"/>
                <w:szCs w:val="1"/>
                <w:color w:val="auto"/>
              </w:rPr>
            </w:pPr>
          </w:p>
        </w:tc>
      </w:tr>
      <w:tr>
        <w:trPr>
          <w:trHeight w:val="238"/>
        </w:trPr>
        <w:tc>
          <w:tcPr>
            <w:tcW w:w="4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Total revenue</w:t>
            </w:r>
          </w:p>
        </w:tc>
        <w:tc>
          <w:tcPr>
            <w:tcW w:w="240" w:type="dxa"/>
            <w:vAlign w:val="bottom"/>
            <w:tcBorders>
              <w:bottom w:val="single" w:sz="8" w:color="auto"/>
            </w:tcBorders>
            <w:gridSpan w:val="2"/>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2,144</w:t>
            </w: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2,382</w:t>
            </w:r>
          </w:p>
        </w:tc>
        <w:tc>
          <w:tcPr>
            <w:tcW w:w="10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100.0 %</w:t>
            </w:r>
          </w:p>
        </w:tc>
        <w:tc>
          <w:tcPr>
            <w:tcW w:w="10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100.0 %</w:t>
            </w:r>
          </w:p>
        </w:tc>
        <w:tc>
          <w:tcPr>
            <w:tcW w:w="8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w:t>
            </w:r>
          </w:p>
        </w:tc>
        <w:tc>
          <w:tcPr>
            <w:tcW w:w="0" w:type="dxa"/>
            <w:vAlign w:val="bottom"/>
          </w:tcPr>
          <w:p>
            <w:pPr>
              <w:spacing w:after="0"/>
              <w:rPr>
                <w:sz w:val="1"/>
                <w:szCs w:val="1"/>
                <w:color w:val="auto"/>
              </w:rPr>
            </w:pPr>
          </w:p>
        </w:tc>
      </w:tr>
      <w:tr>
        <w:trPr>
          <w:trHeight w:val="20"/>
        </w:trPr>
        <w:tc>
          <w:tcPr>
            <w:tcW w:w="40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7"/>
          <w:szCs w:val="17"/>
          <w:color w:val="auto"/>
        </w:rPr>
        <w:t>Product revenue includes our hardware and software license revenue streams. Service revenue includes hardware and software maintenance revenue, implementation services revenue, cloud revenue, payments processing revenue as well as professional services revenue.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For the three and nine months ended September 30, 2024 compared to the three and nine months ended September 30, 2023</w:t>
      </w:r>
    </w:p>
    <w:p>
      <w:pPr>
        <w:spacing w:after="0" w:line="24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Total revenue decreased 12% for the three months ended September 30, 2024 compared to the three months ended September 30, 2023. Product revenue for the three months ended September 30, 2024 decreased 26% compared to the three months ended September 30, 2023 due to a decline in SCO and POS hardware revenues, as well as a decrease in software license revenues for one-time revenue recognized in 2023. Service revenue for the three months ended September 30, 2024 decreased 4% compared to the three months ended September 30, 2023 due to a decrease in payment processing services revenue due to the divestiture at the end of 2023 as well as one-time installation services in 2023.</w:t>
      </w:r>
    </w:p>
    <w:p>
      <w:pPr>
        <w:spacing w:after="0" w:line="195"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Total revenue decreased 10% for the nine months ended September 30, 2024 compared to the nine months ended September 30, 2023. Product revenue for the nine months ended September 30, 2024 decreased 22% compared to the nine months ended September 30, 2023 due to a decline in SCO and POS hardware revenues, as well as a decrease in software license revenue for one-time revenue recognized in 2023. Service revenue for the nine months ended September 30, 2024 decreased 3% compared to the nine months ended September 30, 2023 due to a decrease in payment processing services revenue due to the divestiture at the end of 2023 as well as one-time installation services in 2023.</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Gross Margin</w:t>
      </w:r>
    </w:p>
    <w:p>
      <w:pPr>
        <w:spacing w:after="0" w:line="44"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3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560" w:type="dxa"/>
            <w:vAlign w:val="bottom"/>
            <w:gridSpan w:val="5"/>
          </w:tcPr>
          <w:p>
            <w:pPr>
              <w:ind w:left="10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980" w:type="dxa"/>
            <w:vAlign w:val="bottom"/>
            <w:gridSpan w:val="4"/>
          </w:tcPr>
          <w:p>
            <w:pPr>
              <w:ind w:left="760"/>
              <w:spacing w:after="0"/>
              <w:rPr>
                <w:sz w:val="20"/>
                <w:szCs w:val="20"/>
                <w:color w:val="auto"/>
              </w:rPr>
            </w:pPr>
            <w:r>
              <w:rPr>
                <w:rFonts w:ascii="Times New Roman" w:cs="Times New Roman" w:eastAsia="Times New Roman" w:hAnsi="Times New Roman"/>
                <w:sz w:val="14"/>
                <w:szCs w:val="14"/>
                <w:b w:val="1"/>
                <w:bCs w:val="1"/>
                <w:color w:val="auto"/>
              </w:rPr>
              <w:t xml:space="preserve">Percentage of Revenue </w:t>
            </w:r>
            <w:r>
              <w:rPr>
                <w:rFonts w:ascii="Times New Roman" w:cs="Times New Roman" w:eastAsia="Times New Roman" w:hAnsi="Times New Roman"/>
                <w:sz w:val="17"/>
                <w:szCs w:val="17"/>
                <w:b w:val="1"/>
                <w:bCs w:val="1"/>
                <w:color w:val="auto"/>
                <w:vertAlign w:val="superscript"/>
              </w:rPr>
              <w:t>(1)</w:t>
            </w:r>
          </w:p>
        </w:tc>
        <w:tc>
          <w:tcPr>
            <w:tcW w:w="1440" w:type="dxa"/>
            <w:vAlign w:val="bottom"/>
          </w:tcPr>
          <w:p>
            <w:pPr>
              <w:jc w:val="right"/>
              <w:ind w:right="61"/>
              <w:spacing w:after="0"/>
              <w:rPr>
                <w:sz w:val="20"/>
                <w:szCs w:val="20"/>
                <w:color w:val="auto"/>
              </w:rPr>
            </w:pPr>
            <w:r>
              <w:rPr>
                <w:rFonts w:ascii="Times New Roman" w:cs="Times New Roman" w:eastAsia="Times New Roman" w:hAnsi="Times New Roman"/>
                <w:sz w:val="14"/>
                <w:szCs w:val="14"/>
                <w:b w:val="1"/>
                <w:bCs w:val="1"/>
                <w:color w:val="auto"/>
              </w:rPr>
              <w:t>Increase (Decrease)</w:t>
            </w:r>
          </w:p>
        </w:tc>
      </w:tr>
      <w:tr>
        <w:trPr>
          <w:trHeight w:val="182"/>
        </w:trPr>
        <w:tc>
          <w:tcPr>
            <w:tcW w:w="3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00" w:type="dxa"/>
            <w:vAlign w:val="bottom"/>
            <w:tcBorders>
              <w:top w:val="single" w:sz="8" w:color="auto"/>
              <w:bottom w:val="single" w:sz="8" w:color="auto"/>
            </w:tcBorders>
          </w:tcPr>
          <w:p>
            <w:pPr>
              <w:spacing w:after="0"/>
              <w:rPr>
                <w:sz w:val="15"/>
                <w:szCs w:val="15"/>
                <w:color w:val="auto"/>
              </w:rPr>
            </w:pPr>
          </w:p>
        </w:tc>
        <w:tc>
          <w:tcPr>
            <w:tcW w:w="1120" w:type="dxa"/>
            <w:vAlign w:val="bottom"/>
            <w:tcBorders>
              <w:top w:val="single" w:sz="8" w:color="auto"/>
              <w:bottom w:val="single" w:sz="8" w:color="auto"/>
            </w:tcBorders>
          </w:tcPr>
          <w:p>
            <w:pPr>
              <w:jc w:val="right"/>
              <w:ind w:right="44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top w:val="single" w:sz="8" w:color="auto"/>
              <w:bottom w:val="single" w:sz="8" w:color="CCEEFF"/>
            </w:tcBorders>
          </w:tcPr>
          <w:p>
            <w:pPr>
              <w:spacing w:after="0"/>
              <w:rPr>
                <w:sz w:val="15"/>
                <w:szCs w:val="15"/>
                <w:color w:val="auto"/>
              </w:rPr>
            </w:pPr>
          </w:p>
        </w:tc>
        <w:tc>
          <w:tcPr>
            <w:tcW w:w="300" w:type="dxa"/>
            <w:vAlign w:val="bottom"/>
            <w:tcBorders>
              <w:top w:val="single" w:sz="8" w:color="auto"/>
              <w:bottom w:val="single" w:sz="8" w:color="auto"/>
            </w:tcBorders>
          </w:tcPr>
          <w:p>
            <w:pPr>
              <w:spacing w:after="0"/>
              <w:rPr>
                <w:sz w:val="15"/>
                <w:szCs w:val="15"/>
                <w:color w:val="auto"/>
              </w:rPr>
            </w:pPr>
          </w:p>
        </w:tc>
        <w:tc>
          <w:tcPr>
            <w:tcW w:w="940" w:type="dxa"/>
            <w:vAlign w:val="bottom"/>
            <w:tcBorders>
              <w:top w:val="single" w:sz="8" w:color="auto"/>
              <w:bottom w:val="single" w:sz="8" w:color="auto"/>
            </w:tcBorders>
          </w:tcPr>
          <w:p>
            <w:pPr>
              <w:jc w:val="right"/>
              <w:ind w:right="39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5"/>
                <w:szCs w:val="15"/>
                <w:color w:val="auto"/>
              </w:rPr>
            </w:pPr>
          </w:p>
        </w:tc>
        <w:tc>
          <w:tcPr>
            <w:tcW w:w="1420" w:type="dxa"/>
            <w:vAlign w:val="bottom"/>
            <w:tcBorders>
              <w:top w:val="single" w:sz="8" w:color="auto"/>
              <w:bottom w:val="single" w:sz="8" w:color="auto"/>
            </w:tcBorders>
          </w:tcPr>
          <w:p>
            <w:pPr>
              <w:jc w:val="right"/>
              <w:ind w:right="501"/>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top w:val="single" w:sz="8" w:color="auto"/>
              <w:bottom w:val="single" w:sz="8" w:color="CCEEFF"/>
            </w:tcBorders>
          </w:tcPr>
          <w:p>
            <w:pPr>
              <w:spacing w:after="0"/>
              <w:rPr>
                <w:sz w:val="15"/>
                <w:szCs w:val="15"/>
                <w:color w:val="auto"/>
              </w:rPr>
            </w:pPr>
          </w:p>
        </w:tc>
        <w:tc>
          <w:tcPr>
            <w:tcW w:w="1400" w:type="dxa"/>
            <w:vAlign w:val="bottom"/>
            <w:tcBorders>
              <w:top w:val="single" w:sz="8" w:color="auto"/>
              <w:bottom w:val="single" w:sz="8" w:color="auto"/>
            </w:tcBorders>
          </w:tcPr>
          <w:p>
            <w:pPr>
              <w:jc w:val="right"/>
              <w:ind w:right="478"/>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Borders>
              <w:top w:val="single" w:sz="8" w:color="auto"/>
              <w:bottom w:val="single" w:sz="8" w:color="CCEEFF"/>
            </w:tcBorders>
          </w:tcPr>
          <w:p>
            <w:pPr>
              <w:spacing w:after="0"/>
              <w:rPr>
                <w:sz w:val="15"/>
                <w:szCs w:val="15"/>
                <w:color w:val="auto"/>
              </w:rPr>
            </w:pPr>
          </w:p>
        </w:tc>
        <w:tc>
          <w:tcPr>
            <w:tcW w:w="1440" w:type="dxa"/>
            <w:vAlign w:val="bottom"/>
            <w:tcBorders>
              <w:top w:val="single" w:sz="8" w:color="auto"/>
              <w:bottom w:val="single" w:sz="8" w:color="auto"/>
            </w:tcBorders>
          </w:tcPr>
          <w:p>
            <w:pPr>
              <w:jc w:val="right"/>
              <w:ind w:right="281"/>
              <w:spacing w:after="0"/>
              <w:rPr>
                <w:sz w:val="20"/>
                <w:szCs w:val="20"/>
                <w:color w:val="auto"/>
              </w:rPr>
            </w:pPr>
            <w:r>
              <w:rPr>
                <w:rFonts w:ascii="Times New Roman" w:cs="Times New Roman" w:eastAsia="Times New Roman" w:hAnsi="Times New Roman"/>
                <w:sz w:val="14"/>
                <w:szCs w:val="14"/>
                <w:b w:val="1"/>
                <w:bCs w:val="1"/>
                <w:color w:val="auto"/>
              </w:rPr>
              <w:t>2024 v 2023</w:t>
            </w:r>
          </w:p>
        </w:tc>
      </w:tr>
      <w:tr>
        <w:trPr>
          <w:trHeight w:val="219"/>
        </w:trPr>
        <w:tc>
          <w:tcPr>
            <w:tcW w:w="3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Product gross margin</w:t>
            </w:r>
          </w:p>
        </w:tc>
        <w:tc>
          <w:tcPr>
            <w:tcW w:w="2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1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7"/>
                <w:szCs w:val="17"/>
                <w:b w:val="1"/>
                <w:bCs w:val="1"/>
                <w:color w:val="auto"/>
              </w:rPr>
              <w:t>34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15.5 %</w:t>
            </w:r>
          </w:p>
        </w:tc>
        <w:tc>
          <w:tcPr>
            <w:tcW w:w="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14.5 %</w:t>
            </w:r>
          </w:p>
        </w:tc>
        <w:tc>
          <w:tcPr>
            <w:tcW w:w="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w:t>
            </w:r>
          </w:p>
        </w:tc>
      </w:tr>
      <w:tr>
        <w:trPr>
          <w:trHeight w:val="220"/>
        </w:trPr>
        <w:tc>
          <w:tcPr>
            <w:tcW w:w="3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Service gross margin</w:t>
            </w:r>
          </w:p>
        </w:tc>
        <w:tc>
          <w:tcPr>
            <w:tcW w:w="2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7"/>
                <w:szCs w:val="17"/>
                <w:b w:val="1"/>
                <w:bCs w:val="1"/>
                <w:color w:val="auto"/>
              </w:rPr>
              <w:t>132</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152</w:t>
            </w:r>
          </w:p>
        </w:tc>
        <w:tc>
          <w:tcPr>
            <w:tcW w:w="100" w:type="dxa"/>
            <w:vAlign w:val="bottom"/>
            <w:tcBorders>
              <w:bottom w:val="single" w:sz="8" w:color="CCEEFF"/>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26.8 %</w:t>
            </w:r>
          </w:p>
        </w:tc>
        <w:tc>
          <w:tcPr>
            <w:tcW w:w="80" w:type="dxa"/>
            <w:vAlign w:val="bottom"/>
            <w:tcBorders>
              <w:bottom w:val="single" w:sz="8" w:color="CCEEFF"/>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29.6 %</w:t>
            </w:r>
          </w:p>
        </w:tc>
        <w:tc>
          <w:tcPr>
            <w:tcW w:w="80" w:type="dxa"/>
            <w:vAlign w:val="bottom"/>
            <w:tcBorders>
              <w:bottom w:val="single" w:sz="8" w:color="CCEEFF"/>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w:t>
            </w:r>
          </w:p>
        </w:tc>
      </w:tr>
      <w:tr>
        <w:trPr>
          <w:trHeight w:val="238"/>
        </w:trPr>
        <w:tc>
          <w:tcPr>
            <w:tcW w:w="3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Total gross margin</w:t>
            </w:r>
          </w:p>
        </w:tc>
        <w:tc>
          <w:tcPr>
            <w:tcW w:w="20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12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7"/>
                <w:szCs w:val="17"/>
                <w:b w:val="1"/>
                <w:bCs w:val="1"/>
                <w:color w:val="auto"/>
              </w:rPr>
              <w:t>166</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195</w:t>
            </w:r>
          </w:p>
        </w:tc>
        <w:tc>
          <w:tcPr>
            <w:tcW w:w="10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23.3 %</w:t>
            </w:r>
          </w:p>
        </w:tc>
        <w:tc>
          <w:tcPr>
            <w:tcW w:w="8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24.1 %</w:t>
            </w:r>
          </w:p>
        </w:tc>
        <w:tc>
          <w:tcPr>
            <w:tcW w:w="8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w:t>
            </w:r>
          </w:p>
        </w:tc>
      </w:tr>
      <w:tr>
        <w:trPr>
          <w:trHeight w:val="20"/>
        </w:trPr>
        <w:tc>
          <w:tcPr>
            <w:tcW w:w="39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r>
    </w:tbl>
    <w:p>
      <w:pPr>
        <w:spacing w:after="0" w:line="36" w:lineRule="exact"/>
        <w:rPr>
          <w:sz w:val="20"/>
          <w:szCs w:val="20"/>
          <w:color w:val="auto"/>
        </w:rPr>
      </w:pPr>
    </w:p>
    <w:p>
      <w:pPr>
        <w:ind w:left="160" w:hanging="156"/>
        <w:spacing w:after="0"/>
        <w:tabs>
          <w:tab w:leader="none" w:pos="160" w:val="left"/>
        </w:tabs>
        <w:numPr>
          <w:ilvl w:val="0"/>
          <w:numId w:val="14"/>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6"/>
          <w:szCs w:val="16"/>
          <w:color w:val="auto"/>
        </w:rPr>
        <w:t>The percentage of revenue is calculated for each line item divided by the related component of revenue.</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For the three months ended September 30, 2024 compared to the three months ended September 30, 2023</w:t>
      </w:r>
    </w:p>
    <w:p>
      <w:pPr>
        <w:spacing w:after="0" w:line="24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Gross margin as a percentage of revenue in the three months ended September 30, 2024 was 23.3% compared to 24.1% in the three months ended September 30, 2023 due to a decline in gross margin related to payments processing services from the divestiture at the end of 2023. Additionally, gross margin for the three months ended September 30, 2024 included $1 million of strategic initiative costs, $2 million of stock-based compensation expense and $3 million of amortization of acquisition-related intangible assets. Gross margin for the three months ended September 30, 2023 included $2 million of stock-based compensation expense, $11 million of amortization of acquisition-related intangible assets and $3 million of cyber ransomware incident recovery costs.</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3435" cy="4191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3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540" w:type="dxa"/>
            <w:vAlign w:val="bottom"/>
            <w:gridSpan w:val="5"/>
          </w:tcPr>
          <w:p>
            <w:pPr>
              <w:ind w:left="12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2980" w:type="dxa"/>
            <w:vAlign w:val="bottom"/>
            <w:gridSpan w:val="4"/>
          </w:tcPr>
          <w:p>
            <w:pPr>
              <w:ind w:left="700"/>
              <w:spacing w:after="0"/>
              <w:rPr>
                <w:sz w:val="20"/>
                <w:szCs w:val="20"/>
                <w:color w:val="auto"/>
              </w:rPr>
            </w:pPr>
            <w:r>
              <w:rPr>
                <w:rFonts w:ascii="Times New Roman" w:cs="Times New Roman" w:eastAsia="Times New Roman" w:hAnsi="Times New Roman"/>
                <w:sz w:val="14"/>
                <w:szCs w:val="14"/>
                <w:b w:val="1"/>
                <w:bCs w:val="1"/>
                <w:color w:val="auto"/>
              </w:rPr>
              <w:t xml:space="preserve">Percentage of Revenue </w:t>
            </w:r>
            <w:r>
              <w:rPr>
                <w:rFonts w:ascii="Times New Roman" w:cs="Times New Roman" w:eastAsia="Times New Roman" w:hAnsi="Times New Roman"/>
                <w:sz w:val="17"/>
                <w:szCs w:val="17"/>
                <w:b w:val="1"/>
                <w:bCs w:val="1"/>
                <w:color w:val="auto"/>
                <w:vertAlign w:val="superscript"/>
              </w:rPr>
              <w:t>(1)</w:t>
            </w:r>
          </w:p>
        </w:tc>
        <w:tc>
          <w:tcPr>
            <w:tcW w:w="1440" w:type="dxa"/>
            <w:vAlign w:val="bottom"/>
          </w:tcPr>
          <w:p>
            <w:pPr>
              <w:jc w:val="right"/>
              <w:ind w:right="61"/>
              <w:spacing w:after="0"/>
              <w:rPr>
                <w:sz w:val="20"/>
                <w:szCs w:val="20"/>
                <w:color w:val="auto"/>
              </w:rPr>
            </w:pPr>
            <w:r>
              <w:rPr>
                <w:rFonts w:ascii="Times New Roman" w:cs="Times New Roman" w:eastAsia="Times New Roman" w:hAnsi="Times New Roman"/>
                <w:sz w:val="14"/>
                <w:szCs w:val="14"/>
                <w:b w:val="1"/>
                <w:bCs w:val="1"/>
                <w:color w:val="auto"/>
              </w:rPr>
              <w:t>Increase (Decrease)</w:t>
            </w:r>
          </w:p>
        </w:tc>
      </w:tr>
      <w:tr>
        <w:trPr>
          <w:trHeight w:val="182"/>
        </w:trPr>
        <w:tc>
          <w:tcPr>
            <w:tcW w:w="3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20" w:type="dxa"/>
            <w:vAlign w:val="bottom"/>
            <w:tcBorders>
              <w:top w:val="single" w:sz="8" w:color="auto"/>
              <w:bottom w:val="single" w:sz="8" w:color="auto"/>
            </w:tcBorders>
          </w:tcPr>
          <w:p>
            <w:pPr>
              <w:spacing w:after="0"/>
              <w:rPr>
                <w:sz w:val="15"/>
                <w:szCs w:val="15"/>
                <w:color w:val="auto"/>
              </w:rPr>
            </w:pPr>
          </w:p>
        </w:tc>
        <w:tc>
          <w:tcPr>
            <w:tcW w:w="1100" w:type="dxa"/>
            <w:vAlign w:val="bottom"/>
            <w:tcBorders>
              <w:top w:val="single" w:sz="8" w:color="auto"/>
              <w:bottom w:val="single" w:sz="8" w:color="auto"/>
            </w:tcBorders>
          </w:tcPr>
          <w:p>
            <w:pPr>
              <w:jc w:val="right"/>
              <w:ind w:right="44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top w:val="single" w:sz="8" w:color="auto"/>
              <w:bottom w:val="single" w:sz="8" w:color="CCEEFF"/>
            </w:tcBorders>
          </w:tcPr>
          <w:p>
            <w:pPr>
              <w:spacing w:after="0"/>
              <w:rPr>
                <w:sz w:val="15"/>
                <w:szCs w:val="15"/>
                <w:color w:val="auto"/>
              </w:rPr>
            </w:pPr>
          </w:p>
        </w:tc>
        <w:tc>
          <w:tcPr>
            <w:tcW w:w="300" w:type="dxa"/>
            <w:vAlign w:val="bottom"/>
            <w:tcBorders>
              <w:top w:val="single" w:sz="8" w:color="auto"/>
              <w:bottom w:val="single" w:sz="8" w:color="auto"/>
            </w:tcBorders>
          </w:tcPr>
          <w:p>
            <w:pPr>
              <w:spacing w:after="0"/>
              <w:rPr>
                <w:sz w:val="15"/>
                <w:szCs w:val="15"/>
                <w:color w:val="auto"/>
              </w:rPr>
            </w:pPr>
          </w:p>
        </w:tc>
        <w:tc>
          <w:tcPr>
            <w:tcW w:w="940" w:type="dxa"/>
            <w:vAlign w:val="bottom"/>
            <w:tcBorders>
              <w:top w:val="single" w:sz="8" w:color="auto"/>
              <w:bottom w:val="single" w:sz="8" w:color="auto"/>
            </w:tcBorders>
          </w:tcPr>
          <w:p>
            <w:pPr>
              <w:jc w:val="right"/>
              <w:ind w:right="39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5"/>
                <w:szCs w:val="15"/>
                <w:color w:val="auto"/>
              </w:rPr>
            </w:pPr>
          </w:p>
        </w:tc>
        <w:tc>
          <w:tcPr>
            <w:tcW w:w="1420" w:type="dxa"/>
            <w:vAlign w:val="bottom"/>
            <w:tcBorders>
              <w:top w:val="single" w:sz="8" w:color="auto"/>
              <w:bottom w:val="single" w:sz="8" w:color="auto"/>
            </w:tcBorders>
          </w:tcPr>
          <w:p>
            <w:pPr>
              <w:jc w:val="right"/>
              <w:ind w:right="501"/>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top w:val="single" w:sz="8" w:color="auto"/>
              <w:bottom w:val="single" w:sz="8" w:color="CCEEFF"/>
            </w:tcBorders>
          </w:tcPr>
          <w:p>
            <w:pPr>
              <w:spacing w:after="0"/>
              <w:rPr>
                <w:sz w:val="15"/>
                <w:szCs w:val="15"/>
                <w:color w:val="auto"/>
              </w:rPr>
            </w:pPr>
          </w:p>
        </w:tc>
        <w:tc>
          <w:tcPr>
            <w:tcW w:w="1400" w:type="dxa"/>
            <w:vAlign w:val="bottom"/>
            <w:tcBorders>
              <w:top w:val="single" w:sz="8" w:color="auto"/>
              <w:bottom w:val="single" w:sz="8" w:color="auto"/>
            </w:tcBorders>
          </w:tcPr>
          <w:p>
            <w:pPr>
              <w:jc w:val="right"/>
              <w:ind w:right="478"/>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Borders>
              <w:bottom w:val="single" w:sz="8" w:color="CCEEFF"/>
            </w:tcBorders>
          </w:tcPr>
          <w:p>
            <w:pPr>
              <w:spacing w:after="0"/>
              <w:rPr>
                <w:sz w:val="15"/>
                <w:szCs w:val="15"/>
                <w:color w:val="auto"/>
              </w:rPr>
            </w:pPr>
          </w:p>
        </w:tc>
        <w:tc>
          <w:tcPr>
            <w:tcW w:w="1440" w:type="dxa"/>
            <w:vAlign w:val="bottom"/>
            <w:tcBorders>
              <w:top w:val="single" w:sz="8" w:color="auto"/>
              <w:bottom w:val="single" w:sz="8" w:color="auto"/>
            </w:tcBorders>
          </w:tcPr>
          <w:p>
            <w:pPr>
              <w:jc w:val="right"/>
              <w:ind w:right="281"/>
              <w:spacing w:after="0"/>
              <w:rPr>
                <w:sz w:val="20"/>
                <w:szCs w:val="20"/>
                <w:color w:val="auto"/>
              </w:rPr>
            </w:pPr>
            <w:r>
              <w:rPr>
                <w:rFonts w:ascii="Times New Roman" w:cs="Times New Roman" w:eastAsia="Times New Roman" w:hAnsi="Times New Roman"/>
                <w:sz w:val="14"/>
                <w:szCs w:val="14"/>
                <w:b w:val="1"/>
                <w:bCs w:val="1"/>
                <w:color w:val="auto"/>
              </w:rPr>
              <w:t>2024 v 2023</w:t>
            </w:r>
          </w:p>
        </w:tc>
      </w:tr>
      <w:tr>
        <w:trPr>
          <w:trHeight w:val="219"/>
        </w:trPr>
        <w:tc>
          <w:tcPr>
            <w:tcW w:w="3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Product gross margin</w:t>
            </w:r>
          </w:p>
        </w:tc>
        <w:tc>
          <w:tcPr>
            <w:tcW w:w="2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1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7"/>
                <w:szCs w:val="17"/>
                <w:b w:val="1"/>
                <w:bCs w:val="1"/>
                <w:color w:val="auto"/>
              </w:rPr>
              <w:t>90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104</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13.2 %</w:t>
            </w:r>
          </w:p>
        </w:tc>
        <w:tc>
          <w:tcPr>
            <w:tcW w:w="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11.9 %</w:t>
            </w:r>
          </w:p>
        </w:tc>
        <w:tc>
          <w:tcPr>
            <w:tcW w:w="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w:t>
            </w:r>
          </w:p>
        </w:tc>
      </w:tr>
      <w:tr>
        <w:trPr>
          <w:trHeight w:val="220"/>
        </w:trPr>
        <w:tc>
          <w:tcPr>
            <w:tcW w:w="3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Service gross margin</w:t>
            </w: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7"/>
                <w:szCs w:val="17"/>
                <w:b w:val="1"/>
                <w:bCs w:val="1"/>
                <w:color w:val="auto"/>
              </w:rPr>
              <w:t>340</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454</w:t>
            </w:r>
          </w:p>
        </w:tc>
        <w:tc>
          <w:tcPr>
            <w:tcW w:w="100" w:type="dxa"/>
            <w:vAlign w:val="bottom"/>
            <w:tcBorders>
              <w:bottom w:val="single" w:sz="8" w:color="CCEEFF"/>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23.3 %</w:t>
            </w:r>
          </w:p>
        </w:tc>
        <w:tc>
          <w:tcPr>
            <w:tcW w:w="80" w:type="dxa"/>
            <w:vAlign w:val="bottom"/>
            <w:tcBorders>
              <w:bottom w:val="single" w:sz="8" w:color="CCEEFF"/>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30.1 %</w:t>
            </w:r>
          </w:p>
        </w:tc>
        <w:tc>
          <w:tcPr>
            <w:tcW w:w="80" w:type="dxa"/>
            <w:vAlign w:val="bottom"/>
            <w:tcBorders>
              <w:bottom w:val="single" w:sz="8" w:color="CCEEFF"/>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(25)%</w:t>
            </w:r>
          </w:p>
        </w:tc>
      </w:tr>
      <w:tr>
        <w:trPr>
          <w:trHeight w:val="238"/>
        </w:trPr>
        <w:tc>
          <w:tcPr>
            <w:tcW w:w="3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Total gross margin</w:t>
            </w:r>
          </w:p>
        </w:tc>
        <w:tc>
          <w:tcPr>
            <w:tcW w:w="22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10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7"/>
                <w:szCs w:val="17"/>
                <w:b w:val="1"/>
                <w:bCs w:val="1"/>
                <w:color w:val="auto"/>
              </w:rPr>
              <w:t>430</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558</w:t>
            </w:r>
          </w:p>
        </w:tc>
        <w:tc>
          <w:tcPr>
            <w:tcW w:w="10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20.1 %</w:t>
            </w:r>
          </w:p>
        </w:tc>
        <w:tc>
          <w:tcPr>
            <w:tcW w:w="8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23.4 %</w:t>
            </w:r>
          </w:p>
        </w:tc>
        <w:tc>
          <w:tcPr>
            <w:tcW w:w="8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w:t>
            </w:r>
          </w:p>
        </w:tc>
      </w:tr>
      <w:tr>
        <w:trPr>
          <w:trHeight w:val="20"/>
        </w:trPr>
        <w:tc>
          <w:tcPr>
            <w:tcW w:w="39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r>
    </w:tbl>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For the nine months ended September 30, 2024 compared to the nine months ended September 30, 2023</w:t>
      </w:r>
    </w:p>
    <w:p>
      <w:pPr>
        <w:spacing w:after="0" w:line="247"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Gross margin as a percentage of revenue in the nine months ended September 30, 2024 was 20.1% compared to 23.4% in the nine months ended September 30, 2023 related to a decline in gross margin related to payments processing services due to the divestiture at the end of 2023 as well as due to the one-time revenue recognized in 2023. Additionally, gross margin for the nine months ended September 30, 2024 included $31 million of transformation and restructuring costs, $1 million of strategic initiative costs, $8 million of stock-based compensation expense, $10 million of amortization of acquisition-related intangible assets, offset by $5 million of net recoveries related to the cyber ransomware incident. Gross margin for the nine months ended September 30, 2023 included $6 million of stock-based compensation expense, $29 million of amortization of acquisition-related intangible assets and $8 million of cyber ransomware incident recovery costs.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Selling, General and Administrative Expenses</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3980" w:type="dxa"/>
            <w:vAlign w:val="bottom"/>
          </w:tcPr>
          <w:p>
            <w:pPr>
              <w:spacing w:after="0"/>
              <w:rPr>
                <w:sz w:val="15"/>
                <w:szCs w:val="15"/>
                <w:color w:val="auto"/>
              </w:rPr>
            </w:pPr>
          </w:p>
        </w:tc>
        <w:tc>
          <w:tcPr>
            <w:tcW w:w="242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980" w:type="dxa"/>
            <w:vAlign w:val="bottom"/>
            <w:gridSpan w:val="4"/>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Percentage of Total Revenue</w:t>
            </w:r>
          </w:p>
        </w:tc>
        <w:tc>
          <w:tcPr>
            <w:tcW w:w="14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Increase (Decrease)</w:t>
            </w:r>
          </w:p>
        </w:tc>
        <w:tc>
          <w:tcPr>
            <w:tcW w:w="0" w:type="dxa"/>
            <w:vAlign w:val="bottom"/>
          </w:tcPr>
          <w:p>
            <w:pPr>
              <w:spacing w:after="0"/>
              <w:rPr>
                <w:sz w:val="1"/>
                <w:szCs w:val="1"/>
                <w:color w:val="auto"/>
              </w:rPr>
            </w:pPr>
          </w:p>
        </w:tc>
      </w:tr>
      <w:tr>
        <w:trPr>
          <w:trHeight w:val="23"/>
        </w:trPr>
        <w:tc>
          <w:tcPr>
            <w:tcW w:w="39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9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2"/>
        </w:trPr>
        <w:tc>
          <w:tcPr>
            <w:tcW w:w="3980" w:type="dxa"/>
            <w:vAlign w:val="bottom"/>
            <w:tcBorders>
              <w:bottom w:val="single" w:sz="8" w:color="CCEEFF"/>
            </w:tcBorders>
            <w:vMerge w:val="continue"/>
          </w:tcPr>
          <w:p>
            <w:pPr>
              <w:spacing w:after="0"/>
              <w:rPr>
                <w:sz w:val="15"/>
                <w:szCs w:val="15"/>
                <w:color w:val="auto"/>
              </w:rPr>
            </w:pPr>
          </w:p>
        </w:tc>
        <w:tc>
          <w:tcPr>
            <w:tcW w:w="960" w:type="dxa"/>
            <w:vAlign w:val="bottom"/>
            <w:tcBorders>
              <w:bottom w:val="single" w:sz="8" w:color="auto"/>
            </w:tcBorders>
          </w:tcPr>
          <w:p>
            <w:pPr>
              <w:jc w:val="right"/>
              <w:ind w:right="45"/>
              <w:spacing w:after="0"/>
              <w:rPr>
                <w:sz w:val="20"/>
                <w:szCs w:val="20"/>
                <w:color w:val="auto"/>
              </w:rPr>
            </w:pPr>
            <w:r>
              <w:rPr>
                <w:rFonts w:ascii="Times New Roman" w:cs="Times New Roman" w:eastAsia="Times New Roman" w:hAnsi="Times New Roman"/>
                <w:sz w:val="14"/>
                <w:szCs w:val="14"/>
                <w:b w:val="1"/>
                <w:bCs w:val="1"/>
                <w:color w:val="auto"/>
              </w:rPr>
              <w:t>2024</w:t>
            </w:r>
          </w:p>
        </w:tc>
        <w:tc>
          <w:tcPr>
            <w:tcW w:w="44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920" w:type="dxa"/>
            <w:vAlign w:val="bottom"/>
            <w:tcBorders>
              <w:bottom w:val="single" w:sz="8" w:color="auto"/>
            </w:tcBorders>
          </w:tcPr>
          <w:p>
            <w:pPr>
              <w:jc w:val="right"/>
              <w:ind w:right="82"/>
              <w:spacing w:after="0"/>
              <w:rPr>
                <w:sz w:val="20"/>
                <w:szCs w:val="20"/>
                <w:color w:val="auto"/>
              </w:rPr>
            </w:pPr>
            <w:r>
              <w:rPr>
                <w:rFonts w:ascii="Times New Roman" w:cs="Times New Roman" w:eastAsia="Times New Roman" w:hAnsi="Times New Roman"/>
                <w:sz w:val="14"/>
                <w:szCs w:val="14"/>
                <w:b w:val="1"/>
                <w:bCs w:val="1"/>
                <w:color w:val="auto"/>
              </w:rPr>
              <w:t>2023</w:t>
            </w:r>
          </w:p>
        </w:tc>
        <w:tc>
          <w:tcPr>
            <w:tcW w:w="34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400" w:type="dxa"/>
            <w:vAlign w:val="bottom"/>
            <w:tcBorders>
              <w:bottom w:val="single" w:sz="8" w:color="auto"/>
            </w:tcBorders>
          </w:tcPr>
          <w:p>
            <w:pPr>
              <w:jc w:val="right"/>
              <w:ind w:right="48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5"/>
                <w:szCs w:val="15"/>
                <w:color w:val="auto"/>
              </w:rPr>
            </w:pPr>
          </w:p>
        </w:tc>
        <w:tc>
          <w:tcPr>
            <w:tcW w:w="1400" w:type="dxa"/>
            <w:vAlign w:val="bottom"/>
            <w:tcBorders>
              <w:bottom w:val="single" w:sz="8" w:color="auto"/>
            </w:tcBorders>
          </w:tcPr>
          <w:p>
            <w:pPr>
              <w:jc w:val="right"/>
              <w:ind w:right="482"/>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Borders>
              <w:bottom w:val="single" w:sz="8" w:color="CCEEFF"/>
            </w:tcBorders>
          </w:tcPr>
          <w:p>
            <w:pPr>
              <w:spacing w:after="0"/>
              <w:rPr>
                <w:sz w:val="15"/>
                <w:szCs w:val="15"/>
                <w:color w:val="auto"/>
              </w:rPr>
            </w:pPr>
          </w:p>
        </w:tc>
        <w:tc>
          <w:tcPr>
            <w:tcW w:w="14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2024 v 2023</w:t>
            </w:r>
          </w:p>
        </w:tc>
        <w:tc>
          <w:tcPr>
            <w:tcW w:w="0" w:type="dxa"/>
            <w:vAlign w:val="bottom"/>
          </w:tcPr>
          <w:p>
            <w:pPr>
              <w:spacing w:after="0"/>
              <w:rPr>
                <w:sz w:val="1"/>
                <w:szCs w:val="1"/>
                <w:color w:val="auto"/>
              </w:rPr>
            </w:pPr>
          </w:p>
        </w:tc>
      </w:tr>
      <w:tr>
        <w:trPr>
          <w:trHeight w:val="219"/>
        </w:trPr>
        <w:tc>
          <w:tcPr>
            <w:tcW w:w="3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Selling, general and administrative expenses</w:t>
            </w:r>
          </w:p>
        </w:tc>
        <w:tc>
          <w:tcPr>
            <w:tcW w:w="960" w:type="dxa"/>
            <w:vAlign w:val="bottom"/>
            <w:shd w:val="clear" w:color="auto" w:fill="CCEEFF"/>
          </w:tcPr>
          <w:p>
            <w:pPr>
              <w:jc w:val="right"/>
              <w:ind w:right="785"/>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113</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722"/>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142</w:t>
            </w:r>
          </w:p>
        </w:tc>
        <w:tc>
          <w:tcPr>
            <w:tcW w:w="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15.9 %</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17.6 %</w:t>
            </w:r>
          </w:p>
        </w:tc>
        <w:tc>
          <w:tcPr>
            <w:tcW w:w="8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w:t>
            </w:r>
          </w:p>
        </w:tc>
        <w:tc>
          <w:tcPr>
            <w:tcW w:w="0" w:type="dxa"/>
            <w:vAlign w:val="bottom"/>
          </w:tcPr>
          <w:p>
            <w:pPr>
              <w:spacing w:after="0"/>
              <w:rPr>
                <w:sz w:val="1"/>
                <w:szCs w:val="1"/>
                <w:color w:val="auto"/>
              </w:rPr>
            </w:pPr>
          </w:p>
        </w:tc>
      </w:tr>
    </w:tbl>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For the three months ended September 30, 2024 compared to the three months ended September 30, 2023</w:t>
      </w:r>
    </w:p>
    <w:p>
      <w:pPr>
        <w:spacing w:after="0" w:line="24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Selling, general, and administrative expenses were $113 million in the three months ended September 30, 2024, compared to $142 million in the three months ended September 30, 2023. As a percentage of revenue, selling, general and administrative expenses were 15.9% in the three months ended September 30, 2024 compared to 17.6% in the same period of 2023. In the three months ended September 30, 2024, selling, general and administrative expenses included $7 million of transformation and restructuring costs, $11 million of strategic initiative costs, $5 million of stock-based compensation expense, $4 million of amortization of acquisition-related intangible assets, and $3 million of separation-related costs, offset by $2 million in net recoveries related to the ACH fraud disbursements matter and $2 million of net recoveries related to the cyber ransomware incident. In the three months ended September 30, 2023, selling, general and administrative expenses included $1 million of transformation and restructuring costs, $5 million of fraudulent ACH disbursement costs, $16 million of stock-based compensation expense, $10 million of separation-related costs and $9 million of cyber ransomware incident recovery costs. Excluding these items, selling, general and administrative expenses decreased as a percentage of revenue from 2023 to 2024 due to cost mitigation actions implemented in the three months ended September 30, 2024.</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3980" w:type="dxa"/>
            <w:vAlign w:val="bottom"/>
          </w:tcPr>
          <w:p>
            <w:pPr>
              <w:spacing w:after="0"/>
              <w:rPr>
                <w:sz w:val="15"/>
                <w:szCs w:val="15"/>
                <w:color w:val="auto"/>
              </w:rPr>
            </w:pPr>
          </w:p>
        </w:tc>
        <w:tc>
          <w:tcPr>
            <w:tcW w:w="240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980" w:type="dxa"/>
            <w:vAlign w:val="bottom"/>
            <w:gridSpan w:val="4"/>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Percentage of Total Revenue</w:t>
            </w:r>
          </w:p>
        </w:tc>
        <w:tc>
          <w:tcPr>
            <w:tcW w:w="14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Increase (Decrease)</w:t>
            </w:r>
          </w:p>
        </w:tc>
        <w:tc>
          <w:tcPr>
            <w:tcW w:w="0" w:type="dxa"/>
            <w:vAlign w:val="bottom"/>
          </w:tcPr>
          <w:p>
            <w:pPr>
              <w:spacing w:after="0"/>
              <w:rPr>
                <w:sz w:val="1"/>
                <w:szCs w:val="1"/>
                <w:color w:val="auto"/>
              </w:rPr>
            </w:pPr>
          </w:p>
        </w:tc>
      </w:tr>
      <w:tr>
        <w:trPr>
          <w:trHeight w:val="23"/>
        </w:trPr>
        <w:tc>
          <w:tcPr>
            <w:tcW w:w="39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9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2"/>
        </w:trPr>
        <w:tc>
          <w:tcPr>
            <w:tcW w:w="3980" w:type="dxa"/>
            <w:vAlign w:val="bottom"/>
            <w:tcBorders>
              <w:bottom w:val="single" w:sz="8" w:color="CCEEFF"/>
            </w:tcBorders>
            <w:vMerge w:val="continue"/>
          </w:tcPr>
          <w:p>
            <w:pPr>
              <w:spacing w:after="0"/>
              <w:rPr>
                <w:sz w:val="15"/>
                <w:szCs w:val="15"/>
                <w:color w:val="auto"/>
              </w:rPr>
            </w:pPr>
          </w:p>
        </w:tc>
        <w:tc>
          <w:tcPr>
            <w:tcW w:w="960" w:type="dxa"/>
            <w:vAlign w:val="bottom"/>
            <w:tcBorders>
              <w:bottom w:val="single" w:sz="8" w:color="auto"/>
            </w:tcBorders>
          </w:tcPr>
          <w:p>
            <w:pPr>
              <w:jc w:val="right"/>
              <w:ind w:right="45"/>
              <w:spacing w:after="0"/>
              <w:rPr>
                <w:sz w:val="20"/>
                <w:szCs w:val="20"/>
                <w:color w:val="auto"/>
              </w:rPr>
            </w:pPr>
            <w:r>
              <w:rPr>
                <w:rFonts w:ascii="Times New Roman" w:cs="Times New Roman" w:eastAsia="Times New Roman" w:hAnsi="Times New Roman"/>
                <w:sz w:val="14"/>
                <w:szCs w:val="14"/>
                <w:b w:val="1"/>
                <w:bCs w:val="1"/>
                <w:color w:val="auto"/>
              </w:rPr>
              <w:t>2024</w:t>
            </w:r>
          </w:p>
        </w:tc>
        <w:tc>
          <w:tcPr>
            <w:tcW w:w="44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900" w:type="dxa"/>
            <w:vAlign w:val="bottom"/>
            <w:tcBorders>
              <w:bottom w:val="single" w:sz="8" w:color="auto"/>
            </w:tcBorders>
          </w:tcPr>
          <w:p>
            <w:pPr>
              <w:jc w:val="right"/>
              <w:ind w:right="62"/>
              <w:spacing w:after="0"/>
              <w:rPr>
                <w:sz w:val="20"/>
                <w:szCs w:val="20"/>
                <w:color w:val="auto"/>
              </w:rPr>
            </w:pPr>
            <w:r>
              <w:rPr>
                <w:rFonts w:ascii="Times New Roman" w:cs="Times New Roman" w:eastAsia="Times New Roman" w:hAnsi="Times New Roman"/>
                <w:sz w:val="14"/>
                <w:szCs w:val="14"/>
                <w:b w:val="1"/>
                <w:bCs w:val="1"/>
                <w:color w:val="auto"/>
              </w:rPr>
              <w:t>2023</w:t>
            </w:r>
          </w:p>
        </w:tc>
        <w:tc>
          <w:tcPr>
            <w:tcW w:w="36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400" w:type="dxa"/>
            <w:vAlign w:val="bottom"/>
            <w:tcBorders>
              <w:bottom w:val="single" w:sz="8" w:color="auto"/>
            </w:tcBorders>
          </w:tcPr>
          <w:p>
            <w:pPr>
              <w:jc w:val="right"/>
              <w:ind w:right="48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5"/>
                <w:szCs w:val="15"/>
                <w:color w:val="auto"/>
              </w:rPr>
            </w:pPr>
          </w:p>
        </w:tc>
        <w:tc>
          <w:tcPr>
            <w:tcW w:w="1400" w:type="dxa"/>
            <w:vAlign w:val="bottom"/>
            <w:tcBorders>
              <w:bottom w:val="single" w:sz="8" w:color="auto"/>
            </w:tcBorders>
          </w:tcPr>
          <w:p>
            <w:pPr>
              <w:jc w:val="right"/>
              <w:ind w:right="482"/>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Borders>
              <w:bottom w:val="single" w:sz="8" w:color="CCEEFF"/>
            </w:tcBorders>
          </w:tcPr>
          <w:p>
            <w:pPr>
              <w:spacing w:after="0"/>
              <w:rPr>
                <w:sz w:val="15"/>
                <w:szCs w:val="15"/>
                <w:color w:val="auto"/>
              </w:rPr>
            </w:pPr>
          </w:p>
        </w:tc>
        <w:tc>
          <w:tcPr>
            <w:tcW w:w="14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2024 vs 2023</w:t>
            </w:r>
          </w:p>
        </w:tc>
        <w:tc>
          <w:tcPr>
            <w:tcW w:w="0" w:type="dxa"/>
            <w:vAlign w:val="bottom"/>
          </w:tcPr>
          <w:p>
            <w:pPr>
              <w:spacing w:after="0"/>
              <w:rPr>
                <w:sz w:val="1"/>
                <w:szCs w:val="1"/>
                <w:color w:val="auto"/>
              </w:rPr>
            </w:pPr>
          </w:p>
        </w:tc>
      </w:tr>
      <w:tr>
        <w:trPr>
          <w:trHeight w:val="219"/>
        </w:trPr>
        <w:tc>
          <w:tcPr>
            <w:tcW w:w="3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Selling, general and administrative expenses</w:t>
            </w:r>
          </w:p>
        </w:tc>
        <w:tc>
          <w:tcPr>
            <w:tcW w:w="960" w:type="dxa"/>
            <w:vAlign w:val="bottom"/>
            <w:shd w:val="clear" w:color="auto" w:fill="CCEEFF"/>
          </w:tcPr>
          <w:p>
            <w:pPr>
              <w:jc w:val="right"/>
              <w:ind w:right="785"/>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340</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702"/>
              <w:spacing w:after="0"/>
              <w:rPr>
                <w:sz w:val="20"/>
                <w:szCs w:val="20"/>
                <w:color w:val="auto"/>
              </w:rPr>
            </w:pPr>
            <w:r>
              <w:rPr>
                <w:rFonts w:ascii="Times New Roman" w:cs="Times New Roman" w:eastAsia="Times New Roman" w:hAnsi="Times New Roman"/>
                <w:sz w:val="17"/>
                <w:szCs w:val="17"/>
                <w:color w:val="auto"/>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427</w:t>
            </w:r>
          </w:p>
        </w:tc>
        <w:tc>
          <w:tcPr>
            <w:tcW w:w="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15.9 %</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17.9 %</w:t>
            </w:r>
          </w:p>
        </w:tc>
        <w:tc>
          <w:tcPr>
            <w:tcW w:w="8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w:t>
            </w:r>
          </w:p>
        </w:tc>
        <w:tc>
          <w:tcPr>
            <w:tcW w:w="0" w:type="dxa"/>
            <w:vAlign w:val="bottom"/>
          </w:tcPr>
          <w:p>
            <w:pPr>
              <w:spacing w:after="0"/>
              <w:rPr>
                <w:sz w:val="1"/>
                <w:szCs w:val="1"/>
                <w:color w:val="auto"/>
              </w:rPr>
            </w:pPr>
          </w:p>
        </w:tc>
      </w:tr>
    </w:tbl>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For the nine months ended September 30, 2024 compared to the nine months ended September 30, 2023</w:t>
      </w:r>
    </w:p>
    <w:p>
      <w:pPr>
        <w:spacing w:after="0" w:line="247"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Selling, general, and administrative expenses were $340 million compared to $427 million in the nine months ended September 30, 2024 and 2023, respectively. As a percentage of revenue, selling, general and administrative expenses were 15.9% and 17.9% in the nine months ended September 30, 2024 and 2023, respectively. In the nine months ended September 30, 2024, selling, general and administrative expenses included $34 million of transformation and restructuring costs, $17 million of strategic initiative costs, $16 million of stock-based compensation expense, $12 million of amortization of acquisition-related intangible assets and $7 million of separation-related costs, offset by $4 million in net recoveries related to the ACH fraud disbursements matter and $1 million of net recoveries related to the cyber ransomware incident. In the nine months ended</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3435" cy="4191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September 30, 2023, selling, general and administrative expenses included $11 million of transformation and restructuring costs, $10 million of fraudulent ACH disbursement costs, $54 million of stock-based compensation expense, $2 million of amortization of acquisition-related intangible assets, $1 million of acquisition-related costs, $18 million of separation-related costs and $15 million of cyber ransomware incident recovery costs. Excluding these items, selling, general and administrative expenses decreased as a percentage of revenue from 2023 to 2024 due to cost mitigation actions implemented in the nine months ended September 30, 2024.</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Research and Development Expenses</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4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500" w:type="dxa"/>
            <w:vAlign w:val="bottom"/>
            <w:gridSpan w:val="5"/>
          </w:tcPr>
          <w:p>
            <w:pPr>
              <w:ind w:left="8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3000" w:type="dxa"/>
            <w:vAlign w:val="bottom"/>
            <w:gridSpan w:val="4"/>
          </w:tcPr>
          <w:p>
            <w:pPr>
              <w:ind w:left="620"/>
              <w:spacing w:after="0"/>
              <w:rPr>
                <w:sz w:val="20"/>
                <w:szCs w:val="20"/>
                <w:color w:val="auto"/>
              </w:rPr>
            </w:pPr>
            <w:r>
              <w:rPr>
                <w:rFonts w:ascii="Times New Roman" w:cs="Times New Roman" w:eastAsia="Times New Roman" w:hAnsi="Times New Roman"/>
                <w:sz w:val="14"/>
                <w:szCs w:val="14"/>
                <w:b w:val="1"/>
                <w:bCs w:val="1"/>
                <w:color w:val="auto"/>
              </w:rPr>
              <w:t>Percentage of Total Revenue</w:t>
            </w:r>
          </w:p>
        </w:tc>
        <w:tc>
          <w:tcPr>
            <w:tcW w:w="14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Increase (Decrease)</w:t>
            </w:r>
          </w:p>
        </w:tc>
        <w:tc>
          <w:tcPr>
            <w:tcW w:w="0" w:type="dxa"/>
            <w:vAlign w:val="bottom"/>
          </w:tcPr>
          <w:p>
            <w:pPr>
              <w:spacing w:after="0"/>
              <w:rPr>
                <w:sz w:val="1"/>
                <w:szCs w:val="1"/>
                <w:color w:val="auto"/>
              </w:rPr>
            </w:pPr>
          </w:p>
        </w:tc>
      </w:tr>
      <w:tr>
        <w:trPr>
          <w:trHeight w:val="23"/>
        </w:trPr>
        <w:tc>
          <w:tcPr>
            <w:tcW w:w="41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2"/>
        </w:trPr>
        <w:tc>
          <w:tcPr>
            <w:tcW w:w="4100" w:type="dxa"/>
            <w:vAlign w:val="bottom"/>
            <w:tcBorders>
              <w:bottom w:val="single" w:sz="8" w:color="CCEEFF"/>
            </w:tcBorders>
            <w:vMerge w:val="continue"/>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40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42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5"/>
                <w:szCs w:val="15"/>
                <w:color w:val="auto"/>
              </w:rPr>
            </w:pPr>
          </w:p>
        </w:tc>
        <w:tc>
          <w:tcPr>
            <w:tcW w:w="1440" w:type="dxa"/>
            <w:vAlign w:val="bottom"/>
            <w:tcBorders>
              <w:bottom w:val="single" w:sz="8" w:color="auto"/>
            </w:tcBorders>
          </w:tcPr>
          <w:p>
            <w:pPr>
              <w:jc w:val="right"/>
              <w:ind w:right="505"/>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CCEEFF"/>
            </w:tcBorders>
          </w:tcPr>
          <w:p>
            <w:pPr>
              <w:spacing w:after="0"/>
              <w:rPr>
                <w:sz w:val="15"/>
                <w:szCs w:val="15"/>
                <w:color w:val="auto"/>
              </w:rPr>
            </w:pPr>
          </w:p>
        </w:tc>
        <w:tc>
          <w:tcPr>
            <w:tcW w:w="1400" w:type="dxa"/>
            <w:vAlign w:val="bottom"/>
            <w:tcBorders>
              <w:bottom w:val="single" w:sz="8" w:color="auto"/>
            </w:tcBorders>
          </w:tcPr>
          <w:p>
            <w:pPr>
              <w:jc w:val="right"/>
              <w:ind w:right="482"/>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Borders>
              <w:bottom w:val="single" w:sz="8" w:color="CCEEFF"/>
            </w:tcBorders>
          </w:tcPr>
          <w:p>
            <w:pPr>
              <w:spacing w:after="0"/>
              <w:rPr>
                <w:sz w:val="15"/>
                <w:szCs w:val="15"/>
                <w:color w:val="auto"/>
              </w:rPr>
            </w:pPr>
          </w:p>
        </w:tc>
        <w:tc>
          <w:tcPr>
            <w:tcW w:w="1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2024 v 2023</w:t>
            </w:r>
          </w:p>
        </w:tc>
        <w:tc>
          <w:tcPr>
            <w:tcW w:w="0" w:type="dxa"/>
            <w:vAlign w:val="bottom"/>
          </w:tcPr>
          <w:p>
            <w:pPr>
              <w:spacing w:after="0"/>
              <w:rPr>
                <w:sz w:val="1"/>
                <w:szCs w:val="1"/>
                <w:color w:val="auto"/>
              </w:rPr>
            </w:pPr>
          </w:p>
        </w:tc>
      </w:tr>
      <w:tr>
        <w:trPr>
          <w:trHeight w:val="219"/>
        </w:trPr>
        <w:tc>
          <w:tcPr>
            <w:tcW w:w="4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Research and development expenses</w:t>
            </w:r>
          </w:p>
        </w:tc>
        <w:tc>
          <w:tcPr>
            <w:tcW w:w="2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04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7"/>
                <w:szCs w:val="17"/>
                <w:b w:val="1"/>
                <w:bCs w:val="1"/>
                <w:color w:val="auto"/>
              </w:rPr>
              <w:t>38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5.3 %</w:t>
            </w:r>
          </w:p>
        </w:tc>
        <w:tc>
          <w:tcPr>
            <w:tcW w:w="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3.6 %</w:t>
            </w:r>
          </w:p>
        </w:tc>
        <w:tc>
          <w:tcPr>
            <w:tcW w:w="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31 %</w:t>
            </w:r>
          </w:p>
        </w:tc>
        <w:tc>
          <w:tcPr>
            <w:tcW w:w="0" w:type="dxa"/>
            <w:vAlign w:val="bottom"/>
          </w:tcPr>
          <w:p>
            <w:pPr>
              <w:spacing w:after="0"/>
              <w:rPr>
                <w:sz w:val="1"/>
                <w:szCs w:val="1"/>
                <w:color w:val="auto"/>
              </w:rPr>
            </w:pPr>
          </w:p>
        </w:tc>
      </w:tr>
    </w:tbl>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For the three months ended September 30, 2024 compared to the three months ended September 30, 2023</w:t>
      </w:r>
    </w:p>
    <w:p>
      <w:pPr>
        <w:spacing w:after="0" w:line="247"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Research and development expenses were $38 million in the three months ended September 30, 2024, compared to $29 million in the three months ended September 30, 2023. As a percentage of revenue, research and development costs were 5.3% and 3.6% in the three months ended September 30, 2024 and 2023, respectively. In the three months ended September 30, 2024, research and development costs included $4 million of transformation and restructuring costs and $2 million of stock-based compensation expense. In the three months ended September 30, 2023, research and development expenses included $1 million of stock-based compensation expense. Excluding these items, research and development expenses increased as a percentage of revenue from 2023 to 2024 as the Company continues investing in research and development activities.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4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500" w:type="dxa"/>
            <w:vAlign w:val="bottom"/>
            <w:gridSpan w:val="5"/>
          </w:tcPr>
          <w:p>
            <w:pPr>
              <w:ind w:left="12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3000" w:type="dxa"/>
            <w:vAlign w:val="bottom"/>
            <w:gridSpan w:val="4"/>
          </w:tcPr>
          <w:p>
            <w:pPr>
              <w:ind w:left="660"/>
              <w:spacing w:after="0"/>
              <w:rPr>
                <w:sz w:val="20"/>
                <w:szCs w:val="20"/>
                <w:color w:val="auto"/>
              </w:rPr>
            </w:pPr>
            <w:r>
              <w:rPr>
                <w:rFonts w:ascii="Times New Roman" w:cs="Times New Roman" w:eastAsia="Times New Roman" w:hAnsi="Times New Roman"/>
                <w:sz w:val="14"/>
                <w:szCs w:val="14"/>
                <w:b w:val="1"/>
                <w:bCs w:val="1"/>
                <w:color w:val="auto"/>
              </w:rPr>
              <w:t>Percentage of Total Revenue</w:t>
            </w:r>
          </w:p>
        </w:tc>
        <w:tc>
          <w:tcPr>
            <w:tcW w:w="14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Increase (Decrease)</w:t>
            </w:r>
          </w:p>
        </w:tc>
        <w:tc>
          <w:tcPr>
            <w:tcW w:w="0" w:type="dxa"/>
            <w:vAlign w:val="bottom"/>
          </w:tcPr>
          <w:p>
            <w:pPr>
              <w:spacing w:after="0"/>
              <w:rPr>
                <w:sz w:val="1"/>
                <w:szCs w:val="1"/>
                <w:color w:val="auto"/>
              </w:rPr>
            </w:pPr>
          </w:p>
        </w:tc>
      </w:tr>
      <w:tr>
        <w:trPr>
          <w:trHeight w:val="23"/>
        </w:trPr>
        <w:tc>
          <w:tcPr>
            <w:tcW w:w="41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2"/>
        </w:trPr>
        <w:tc>
          <w:tcPr>
            <w:tcW w:w="4100" w:type="dxa"/>
            <w:vAlign w:val="bottom"/>
            <w:tcBorders>
              <w:bottom w:val="single" w:sz="8" w:color="CCEEFF"/>
            </w:tcBorders>
            <w:vMerge w:val="continue"/>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40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40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5"/>
                <w:szCs w:val="15"/>
                <w:color w:val="auto"/>
              </w:rPr>
            </w:pPr>
          </w:p>
        </w:tc>
        <w:tc>
          <w:tcPr>
            <w:tcW w:w="1440" w:type="dxa"/>
            <w:vAlign w:val="bottom"/>
            <w:tcBorders>
              <w:bottom w:val="single" w:sz="8" w:color="auto"/>
            </w:tcBorders>
          </w:tcPr>
          <w:p>
            <w:pPr>
              <w:jc w:val="right"/>
              <w:ind w:right="505"/>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CCEEFF"/>
            </w:tcBorders>
          </w:tcPr>
          <w:p>
            <w:pPr>
              <w:spacing w:after="0"/>
              <w:rPr>
                <w:sz w:val="15"/>
                <w:szCs w:val="15"/>
                <w:color w:val="auto"/>
              </w:rPr>
            </w:pPr>
          </w:p>
        </w:tc>
        <w:tc>
          <w:tcPr>
            <w:tcW w:w="1400" w:type="dxa"/>
            <w:vAlign w:val="bottom"/>
            <w:tcBorders>
              <w:bottom w:val="single" w:sz="8" w:color="auto"/>
            </w:tcBorders>
          </w:tcPr>
          <w:p>
            <w:pPr>
              <w:jc w:val="right"/>
              <w:ind w:right="482"/>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Borders>
              <w:bottom w:val="single" w:sz="8" w:color="CCEEFF"/>
            </w:tcBorders>
          </w:tcPr>
          <w:p>
            <w:pPr>
              <w:spacing w:after="0"/>
              <w:rPr>
                <w:sz w:val="15"/>
                <w:szCs w:val="15"/>
                <w:color w:val="auto"/>
              </w:rPr>
            </w:pPr>
          </w:p>
        </w:tc>
        <w:tc>
          <w:tcPr>
            <w:tcW w:w="1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2024 v 2023</w:t>
            </w:r>
          </w:p>
        </w:tc>
        <w:tc>
          <w:tcPr>
            <w:tcW w:w="0" w:type="dxa"/>
            <w:vAlign w:val="bottom"/>
          </w:tcPr>
          <w:p>
            <w:pPr>
              <w:spacing w:after="0"/>
              <w:rPr>
                <w:sz w:val="1"/>
                <w:szCs w:val="1"/>
                <w:color w:val="auto"/>
              </w:rPr>
            </w:pPr>
          </w:p>
        </w:tc>
      </w:tr>
      <w:tr>
        <w:trPr>
          <w:trHeight w:val="219"/>
        </w:trPr>
        <w:tc>
          <w:tcPr>
            <w:tcW w:w="4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Research and development expenses</w:t>
            </w:r>
          </w:p>
        </w:tc>
        <w:tc>
          <w:tcPr>
            <w:tcW w:w="2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129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98</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6.0 %</w:t>
            </w:r>
          </w:p>
        </w:tc>
        <w:tc>
          <w:tcPr>
            <w:tcW w:w="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4.1 %</w:t>
            </w:r>
          </w:p>
        </w:tc>
        <w:tc>
          <w:tcPr>
            <w:tcW w:w="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32 %</w:t>
            </w:r>
          </w:p>
        </w:tc>
        <w:tc>
          <w:tcPr>
            <w:tcW w:w="0" w:type="dxa"/>
            <w:vAlign w:val="bottom"/>
          </w:tcPr>
          <w:p>
            <w:pPr>
              <w:spacing w:after="0"/>
              <w:rPr>
                <w:sz w:val="1"/>
                <w:szCs w:val="1"/>
                <w:color w:val="auto"/>
              </w:rPr>
            </w:pPr>
          </w:p>
        </w:tc>
      </w:tr>
    </w:tbl>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For the nine months ended September 30, 2024 compared to the nine months ended September 30, 2023</w:t>
      </w:r>
    </w:p>
    <w:p>
      <w:pPr>
        <w:spacing w:after="0" w:line="247"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Research and development expenses were $129 million compared to $98 million in the nine months ended September 30, 2024 and 2023, respectively. As a percentage of revenue, these costs were 6.0% and 4.1% in the nine months ended September 30, 2024 and 2023, respectively. In the nine months ended September 30, 2024, research and development expenses included $8 million of transformation and restructuring costs, $8 million of stock-based compensation expense and $3 million of separation-related costs. In the nine months ended September 30, 2023, research and development expenses included $5 million of stock-based compensation expense. After considering these items, research and development expenses increased as a percentage of revenue from 2023 to 2024 as the Company continues investing in research and development activities.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Gain (Loss) on Debt Extinguishment</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5260" w:type="dxa"/>
            <w:vAlign w:val="bottom"/>
          </w:tcPr>
          <w:p>
            <w:pPr>
              <w:spacing w:after="0"/>
              <w:rPr>
                <w:sz w:val="15"/>
                <w:szCs w:val="15"/>
                <w:color w:val="auto"/>
              </w:rPr>
            </w:pPr>
          </w:p>
        </w:tc>
        <w:tc>
          <w:tcPr>
            <w:tcW w:w="2600" w:type="dxa"/>
            <w:vAlign w:val="bottom"/>
            <w:gridSpan w:val="4"/>
          </w:tcPr>
          <w:p>
            <w:pPr>
              <w:jc w:val="right"/>
              <w:ind w:right="22"/>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640" w:type="dxa"/>
            <w:vAlign w:val="bottom"/>
            <w:gridSpan w:val="4"/>
          </w:tcPr>
          <w:p>
            <w:pPr>
              <w:jc w:val="right"/>
              <w:ind w:right="402"/>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23"/>
        </w:trPr>
        <w:tc>
          <w:tcPr>
            <w:tcW w:w="52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0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2"/>
        </w:trPr>
        <w:tc>
          <w:tcPr>
            <w:tcW w:w="5260" w:type="dxa"/>
            <w:vAlign w:val="bottom"/>
            <w:tcBorders>
              <w:bottom w:val="single" w:sz="8" w:color="CCEEFF"/>
            </w:tcBorders>
            <w:vMerge w:val="continue"/>
          </w:tcPr>
          <w:p>
            <w:pPr>
              <w:spacing w:after="0"/>
              <w:rPr>
                <w:sz w:val="15"/>
                <w:szCs w:val="15"/>
                <w:color w:val="auto"/>
              </w:rPr>
            </w:pPr>
          </w:p>
        </w:tc>
        <w:tc>
          <w:tcPr>
            <w:tcW w:w="1060" w:type="dxa"/>
            <w:vAlign w:val="bottom"/>
            <w:tcBorders>
              <w:bottom w:val="single" w:sz="8" w:color="auto"/>
            </w:tcBorders>
          </w:tcPr>
          <w:p>
            <w:pPr>
              <w:jc w:val="right"/>
              <w:ind w:right="125"/>
              <w:spacing w:after="0"/>
              <w:rPr>
                <w:sz w:val="20"/>
                <w:szCs w:val="20"/>
                <w:color w:val="auto"/>
              </w:rPr>
            </w:pPr>
            <w:r>
              <w:rPr>
                <w:rFonts w:ascii="Times New Roman" w:cs="Times New Roman" w:eastAsia="Times New Roman" w:hAnsi="Times New Roman"/>
                <w:sz w:val="14"/>
                <w:szCs w:val="14"/>
                <w:b w:val="1"/>
                <w:bCs w:val="1"/>
                <w:color w:val="auto"/>
              </w:rPr>
              <w:t>2024</w:t>
            </w:r>
          </w:p>
        </w:tc>
        <w:tc>
          <w:tcPr>
            <w:tcW w:w="38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060" w:type="dxa"/>
            <w:vAlign w:val="bottom"/>
            <w:tcBorders>
              <w:bottom w:val="single" w:sz="8" w:color="auto"/>
            </w:tcBorders>
          </w:tcPr>
          <w:p>
            <w:pPr>
              <w:jc w:val="right"/>
              <w:ind w:right="142"/>
              <w:spacing w:after="0"/>
              <w:rPr>
                <w:sz w:val="20"/>
                <w:szCs w:val="20"/>
                <w:color w:val="auto"/>
              </w:rPr>
            </w:pPr>
            <w:r>
              <w:rPr>
                <w:rFonts w:ascii="Times New Roman" w:cs="Times New Roman" w:eastAsia="Times New Roman" w:hAnsi="Times New Roman"/>
                <w:sz w:val="14"/>
                <w:szCs w:val="14"/>
                <w:b w:val="1"/>
                <w:bCs w:val="1"/>
                <w:color w:val="auto"/>
              </w:rPr>
              <w:t>2023</w:t>
            </w:r>
          </w:p>
        </w:tc>
        <w:tc>
          <w:tcPr>
            <w:tcW w:w="36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48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502"/>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19"/>
        </w:trPr>
        <w:tc>
          <w:tcPr>
            <w:tcW w:w="5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Gain (loss) on extinguishment of debt</w:t>
            </w:r>
          </w:p>
        </w:tc>
        <w:tc>
          <w:tcPr>
            <w:tcW w:w="1060" w:type="dxa"/>
            <w:vAlign w:val="bottom"/>
            <w:shd w:val="clear" w:color="auto" w:fill="CCEEFF"/>
          </w:tcPr>
          <w:p>
            <w:pPr>
              <w:jc w:val="right"/>
              <w:ind w:right="865"/>
              <w:spacing w:after="0"/>
              <w:rPr>
                <w:sz w:val="20"/>
                <w:szCs w:val="20"/>
                <w:color w:val="auto"/>
              </w:rPr>
            </w:pPr>
            <w:r>
              <w:rPr>
                <w:rFonts w:ascii="Times New Roman" w:cs="Times New Roman" w:eastAsia="Times New Roman" w:hAnsi="Times New Roman"/>
                <w:sz w:val="17"/>
                <w:szCs w:val="17"/>
                <w:b w:val="1"/>
                <w:bCs w:val="1"/>
                <w:color w:val="auto"/>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8</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882"/>
              <w:spacing w:after="0"/>
              <w:rPr>
                <w:sz w:val="20"/>
                <w:szCs w:val="20"/>
                <w:color w:val="auto"/>
              </w:rPr>
            </w:pPr>
            <w:r>
              <w:rPr>
                <w:rFonts w:ascii="Times New Roman" w:cs="Times New Roman" w:eastAsia="Times New Roman" w:hAnsi="Times New Roman"/>
                <w:sz w:val="17"/>
                <w:szCs w:val="17"/>
                <w:color w:val="auto"/>
                <w:w w:val="93"/>
              </w:rPr>
              <w:t>$</w:t>
            </w:r>
          </w:p>
        </w:tc>
        <w:tc>
          <w:tcPr>
            <w:tcW w:w="3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bl>
    <w:p>
      <w:pPr>
        <w:spacing w:after="0" w:line="306"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7"/>
          <w:szCs w:val="17"/>
          <w:color w:val="auto"/>
        </w:rPr>
        <w:t>The gain on extinguishment of debt of $8 million for the three and nine months ended September 30, 2024 is related to the redemption discount on the 5.250% and the 5.125% Senior Unsecured Notes of $18 million, offset by the write-off of the related deferred financing fees of $10 million. Refer to Note 5, “Debt Obligations” of the Notes to Condensed Consolidated Financial Statements, for additional information.</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Interest Expense</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57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280" w:type="dxa"/>
            <w:vAlign w:val="bottom"/>
            <w:gridSpan w:val="5"/>
          </w:tcPr>
          <w:p>
            <w:pPr>
              <w:ind w:left="36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Increase (Decrease)</w:t>
            </w:r>
          </w:p>
        </w:tc>
        <w:tc>
          <w:tcPr>
            <w:tcW w:w="0" w:type="dxa"/>
            <w:vAlign w:val="bottom"/>
          </w:tcPr>
          <w:p>
            <w:pPr>
              <w:spacing w:after="0"/>
              <w:rPr>
                <w:sz w:val="1"/>
                <w:szCs w:val="1"/>
                <w:color w:val="auto"/>
              </w:rPr>
            </w:pPr>
          </w:p>
        </w:tc>
      </w:tr>
      <w:tr>
        <w:trPr>
          <w:trHeight w:val="23"/>
        </w:trPr>
        <w:tc>
          <w:tcPr>
            <w:tcW w:w="57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4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2"/>
        </w:trPr>
        <w:tc>
          <w:tcPr>
            <w:tcW w:w="5700" w:type="dxa"/>
            <w:vAlign w:val="bottom"/>
            <w:tcBorders>
              <w:bottom w:val="single" w:sz="8" w:color="CCEEFF"/>
            </w:tcBorders>
            <w:vMerge w:val="continue"/>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64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66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5"/>
                <w:szCs w:val="15"/>
                <w:color w:val="auto"/>
              </w:rPr>
            </w:pPr>
          </w:p>
        </w:tc>
        <w:tc>
          <w:tcPr>
            <w:tcW w:w="1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2024 v 2023</w:t>
            </w:r>
          </w:p>
        </w:tc>
        <w:tc>
          <w:tcPr>
            <w:tcW w:w="0" w:type="dxa"/>
            <w:vAlign w:val="bottom"/>
          </w:tcPr>
          <w:p>
            <w:pPr>
              <w:spacing w:after="0"/>
              <w:rPr>
                <w:sz w:val="1"/>
                <w:szCs w:val="1"/>
                <w:color w:val="auto"/>
              </w:rPr>
            </w:pPr>
          </w:p>
        </w:tc>
      </w:tr>
      <w:tr>
        <w:trPr>
          <w:trHeight w:val="219"/>
        </w:trPr>
        <w:tc>
          <w:tcPr>
            <w:tcW w:w="5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Interest expense</w:t>
            </w:r>
          </w:p>
        </w:tc>
        <w:tc>
          <w:tcPr>
            <w:tcW w:w="420" w:type="dxa"/>
            <w:vAlign w:val="bottom"/>
            <w:shd w:val="clear" w:color="auto" w:fill="CCEEFF"/>
          </w:tcPr>
          <w:p>
            <w:pPr>
              <w:jc w:val="right"/>
              <w:ind w:right="214"/>
              <w:spacing w:after="0"/>
              <w:rPr>
                <w:sz w:val="20"/>
                <w:szCs w:val="20"/>
                <w:color w:val="auto"/>
              </w:rPr>
            </w:pPr>
            <w:r>
              <w:rPr>
                <w:rFonts w:ascii="Times New Roman" w:cs="Times New Roman" w:eastAsia="Times New Roman" w:hAnsi="Times New Roman"/>
                <w:sz w:val="17"/>
                <w:szCs w:val="17"/>
                <w:b w:val="1"/>
                <w:bCs w:val="1"/>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40</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4"/>
              <w:spacing w:after="0"/>
              <w:rPr>
                <w:sz w:val="20"/>
                <w:szCs w:val="20"/>
                <w:color w:val="auto"/>
              </w:rPr>
            </w:pPr>
            <w:r>
              <w:rPr>
                <w:rFonts w:ascii="Times New Roman" w:cs="Times New Roman" w:eastAsia="Times New Roman" w:hAnsi="Times New Roman"/>
                <w:sz w:val="17"/>
                <w:szCs w:val="17"/>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83</w:t>
            </w:r>
          </w:p>
        </w:tc>
        <w:tc>
          <w:tcPr>
            <w:tcW w:w="10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3435" cy="4191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For the three months ended September 30, 2024 compared to the three months ended September 30, 2023</w:t>
      </w:r>
    </w:p>
    <w:p>
      <w:pPr>
        <w:spacing w:after="0" w:line="247"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7"/>
          <w:szCs w:val="17"/>
          <w:color w:val="auto"/>
        </w:rPr>
        <w:t>Interest expense was $40 million compared to $83 million for the three months ended September 30, 2024 and 2023, respectively. Interest expense is primarily related to our senior unsecured notes and borrowings under the Senior Secured Credit Facility. The decrease in interest expense was due to the decrease in total debt outstanding.</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57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280" w:type="dxa"/>
            <w:vAlign w:val="bottom"/>
            <w:gridSpan w:val="5"/>
          </w:tcPr>
          <w:p>
            <w:pPr>
              <w:ind w:left="38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1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Increase (Decrease)</w:t>
            </w:r>
          </w:p>
        </w:tc>
        <w:tc>
          <w:tcPr>
            <w:tcW w:w="0" w:type="dxa"/>
            <w:vAlign w:val="bottom"/>
          </w:tcPr>
          <w:p>
            <w:pPr>
              <w:spacing w:after="0"/>
              <w:rPr>
                <w:sz w:val="1"/>
                <w:szCs w:val="1"/>
                <w:color w:val="auto"/>
              </w:rPr>
            </w:pPr>
          </w:p>
        </w:tc>
      </w:tr>
      <w:tr>
        <w:trPr>
          <w:trHeight w:val="23"/>
        </w:trPr>
        <w:tc>
          <w:tcPr>
            <w:tcW w:w="57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4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2"/>
        </w:trPr>
        <w:tc>
          <w:tcPr>
            <w:tcW w:w="5700" w:type="dxa"/>
            <w:vAlign w:val="bottom"/>
            <w:tcBorders>
              <w:bottom w:val="single" w:sz="8" w:color="CCEEFF"/>
            </w:tcBorders>
            <w:vMerge w:val="continue"/>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66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66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5"/>
                <w:szCs w:val="15"/>
                <w:color w:val="auto"/>
              </w:rPr>
            </w:pPr>
          </w:p>
        </w:tc>
        <w:tc>
          <w:tcPr>
            <w:tcW w:w="1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2024 v 2023</w:t>
            </w:r>
          </w:p>
        </w:tc>
        <w:tc>
          <w:tcPr>
            <w:tcW w:w="0" w:type="dxa"/>
            <w:vAlign w:val="bottom"/>
          </w:tcPr>
          <w:p>
            <w:pPr>
              <w:spacing w:after="0"/>
              <w:rPr>
                <w:sz w:val="1"/>
                <w:szCs w:val="1"/>
                <w:color w:val="auto"/>
              </w:rPr>
            </w:pPr>
          </w:p>
        </w:tc>
      </w:tr>
      <w:tr>
        <w:trPr>
          <w:trHeight w:val="219"/>
        </w:trPr>
        <w:tc>
          <w:tcPr>
            <w:tcW w:w="5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Interest expense</w:t>
            </w:r>
          </w:p>
        </w:tc>
        <w:tc>
          <w:tcPr>
            <w:tcW w:w="420" w:type="dxa"/>
            <w:vAlign w:val="bottom"/>
            <w:shd w:val="clear" w:color="auto" w:fill="CCEEFF"/>
          </w:tcPr>
          <w:p>
            <w:pPr>
              <w:jc w:val="right"/>
              <w:ind w:right="23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120</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4"/>
              <w:spacing w:after="0"/>
              <w:rPr>
                <w:sz w:val="20"/>
                <w:szCs w:val="20"/>
                <w:color w:val="auto"/>
              </w:rPr>
            </w:pPr>
            <w:r>
              <w:rPr>
                <w:rFonts w:ascii="Times New Roman" w:cs="Times New Roman" w:eastAsia="Times New Roman" w:hAnsi="Times New Roman"/>
                <w:sz w:val="17"/>
                <w:szCs w:val="17"/>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257</w:t>
            </w:r>
          </w:p>
        </w:tc>
        <w:tc>
          <w:tcPr>
            <w:tcW w:w="10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w:t>
            </w:r>
          </w:p>
        </w:tc>
        <w:tc>
          <w:tcPr>
            <w:tcW w:w="0" w:type="dxa"/>
            <w:vAlign w:val="bottom"/>
          </w:tcPr>
          <w:p>
            <w:pPr>
              <w:spacing w:after="0"/>
              <w:rPr>
                <w:sz w:val="1"/>
                <w:szCs w:val="1"/>
                <w:color w:val="auto"/>
              </w:rPr>
            </w:pPr>
          </w:p>
        </w:tc>
      </w:tr>
    </w:tbl>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For the nine months ended September 30, 2024 compared to the nine months ended September 30, 2023</w:t>
      </w:r>
    </w:p>
    <w:p>
      <w:pPr>
        <w:spacing w:after="0" w:line="247"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7"/>
          <w:szCs w:val="17"/>
          <w:color w:val="auto"/>
        </w:rPr>
        <w:t>Interest expense was $120 million compared to $257 million for the nine months ended September 30, 2024 and 2023, respectively. Interest expense is primarily related to our senior unsecured notes and borrowings under the Senior Secured Credit Facility. The decrease in interest expense was due to the decrease in total debt outstanding.</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Other Income (Expense), net</w:t>
      </w:r>
    </w:p>
    <w:p>
      <w:pPr>
        <w:spacing w:after="0" w:line="247"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Other income (expense), net was expense of $15 million and $20 million for the three months ended September 30, 2024 and 2023, respectively, and expense of $40 million and $33 million for the nine months ended September 30, 2024 and 2023, respectively, with the components reflected in the following table:</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5720" w:type="dxa"/>
            <w:vAlign w:val="bottom"/>
          </w:tcPr>
          <w:p>
            <w:pPr>
              <w:spacing w:after="0"/>
              <w:rPr>
                <w:sz w:val="15"/>
                <w:szCs w:val="15"/>
                <w:color w:val="auto"/>
              </w:rPr>
            </w:pPr>
          </w:p>
        </w:tc>
        <w:tc>
          <w:tcPr>
            <w:tcW w:w="240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36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57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9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2"/>
        </w:trPr>
        <w:tc>
          <w:tcPr>
            <w:tcW w:w="5720" w:type="dxa"/>
            <w:vAlign w:val="bottom"/>
            <w:tcBorders>
              <w:bottom w:val="single" w:sz="8" w:color="CCEEFF"/>
            </w:tcBorders>
            <w:vMerge w:val="continue"/>
          </w:tcPr>
          <w:p>
            <w:pPr>
              <w:spacing w:after="0"/>
              <w:rPr>
                <w:sz w:val="15"/>
                <w:szCs w:val="15"/>
                <w:color w:val="auto"/>
              </w:rPr>
            </w:pPr>
          </w:p>
        </w:tc>
        <w:tc>
          <w:tcPr>
            <w:tcW w:w="900" w:type="dxa"/>
            <w:vAlign w:val="bottom"/>
            <w:tcBorders>
              <w:bottom w:val="single" w:sz="8" w:color="auto"/>
            </w:tcBorders>
          </w:tcPr>
          <w:p>
            <w:pPr>
              <w:jc w:val="right"/>
              <w:ind w:right="22"/>
              <w:spacing w:after="0"/>
              <w:rPr>
                <w:sz w:val="20"/>
                <w:szCs w:val="20"/>
                <w:color w:val="auto"/>
              </w:rPr>
            </w:pPr>
            <w:r>
              <w:rPr>
                <w:rFonts w:ascii="Times New Roman" w:cs="Times New Roman" w:eastAsia="Times New Roman" w:hAnsi="Times New Roman"/>
                <w:sz w:val="14"/>
                <w:szCs w:val="14"/>
                <w:b w:val="1"/>
                <w:bCs w:val="1"/>
                <w:color w:val="auto"/>
              </w:rPr>
              <w:t>2024</w:t>
            </w:r>
          </w:p>
        </w:tc>
        <w:tc>
          <w:tcPr>
            <w:tcW w:w="42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98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4"/>
                <w:szCs w:val="14"/>
                <w:b w:val="1"/>
                <w:bCs w:val="1"/>
                <w:color w:val="auto"/>
              </w:rPr>
              <w:t>2023</w:t>
            </w:r>
          </w:p>
        </w:tc>
        <w:tc>
          <w:tcPr>
            <w:tcW w:w="32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880" w:type="dxa"/>
            <w:vAlign w:val="bottom"/>
            <w:tcBorders>
              <w:bottom w:val="single" w:sz="8" w:color="auto"/>
            </w:tcBorders>
          </w:tcPr>
          <w:p>
            <w:pPr>
              <w:jc w:val="right"/>
              <w:ind w:right="22"/>
              <w:spacing w:after="0"/>
              <w:rPr>
                <w:sz w:val="20"/>
                <w:szCs w:val="20"/>
                <w:color w:val="auto"/>
              </w:rPr>
            </w:pPr>
            <w:r>
              <w:rPr>
                <w:rFonts w:ascii="Times New Roman" w:cs="Times New Roman" w:eastAsia="Times New Roman" w:hAnsi="Times New Roman"/>
                <w:sz w:val="14"/>
                <w:szCs w:val="14"/>
                <w:b w:val="1"/>
                <w:bCs w:val="1"/>
                <w:color w:val="auto"/>
              </w:rPr>
              <w:t>2024</w:t>
            </w:r>
          </w:p>
        </w:tc>
        <w:tc>
          <w:tcPr>
            <w:tcW w:w="42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96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4"/>
                <w:szCs w:val="14"/>
                <w:b w:val="1"/>
                <w:bCs w:val="1"/>
                <w:color w:val="auto"/>
              </w:rPr>
              <w:t>2023</w:t>
            </w:r>
          </w:p>
        </w:tc>
        <w:tc>
          <w:tcPr>
            <w:tcW w:w="3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9"/>
        </w:trPr>
        <w:tc>
          <w:tcPr>
            <w:tcW w:w="5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Interest income</w:t>
            </w:r>
          </w:p>
        </w:tc>
        <w:tc>
          <w:tcPr>
            <w:tcW w:w="900" w:type="dxa"/>
            <w:vAlign w:val="bottom"/>
            <w:shd w:val="clear" w:color="auto" w:fill="CCEEFF"/>
          </w:tcPr>
          <w:p>
            <w:pPr>
              <w:jc w:val="right"/>
              <w:ind w:right="722"/>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2</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799"/>
              <w:spacing w:after="0"/>
              <w:rPr>
                <w:sz w:val="20"/>
                <w:szCs w:val="20"/>
                <w:color w:val="auto"/>
              </w:rPr>
            </w:pPr>
            <w:r>
              <w:rPr>
                <w:rFonts w:ascii="Times New Roman" w:cs="Times New Roman" w:eastAsia="Times New Roman" w:hAnsi="Times New Roman"/>
                <w:sz w:val="17"/>
                <w:szCs w:val="17"/>
                <w:color w:val="auto"/>
                <w:w w:val="93"/>
              </w:rPr>
              <w: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w:t>
            </w: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702"/>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5</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779"/>
              <w:spacing w:after="0"/>
              <w:rPr>
                <w:sz w:val="20"/>
                <w:szCs w:val="20"/>
                <w:color w:val="auto"/>
              </w:rPr>
            </w:pPr>
            <w:r>
              <w:rPr>
                <w:rFonts w:ascii="Times New Roman" w:cs="Times New Roman" w:eastAsia="Times New Roman" w:hAnsi="Times New Roman"/>
                <w:sz w:val="17"/>
                <w:szCs w:val="17"/>
                <w:color w:val="auto"/>
                <w:w w:val="93"/>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w:t>
            </w:r>
          </w:p>
        </w:tc>
        <w:tc>
          <w:tcPr>
            <w:tcW w:w="0" w:type="dxa"/>
            <w:vAlign w:val="bottom"/>
          </w:tcPr>
          <w:p>
            <w:pPr>
              <w:spacing w:after="0"/>
              <w:rPr>
                <w:sz w:val="1"/>
                <w:szCs w:val="1"/>
                <w:color w:val="auto"/>
              </w:rPr>
            </w:pPr>
          </w:p>
        </w:tc>
      </w:tr>
      <w:tr>
        <w:trPr>
          <w:trHeight w:val="220"/>
        </w:trPr>
        <w:tc>
          <w:tcPr>
            <w:tcW w:w="57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Foreign currency fluctuations and foreign exchange contracts</w:t>
            </w:r>
          </w:p>
        </w:tc>
        <w:tc>
          <w:tcPr>
            <w:tcW w:w="9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(4)</w:t>
            </w: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8"/>
              </w:rPr>
              <w:t>(14)</w:t>
            </w: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(26)</w:t>
            </w: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w:t>
            </w:r>
          </w:p>
        </w:tc>
        <w:tc>
          <w:tcPr>
            <w:tcW w:w="0" w:type="dxa"/>
            <w:vAlign w:val="bottom"/>
          </w:tcPr>
          <w:p>
            <w:pPr>
              <w:spacing w:after="0"/>
              <w:rPr>
                <w:sz w:val="1"/>
                <w:szCs w:val="1"/>
                <w:color w:val="auto"/>
              </w:rPr>
            </w:pPr>
          </w:p>
        </w:tc>
      </w:tr>
      <w:tr>
        <w:trPr>
          <w:trHeight w:val="220"/>
        </w:trPr>
        <w:tc>
          <w:tcPr>
            <w:tcW w:w="5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Bank-related fees</w:t>
            </w:r>
          </w:p>
        </w:tc>
        <w:tc>
          <w:tcPr>
            <w:tcW w:w="90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(9)</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w:t>
            </w: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(23)</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w:t>
            </w:r>
          </w:p>
        </w:tc>
        <w:tc>
          <w:tcPr>
            <w:tcW w:w="0" w:type="dxa"/>
            <w:vAlign w:val="bottom"/>
          </w:tcPr>
          <w:p>
            <w:pPr>
              <w:spacing w:after="0"/>
              <w:rPr>
                <w:sz w:val="1"/>
                <w:szCs w:val="1"/>
                <w:color w:val="auto"/>
              </w:rPr>
            </w:pPr>
          </w:p>
        </w:tc>
      </w:tr>
      <w:tr>
        <w:trPr>
          <w:trHeight w:val="220"/>
        </w:trPr>
        <w:tc>
          <w:tcPr>
            <w:tcW w:w="57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Employee benefit plans</w:t>
            </w:r>
          </w:p>
        </w:tc>
        <w:tc>
          <w:tcPr>
            <w:tcW w:w="9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(1)</w:t>
            </w: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(3)</w:t>
            </w: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0" w:type="dxa"/>
            <w:vAlign w:val="bottom"/>
          </w:tcPr>
          <w:p>
            <w:pPr>
              <w:spacing w:after="0"/>
              <w:rPr>
                <w:sz w:val="1"/>
                <w:szCs w:val="1"/>
                <w:color w:val="auto"/>
              </w:rPr>
            </w:pPr>
          </w:p>
        </w:tc>
      </w:tr>
      <w:tr>
        <w:trPr>
          <w:trHeight w:val="220"/>
        </w:trPr>
        <w:tc>
          <w:tcPr>
            <w:tcW w:w="5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net</w:t>
            </w:r>
          </w:p>
        </w:tc>
        <w:tc>
          <w:tcPr>
            <w:tcW w:w="90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(3)</w:t>
            </w:r>
          </w:p>
        </w:tc>
        <w:tc>
          <w:tcPr>
            <w:tcW w:w="100" w:type="dxa"/>
            <w:vAlign w:val="bottom"/>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100" w:type="dxa"/>
            <w:vAlign w:val="bottom"/>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7</w:t>
            </w:r>
          </w:p>
        </w:tc>
        <w:tc>
          <w:tcPr>
            <w:tcW w:w="100" w:type="dxa"/>
            <w:vAlign w:val="bottom"/>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0" w:type="dxa"/>
            <w:vAlign w:val="bottom"/>
          </w:tcPr>
          <w:p>
            <w:pPr>
              <w:spacing w:after="0"/>
              <w:rPr>
                <w:sz w:val="1"/>
                <w:szCs w:val="1"/>
                <w:color w:val="auto"/>
              </w:rPr>
            </w:pPr>
          </w:p>
        </w:tc>
      </w:tr>
      <w:tr>
        <w:trPr>
          <w:trHeight w:val="213"/>
        </w:trPr>
        <w:tc>
          <w:tcPr>
            <w:tcW w:w="572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Other income (expense), net</w:t>
            </w:r>
          </w:p>
        </w:tc>
        <w:tc>
          <w:tcPr>
            <w:tcW w:w="900" w:type="dxa"/>
            <w:vAlign w:val="bottom"/>
            <w:tcBorders>
              <w:bottom w:val="single" w:sz="8" w:color="auto"/>
            </w:tcBorders>
          </w:tcPr>
          <w:p>
            <w:pPr>
              <w:jc w:val="right"/>
              <w:ind w:right="722"/>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(15)</w:t>
            </w:r>
          </w:p>
        </w:tc>
        <w:tc>
          <w:tcPr>
            <w:tcW w:w="100" w:type="dxa"/>
            <w:vAlign w:val="bottom"/>
          </w:tcPr>
          <w:p>
            <w:pPr>
              <w:spacing w:after="0"/>
              <w:rPr>
                <w:sz w:val="18"/>
                <w:szCs w:val="18"/>
                <w:color w:val="auto"/>
              </w:rPr>
            </w:pPr>
          </w:p>
        </w:tc>
        <w:tc>
          <w:tcPr>
            <w:tcW w:w="980" w:type="dxa"/>
            <w:vAlign w:val="bottom"/>
            <w:tcBorders>
              <w:bottom w:val="single" w:sz="8" w:color="auto"/>
            </w:tcBorders>
          </w:tcPr>
          <w:p>
            <w:pPr>
              <w:jc w:val="right"/>
              <w:ind w:right="799"/>
              <w:spacing w:after="0"/>
              <w:rPr>
                <w:sz w:val="20"/>
                <w:szCs w:val="20"/>
                <w:color w:val="auto"/>
              </w:rPr>
            </w:pPr>
            <w:r>
              <w:rPr>
                <w:rFonts w:ascii="Times New Roman" w:cs="Times New Roman" w:eastAsia="Times New Roman" w:hAnsi="Times New Roman"/>
                <w:sz w:val="17"/>
                <w:szCs w:val="17"/>
                <w:color w:val="auto"/>
                <w:w w:val="93"/>
              </w:rPr>
              <w:t>$</w:t>
            </w: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8"/>
              </w:rPr>
              <w:t>(20)</w:t>
            </w:r>
          </w:p>
        </w:tc>
        <w:tc>
          <w:tcPr>
            <w:tcW w:w="100" w:type="dxa"/>
            <w:vAlign w:val="bottom"/>
          </w:tcPr>
          <w:p>
            <w:pPr>
              <w:spacing w:after="0"/>
              <w:rPr>
                <w:sz w:val="18"/>
                <w:szCs w:val="18"/>
                <w:color w:val="auto"/>
              </w:rPr>
            </w:pPr>
          </w:p>
        </w:tc>
        <w:tc>
          <w:tcPr>
            <w:tcW w:w="880" w:type="dxa"/>
            <w:vAlign w:val="bottom"/>
            <w:tcBorders>
              <w:bottom w:val="single" w:sz="8" w:color="auto"/>
            </w:tcBorders>
          </w:tcPr>
          <w:p>
            <w:pPr>
              <w:jc w:val="right"/>
              <w:ind w:right="702"/>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(40)</w:t>
            </w:r>
          </w:p>
        </w:tc>
        <w:tc>
          <w:tcPr>
            <w:tcW w:w="100" w:type="dxa"/>
            <w:vAlign w:val="bottom"/>
          </w:tcPr>
          <w:p>
            <w:pPr>
              <w:spacing w:after="0"/>
              <w:rPr>
                <w:sz w:val="18"/>
                <w:szCs w:val="18"/>
                <w:color w:val="auto"/>
              </w:rPr>
            </w:pPr>
          </w:p>
        </w:tc>
        <w:tc>
          <w:tcPr>
            <w:tcW w:w="960" w:type="dxa"/>
            <w:vAlign w:val="bottom"/>
            <w:tcBorders>
              <w:bottom w:val="single" w:sz="8" w:color="auto"/>
            </w:tcBorders>
          </w:tcPr>
          <w:p>
            <w:pPr>
              <w:jc w:val="right"/>
              <w:ind w:right="779"/>
              <w:spacing w:after="0"/>
              <w:rPr>
                <w:sz w:val="20"/>
                <w:szCs w:val="20"/>
                <w:color w:val="auto"/>
              </w:rPr>
            </w:pPr>
            <w:r>
              <w:rPr>
                <w:rFonts w:ascii="Times New Roman" w:cs="Times New Roman" w:eastAsia="Times New Roman" w:hAnsi="Times New Roman"/>
                <w:sz w:val="17"/>
                <w:szCs w:val="17"/>
                <w:color w:val="auto"/>
                <w:w w:val="93"/>
              </w:rPr>
              <w:t>$</w:t>
            </w: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(33)</w:t>
            </w:r>
          </w:p>
        </w:tc>
        <w:tc>
          <w:tcPr>
            <w:tcW w:w="0" w:type="dxa"/>
            <w:vAlign w:val="bottom"/>
          </w:tcPr>
          <w:p>
            <w:pPr>
              <w:spacing w:after="0"/>
              <w:rPr>
                <w:sz w:val="1"/>
                <w:szCs w:val="1"/>
                <w:color w:val="auto"/>
              </w:rPr>
            </w:pPr>
          </w:p>
        </w:tc>
      </w:tr>
      <w:tr>
        <w:trPr>
          <w:trHeight w:val="20"/>
        </w:trPr>
        <w:tc>
          <w:tcPr>
            <w:tcW w:w="57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3"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Foreign currency fluctuations and foreign exchange contracts within Other income (expense), net, includes a net loss of $15 million due to the impact of changes in the Lebanese pound and the Egyptian pound during the nine months ended September 30, 2024. As of March 31, 2024, the operations of Lebanon and Egypt have transferred to NCR Atleos; however, we retained certain assets and liabilities under the separation and disclosure agreement which were impacted by the changes in foreign currency fluctuations. The impact of the out-of-period correction of $8 million in expense is included in foreign currency fluctuations and foreign exchange contracts for the three months ended September 30, 2024, with $2 million of expense for the nine months ended September 30, 2024.</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Income Taxes</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4960" w:type="dxa"/>
            <w:vAlign w:val="bottom"/>
          </w:tcPr>
          <w:p>
            <w:pPr>
              <w:spacing w:after="0"/>
              <w:rPr>
                <w:sz w:val="15"/>
                <w:szCs w:val="15"/>
                <w:color w:val="auto"/>
              </w:rPr>
            </w:pPr>
          </w:p>
        </w:tc>
        <w:tc>
          <w:tcPr>
            <w:tcW w:w="2880" w:type="dxa"/>
            <w:vAlign w:val="bottom"/>
            <w:gridSpan w:val="4"/>
          </w:tcPr>
          <w:p>
            <w:pPr>
              <w:jc w:val="right"/>
              <w:ind w:right="82"/>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49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1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2"/>
        </w:trPr>
        <w:tc>
          <w:tcPr>
            <w:tcW w:w="4960" w:type="dxa"/>
            <w:vAlign w:val="bottom"/>
            <w:tcBorders>
              <w:bottom w:val="single" w:sz="8" w:color="CCEEFF"/>
            </w:tcBorders>
            <w:vMerge w:val="continue"/>
          </w:tcPr>
          <w:p>
            <w:pPr>
              <w:spacing w:after="0"/>
              <w:rPr>
                <w:sz w:val="15"/>
                <w:szCs w:val="15"/>
                <w:color w:val="auto"/>
              </w:rPr>
            </w:pPr>
          </w:p>
        </w:tc>
        <w:tc>
          <w:tcPr>
            <w:tcW w:w="1180" w:type="dxa"/>
            <w:vAlign w:val="bottom"/>
            <w:tcBorders>
              <w:bottom w:val="single" w:sz="8" w:color="auto"/>
            </w:tcBorders>
          </w:tcPr>
          <w:p>
            <w:pPr>
              <w:jc w:val="right"/>
              <w:ind w:right="145"/>
              <w:spacing w:after="0"/>
              <w:rPr>
                <w:sz w:val="20"/>
                <w:szCs w:val="20"/>
                <w:color w:val="auto"/>
              </w:rPr>
            </w:pPr>
            <w:r>
              <w:rPr>
                <w:rFonts w:ascii="Times New Roman" w:cs="Times New Roman" w:eastAsia="Times New Roman" w:hAnsi="Times New Roman"/>
                <w:sz w:val="14"/>
                <w:szCs w:val="14"/>
                <w:b w:val="1"/>
                <w:bCs w:val="1"/>
                <w:color w:val="auto"/>
              </w:rPr>
              <w:t>2024</w:t>
            </w:r>
          </w:p>
        </w:tc>
        <w:tc>
          <w:tcPr>
            <w:tcW w:w="46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140" w:type="dxa"/>
            <w:vAlign w:val="bottom"/>
            <w:tcBorders>
              <w:bottom w:val="single" w:sz="8" w:color="auto"/>
            </w:tcBorders>
          </w:tcPr>
          <w:p>
            <w:pPr>
              <w:jc w:val="right"/>
              <w:ind w:right="122"/>
              <w:spacing w:after="0"/>
              <w:rPr>
                <w:sz w:val="20"/>
                <w:szCs w:val="20"/>
                <w:color w:val="auto"/>
              </w:rPr>
            </w:pPr>
            <w:r>
              <w:rPr>
                <w:rFonts w:ascii="Times New Roman" w:cs="Times New Roman" w:eastAsia="Times New Roman" w:hAnsi="Times New Roman"/>
                <w:sz w:val="14"/>
                <w:szCs w:val="14"/>
                <w:b w:val="1"/>
                <w:bCs w:val="1"/>
                <w:color w:val="auto"/>
              </w:rPr>
              <w:t>2023</w:t>
            </w:r>
          </w:p>
        </w:tc>
        <w:tc>
          <w:tcPr>
            <w:tcW w:w="48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060" w:type="dxa"/>
            <w:vAlign w:val="bottom"/>
            <w:tcBorders>
              <w:bottom w:val="single" w:sz="8" w:color="auto"/>
            </w:tcBorders>
          </w:tcPr>
          <w:p>
            <w:pPr>
              <w:jc w:val="right"/>
              <w:ind w:right="145"/>
              <w:spacing w:after="0"/>
              <w:rPr>
                <w:sz w:val="20"/>
                <w:szCs w:val="20"/>
                <w:color w:val="auto"/>
              </w:rPr>
            </w:pPr>
            <w:r>
              <w:rPr>
                <w:rFonts w:ascii="Times New Roman" w:cs="Times New Roman" w:eastAsia="Times New Roman" w:hAnsi="Times New Roman"/>
                <w:sz w:val="14"/>
                <w:szCs w:val="14"/>
                <w:b w:val="1"/>
                <w:bCs w:val="1"/>
                <w:color w:val="auto"/>
              </w:rPr>
              <w:t>2024</w:t>
            </w:r>
          </w:p>
        </w:tc>
        <w:tc>
          <w:tcPr>
            <w:tcW w:w="36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880" w:type="dxa"/>
            <w:vAlign w:val="bottom"/>
            <w:tcBorders>
              <w:bottom w:val="single" w:sz="8" w:color="auto"/>
            </w:tcBorders>
          </w:tcPr>
          <w:p>
            <w:pPr>
              <w:jc w:val="right"/>
              <w:ind w:right="62"/>
              <w:spacing w:after="0"/>
              <w:rPr>
                <w:sz w:val="20"/>
                <w:szCs w:val="20"/>
                <w:color w:val="auto"/>
              </w:rPr>
            </w:pPr>
            <w:r>
              <w:rPr>
                <w:rFonts w:ascii="Times New Roman" w:cs="Times New Roman" w:eastAsia="Times New Roman" w:hAnsi="Times New Roman"/>
                <w:sz w:val="14"/>
                <w:szCs w:val="14"/>
                <w:b w:val="1"/>
                <w:bCs w:val="1"/>
                <w:color w:val="auto"/>
              </w:rPr>
              <w:t>2023</w:t>
            </w:r>
          </w:p>
        </w:tc>
        <w:tc>
          <w:tcPr>
            <w:tcW w:w="3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9"/>
        </w:trPr>
        <w:tc>
          <w:tcPr>
            <w:tcW w:w="4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Income tax expense (benefit)</w:t>
            </w:r>
          </w:p>
        </w:tc>
        <w:tc>
          <w:tcPr>
            <w:tcW w:w="1180" w:type="dxa"/>
            <w:vAlign w:val="bottom"/>
            <w:shd w:val="clear" w:color="auto" w:fill="CCEEFF"/>
          </w:tcPr>
          <w:p>
            <w:pPr>
              <w:jc w:val="right"/>
              <w:ind w:right="985"/>
              <w:spacing w:after="0"/>
              <w:rPr>
                <w:sz w:val="20"/>
                <w:szCs w:val="20"/>
                <w:color w:val="auto"/>
              </w:rPr>
            </w:pPr>
            <w:r>
              <w:rPr>
                <w:rFonts w:ascii="Times New Roman" w:cs="Times New Roman" w:eastAsia="Times New Roman" w:hAnsi="Times New Roman"/>
                <w:sz w:val="17"/>
                <w:szCs w:val="17"/>
                <w:b w:val="1"/>
                <w:bCs w:val="1"/>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962"/>
              <w:spacing w:after="0"/>
              <w:rPr>
                <w:sz w:val="20"/>
                <w:szCs w:val="20"/>
                <w:color w:val="auto"/>
              </w:rPr>
            </w:pPr>
            <w:r>
              <w:rPr>
                <w:rFonts w:ascii="Times New Roman" w:cs="Times New Roman" w:eastAsia="Times New Roman" w:hAnsi="Times New Roman"/>
                <w:sz w:val="17"/>
                <w:szCs w:val="17"/>
                <w:color w:val="auto"/>
                <w:w w:val="93"/>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187</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885"/>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3</w:t>
            </w: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702"/>
              <w:spacing w:after="0"/>
              <w:rPr>
                <w:sz w:val="20"/>
                <w:szCs w:val="20"/>
                <w:color w:val="auto"/>
              </w:rPr>
            </w:pPr>
            <w:r>
              <w:rPr>
                <w:rFonts w:ascii="Times New Roman" w:cs="Times New Roman" w:eastAsia="Times New Roman" w:hAnsi="Times New Roman"/>
                <w:sz w:val="17"/>
                <w:szCs w:val="17"/>
                <w:color w:val="auto"/>
                <w:w w:val="93"/>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200</w:t>
            </w:r>
          </w:p>
        </w:tc>
        <w:tc>
          <w:tcPr>
            <w:tcW w:w="0" w:type="dxa"/>
            <w:vAlign w:val="bottom"/>
          </w:tcPr>
          <w:p>
            <w:pPr>
              <w:spacing w:after="0"/>
              <w:rPr>
                <w:sz w:val="1"/>
                <w:szCs w:val="1"/>
                <w:color w:val="auto"/>
              </w:rPr>
            </w:pPr>
          </w:p>
        </w:tc>
      </w:tr>
    </w:tbl>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For the three months ended September 30, 2024 compared to the three months ended September 30, 2023</w:t>
      </w:r>
    </w:p>
    <w:p>
      <w:pPr>
        <w:spacing w:after="0" w:line="247"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Income tax provisions for interim (quarterly) periods are based on an estimated annual effective income tax rate calculated separately from the effect of significant, infrequent or unusual items. Income tax benefit from continuing operations was $1 million for the three months ended September 30, 2024 compared to income tax expense of $187 million for the three months ended September 30, 2023. The change in tax expense was primarily due to $195 million discrete tax expenses related to the internal restructuring transactions in connection with the Spin-Off for the three months ended September 30, 2023.</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3435" cy="4191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For the nine months ended September 30, 2024 compared to the nine months ended September 30, 2023</w:t>
      </w:r>
    </w:p>
    <w:p>
      <w:pPr>
        <w:spacing w:after="0" w:line="247"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7"/>
          <w:szCs w:val="17"/>
          <w:color w:val="auto"/>
        </w:rPr>
        <w:t>Income tax expense was $3 million for the nine months ended September 30, 2024 compared to income tax expense of $200 million for the nine months ended September 30, 2023. The change in tax expense was primarily due to $195 million discrete tax expenses related to the internal restructuring transactions in connection with the Spin-Off for the nine months ended September 30, 2023.</w:t>
      </w:r>
    </w:p>
    <w:p>
      <w:pPr>
        <w:spacing w:after="0" w:line="189"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7"/>
          <w:szCs w:val="17"/>
          <w:color w:val="auto"/>
        </w:rPr>
        <w:t>The Company is subject to numerous federal, state and foreign tax audits. While we believe that appropriate reserves exist for issues that might arise from these audits, should these audits be settled, the resulting tax effect could impact the tax provision and cash flows in 2024 or future periods.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Income (Loss) from Discontinued Operations</w:t>
      </w:r>
    </w:p>
    <w:p>
      <w:pPr>
        <w:spacing w:after="0" w:line="247"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7"/>
          <w:szCs w:val="17"/>
          <w:color w:val="auto"/>
        </w:rPr>
        <w:t>The Company recognized income from discontinued operations, net of tax, of $1,162 million for the nine months ended September 30, 2024, of which $1,181 million related to income from discontinued operations, net of tax, for the Digital Banking Sale and expense from discontinued operations, net of tax, of $19 million related to the Company’s environmental remediation matters.</w:t>
      </w:r>
    </w:p>
    <w:p>
      <w:pPr>
        <w:spacing w:after="0" w:line="189"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7"/>
          <w:szCs w:val="17"/>
          <w:color w:val="auto"/>
        </w:rPr>
        <w:t>The Company recognized income from discontinued operations, net of tax, of $1,113 million for the three months ended September 30, 2024, of which $1,132 million related to income from discontinued operations, net of tax, for the Digital Banking Sale and expense from discontinued operations, net of tax, of $19 million related to the Company’s environmental remediation matters.</w:t>
      </w:r>
    </w:p>
    <w:p>
      <w:pPr>
        <w:spacing w:after="0" w:line="189"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7"/>
          <w:szCs w:val="17"/>
          <w:color w:val="auto"/>
        </w:rPr>
        <w:t>The Company recognized income from discontinued operations, net of tax, of $353 million for the nine months ended September 30, 2023, of which $100 million related to income from discontinued operations, net of tax, for the Digital Banking Sale, $254 million related to income from discontinued operations, net of tax, for NCR Atleos and $1 million of expense from discontinued operations, net of tax, related to the Company’s environmental remediation matters.</w:t>
      </w:r>
    </w:p>
    <w:p>
      <w:pPr>
        <w:spacing w:after="0" w:line="189"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7"/>
          <w:szCs w:val="17"/>
          <w:color w:val="auto"/>
        </w:rPr>
        <w:t>The Company recognized income from discontinued operations, net of tax, of $138 million for the three months ended September 30, 2023, of which $32 million related to income from discontinued operations, net of tax, for the Digital Banking Sale and $68 million related to income from discontinued operations, net of tax, for NCR Atleos.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Refer to Note 2, “Discontinued Operations” of the Notes to Condensed Consolidated Financial Statements, for additional information.</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Revenue and Adjusted EBITDA by Segment</w:t>
      </w:r>
    </w:p>
    <w:p>
      <w:pPr>
        <w:spacing w:after="0" w:line="247"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The Company manages and reports its businesses in the following two segments: Retail and Restaurants (formerly reported as Hospitality). Segments are measured for profitability by the Company’s chief operating decision maker based on revenue and segment Adjusted EBITDA. Refer to the section above entitled “Non-GAAP Financial Measures and Use of Certain Terms” for our definition of Adjusted EBITDA and the reconciliation of net income (loss) from continuing operations attributable to NCR Voyix (GAAP) to Adjusted EBITDA (non-GAAP).</w:t>
      </w:r>
    </w:p>
    <w:p>
      <w:pPr>
        <w:spacing w:after="0" w:line="193"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7"/>
          <w:szCs w:val="17"/>
          <w:color w:val="auto"/>
        </w:rPr>
        <w:t>Corporate and Other includes income and expenses related to corporate functions that are not specifically attributable to any of our two individual reportable segments along with certain non-strategic businesses that are considered immaterial operating segment(s), certain countries which are expected to transfer to NCR Atleos during the remainder of 2024, and commercial agreements with NCR Atleos.</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3435" cy="4191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line="292" w:lineRule="auto"/>
        <w:rPr>
          <w:sz w:val="20"/>
          <w:szCs w:val="20"/>
          <w:color w:val="auto"/>
        </w:rPr>
      </w:pPr>
      <w:r>
        <w:rPr>
          <w:rFonts w:ascii="Times New Roman" w:cs="Times New Roman" w:eastAsia="Times New Roman" w:hAnsi="Times New Roman"/>
          <w:sz w:val="17"/>
          <w:szCs w:val="17"/>
          <w:color w:val="auto"/>
        </w:rPr>
        <w:t>The following tables show our segment revenue and Adjusted EBITDA for the three and nine months ended September 30, the relative percentage that those amounts represent to segment revenue, and the change in those amounts year-over-year.</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4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40" w:type="dxa"/>
            <w:vAlign w:val="bottom"/>
            <w:gridSpan w:val="5"/>
          </w:tcPr>
          <w:p>
            <w:pPr>
              <w:ind w:left="6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900" w:type="dxa"/>
            <w:vAlign w:val="bottom"/>
            <w:gridSpan w:val="4"/>
          </w:tcPr>
          <w:p>
            <w:pPr>
              <w:ind w:left="660"/>
              <w:spacing w:after="0"/>
              <w:rPr>
                <w:sz w:val="20"/>
                <w:szCs w:val="20"/>
                <w:color w:val="auto"/>
              </w:rPr>
            </w:pPr>
            <w:r>
              <w:rPr>
                <w:rFonts w:ascii="Times New Roman" w:cs="Times New Roman" w:eastAsia="Times New Roman" w:hAnsi="Times New Roman"/>
                <w:sz w:val="14"/>
                <w:szCs w:val="14"/>
                <w:b w:val="1"/>
                <w:bCs w:val="1"/>
                <w:color w:val="auto"/>
              </w:rPr>
              <w:t xml:space="preserve">Percentage of Revenue </w:t>
            </w:r>
            <w:r>
              <w:rPr>
                <w:rFonts w:ascii="Times New Roman" w:cs="Times New Roman" w:eastAsia="Times New Roman" w:hAnsi="Times New Roman"/>
                <w:sz w:val="17"/>
                <w:szCs w:val="17"/>
                <w:b w:val="1"/>
                <w:bCs w:val="1"/>
                <w:color w:val="auto"/>
                <w:vertAlign w:val="superscript"/>
              </w:rPr>
              <w:t>(1)</w:t>
            </w:r>
          </w:p>
        </w:tc>
        <w:tc>
          <w:tcPr>
            <w:tcW w:w="1380" w:type="dxa"/>
            <w:vAlign w:val="bottom"/>
          </w:tcPr>
          <w:p>
            <w:pPr>
              <w:jc w:val="right"/>
              <w:ind w:right="37"/>
              <w:spacing w:after="0"/>
              <w:rPr>
                <w:sz w:val="20"/>
                <w:szCs w:val="20"/>
                <w:color w:val="auto"/>
              </w:rPr>
            </w:pPr>
            <w:r>
              <w:rPr>
                <w:rFonts w:ascii="Times New Roman" w:cs="Times New Roman" w:eastAsia="Times New Roman" w:hAnsi="Times New Roman"/>
                <w:sz w:val="14"/>
                <w:szCs w:val="14"/>
                <w:b w:val="1"/>
                <w:bCs w:val="1"/>
                <w:color w:val="auto"/>
              </w:rPr>
              <w:t>Increase (Decrease)</w:t>
            </w:r>
          </w:p>
        </w:tc>
      </w:tr>
      <w:tr>
        <w:trPr>
          <w:trHeight w:val="182"/>
        </w:trPr>
        <w:tc>
          <w:tcPr>
            <w:tcW w:w="4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80" w:type="dxa"/>
            <w:vAlign w:val="bottom"/>
            <w:tcBorders>
              <w:top w:val="single" w:sz="8" w:color="auto"/>
              <w:bottom w:val="single" w:sz="8" w:color="auto"/>
            </w:tcBorders>
          </w:tcPr>
          <w:p>
            <w:pPr>
              <w:spacing w:after="0"/>
              <w:rPr>
                <w:sz w:val="15"/>
                <w:szCs w:val="15"/>
                <w:color w:val="auto"/>
              </w:rPr>
            </w:pPr>
          </w:p>
        </w:tc>
        <w:tc>
          <w:tcPr>
            <w:tcW w:w="1040" w:type="dxa"/>
            <w:vAlign w:val="bottom"/>
            <w:tcBorders>
              <w:top w:val="single" w:sz="8" w:color="auto"/>
              <w:bottom w:val="single" w:sz="8" w:color="auto"/>
            </w:tcBorders>
          </w:tcPr>
          <w:p>
            <w:pPr>
              <w:jc w:val="right"/>
              <w:ind w:right="397"/>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top w:val="single" w:sz="8" w:color="auto"/>
              <w:bottom w:val="single" w:sz="8" w:color="CCEEFF"/>
            </w:tcBorders>
          </w:tcPr>
          <w:p>
            <w:pPr>
              <w:spacing w:after="0"/>
              <w:rPr>
                <w:sz w:val="15"/>
                <w:szCs w:val="15"/>
                <w:color w:val="auto"/>
              </w:rPr>
            </w:pPr>
          </w:p>
        </w:tc>
        <w:tc>
          <w:tcPr>
            <w:tcW w:w="280" w:type="dxa"/>
            <w:vAlign w:val="bottom"/>
            <w:tcBorders>
              <w:top w:val="single" w:sz="8" w:color="auto"/>
              <w:bottom w:val="single" w:sz="8" w:color="auto"/>
            </w:tcBorders>
          </w:tcPr>
          <w:p>
            <w:pPr>
              <w:spacing w:after="0"/>
              <w:rPr>
                <w:sz w:val="15"/>
                <w:szCs w:val="15"/>
                <w:color w:val="auto"/>
              </w:rPr>
            </w:pPr>
          </w:p>
        </w:tc>
        <w:tc>
          <w:tcPr>
            <w:tcW w:w="920" w:type="dxa"/>
            <w:vAlign w:val="bottom"/>
            <w:tcBorders>
              <w:top w:val="single" w:sz="8" w:color="auto"/>
              <w:bottom w:val="single" w:sz="8" w:color="auto"/>
            </w:tcBorders>
          </w:tcPr>
          <w:p>
            <w:pPr>
              <w:jc w:val="right"/>
              <w:ind w:right="376"/>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5"/>
                <w:szCs w:val="15"/>
                <w:color w:val="auto"/>
              </w:rPr>
            </w:pPr>
          </w:p>
        </w:tc>
        <w:tc>
          <w:tcPr>
            <w:tcW w:w="1360" w:type="dxa"/>
            <w:vAlign w:val="bottom"/>
            <w:tcBorders>
              <w:top w:val="single" w:sz="8" w:color="auto"/>
              <w:bottom w:val="single" w:sz="8" w:color="auto"/>
            </w:tcBorders>
          </w:tcPr>
          <w:p>
            <w:pPr>
              <w:jc w:val="right"/>
              <w:ind w:right="457"/>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top w:val="single" w:sz="8" w:color="auto"/>
              <w:bottom w:val="single" w:sz="8" w:color="CCEEFF"/>
            </w:tcBorders>
          </w:tcPr>
          <w:p>
            <w:pPr>
              <w:spacing w:after="0"/>
              <w:rPr>
                <w:sz w:val="15"/>
                <w:szCs w:val="15"/>
                <w:color w:val="auto"/>
              </w:rPr>
            </w:pPr>
          </w:p>
        </w:tc>
        <w:tc>
          <w:tcPr>
            <w:tcW w:w="1360" w:type="dxa"/>
            <w:vAlign w:val="bottom"/>
            <w:tcBorders>
              <w:top w:val="single" w:sz="8" w:color="auto"/>
              <w:bottom w:val="single" w:sz="8" w:color="auto"/>
            </w:tcBorders>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Borders>
              <w:bottom w:val="single" w:sz="8" w:color="CCEEFF"/>
            </w:tcBorders>
          </w:tcPr>
          <w:p>
            <w:pPr>
              <w:spacing w:after="0"/>
              <w:rPr>
                <w:sz w:val="15"/>
                <w:szCs w:val="15"/>
                <w:color w:val="auto"/>
              </w:rPr>
            </w:pPr>
          </w:p>
        </w:tc>
        <w:tc>
          <w:tcPr>
            <w:tcW w:w="1380" w:type="dxa"/>
            <w:vAlign w:val="bottom"/>
            <w:tcBorders>
              <w:top w:val="single" w:sz="8" w:color="auto"/>
              <w:bottom w:val="single" w:sz="8" w:color="auto"/>
            </w:tcBorders>
          </w:tcPr>
          <w:p>
            <w:pPr>
              <w:jc w:val="right"/>
              <w:ind w:right="257"/>
              <w:spacing w:after="0"/>
              <w:rPr>
                <w:sz w:val="20"/>
                <w:szCs w:val="20"/>
                <w:color w:val="auto"/>
              </w:rPr>
            </w:pPr>
            <w:r>
              <w:rPr>
                <w:rFonts w:ascii="Times New Roman" w:cs="Times New Roman" w:eastAsia="Times New Roman" w:hAnsi="Times New Roman"/>
                <w:sz w:val="14"/>
                <w:szCs w:val="14"/>
                <w:b w:val="1"/>
                <w:bCs w:val="1"/>
                <w:color w:val="auto"/>
              </w:rPr>
              <w:t>2024 v 2023</w:t>
            </w:r>
          </w:p>
        </w:tc>
      </w:tr>
      <w:tr>
        <w:trPr>
          <w:trHeight w:val="206"/>
        </w:trPr>
        <w:tc>
          <w:tcPr>
            <w:tcW w:w="4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Revenue</w:t>
            </w:r>
          </w:p>
        </w:tc>
        <w:tc>
          <w:tcPr>
            <w:tcW w:w="1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r>
      <w:tr>
        <w:trPr>
          <w:trHeight w:val="220"/>
        </w:trPr>
        <w:tc>
          <w:tcPr>
            <w:tcW w:w="42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Retail</w:t>
            </w: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487</w:t>
            </w:r>
          </w:p>
        </w:tc>
        <w:tc>
          <w:tcPr>
            <w:tcW w:w="100" w:type="dxa"/>
            <w:vAlign w:val="bottom"/>
          </w:tcPr>
          <w:p>
            <w:pPr>
              <w:spacing w:after="0"/>
              <w:rPr>
                <w:sz w:val="19"/>
                <w:szCs w:val="19"/>
                <w:color w:val="auto"/>
              </w:rPr>
            </w:pPr>
          </w:p>
        </w:tc>
        <w:tc>
          <w:tcPr>
            <w:tcW w:w="280" w:type="dxa"/>
            <w:vAlign w:val="bottom"/>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552</w:t>
            </w: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68.5 %</w:t>
            </w: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68.2 %</w:t>
            </w:r>
          </w:p>
        </w:tc>
        <w:tc>
          <w:tcPr>
            <w:tcW w:w="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w:t>
            </w:r>
          </w:p>
        </w:tc>
      </w:tr>
      <w:tr>
        <w:trPr>
          <w:trHeight w:val="220"/>
        </w:trPr>
        <w:tc>
          <w:tcPr>
            <w:tcW w:w="42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Restaurants</w:t>
            </w:r>
          </w:p>
        </w:tc>
        <w:tc>
          <w:tcPr>
            <w:tcW w:w="1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211</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229</w:t>
            </w:r>
          </w:p>
        </w:tc>
        <w:tc>
          <w:tcPr>
            <w:tcW w:w="100" w:type="dxa"/>
            <w:vAlign w:val="bottom"/>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29.7 %</w:t>
            </w:r>
          </w:p>
        </w:tc>
        <w:tc>
          <w:tcPr>
            <w:tcW w:w="100" w:type="dxa"/>
            <w:vAlign w:val="bottom"/>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28.3 %</w:t>
            </w:r>
          </w:p>
        </w:tc>
        <w:tc>
          <w:tcPr>
            <w:tcW w:w="80" w:type="dxa"/>
            <w:vAlign w:val="bottom"/>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w:t>
            </w:r>
          </w:p>
        </w:tc>
      </w:tr>
      <w:tr>
        <w:trPr>
          <w:trHeight w:val="213"/>
        </w:trPr>
        <w:tc>
          <w:tcPr>
            <w:tcW w:w="420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Total segment revenue</w:t>
            </w: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698</w:t>
            </w:r>
          </w:p>
        </w:tc>
        <w:tc>
          <w:tcPr>
            <w:tcW w:w="100" w:type="dxa"/>
            <w:vAlign w:val="bottom"/>
          </w:tcPr>
          <w:p>
            <w:pPr>
              <w:spacing w:after="0"/>
              <w:rPr>
                <w:sz w:val="18"/>
                <w:szCs w:val="18"/>
                <w:color w:val="auto"/>
              </w:rPr>
            </w:pPr>
          </w:p>
        </w:tc>
        <w:tc>
          <w:tcPr>
            <w:tcW w:w="280" w:type="dxa"/>
            <w:vAlign w:val="bottom"/>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781</w:t>
            </w:r>
          </w:p>
        </w:tc>
        <w:tc>
          <w:tcPr>
            <w:tcW w:w="1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98.2 %</w:t>
            </w:r>
          </w:p>
        </w:tc>
        <w:tc>
          <w:tcPr>
            <w:tcW w:w="1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96.5 %</w:t>
            </w:r>
          </w:p>
        </w:tc>
        <w:tc>
          <w:tcPr>
            <w:tcW w:w="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w:t>
            </w:r>
          </w:p>
        </w:tc>
      </w:tr>
      <w:tr>
        <w:trPr>
          <w:trHeight w:val="220"/>
        </w:trPr>
        <w:tc>
          <w:tcPr>
            <w:tcW w:w="42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Other</w:t>
            </w:r>
          </w:p>
        </w:tc>
        <w:tc>
          <w:tcPr>
            <w:tcW w:w="1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13</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w:t>
            </w:r>
          </w:p>
        </w:tc>
        <w:tc>
          <w:tcPr>
            <w:tcW w:w="100" w:type="dxa"/>
            <w:vAlign w:val="bottom"/>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1.8 %</w:t>
            </w:r>
          </w:p>
        </w:tc>
        <w:tc>
          <w:tcPr>
            <w:tcW w:w="100" w:type="dxa"/>
            <w:vAlign w:val="bottom"/>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3.5 %</w:t>
            </w:r>
          </w:p>
        </w:tc>
        <w:tc>
          <w:tcPr>
            <w:tcW w:w="80" w:type="dxa"/>
            <w:vAlign w:val="bottom"/>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w:t>
            </w:r>
          </w:p>
        </w:tc>
      </w:tr>
      <w:tr>
        <w:trPr>
          <w:trHeight w:val="213"/>
        </w:trPr>
        <w:tc>
          <w:tcPr>
            <w:tcW w:w="420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Total revenue</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711</w:t>
            </w:r>
          </w:p>
        </w:tc>
        <w:tc>
          <w:tcPr>
            <w:tcW w:w="100" w:type="dxa"/>
            <w:vAlign w:val="bottom"/>
          </w:tcPr>
          <w:p>
            <w:pPr>
              <w:spacing w:after="0"/>
              <w:rPr>
                <w:sz w:val="18"/>
                <w:szCs w:val="18"/>
                <w:color w:val="auto"/>
              </w:rPr>
            </w:pPr>
          </w:p>
        </w:tc>
        <w:tc>
          <w:tcPr>
            <w:tcW w:w="28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809</w:t>
            </w:r>
          </w:p>
        </w:tc>
        <w:tc>
          <w:tcPr>
            <w:tcW w:w="100" w:type="dxa"/>
            <w:vAlign w:val="bottom"/>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100.0 %</w:t>
            </w:r>
          </w:p>
        </w:tc>
        <w:tc>
          <w:tcPr>
            <w:tcW w:w="100" w:type="dxa"/>
            <w:vAlign w:val="bottom"/>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100.0 %</w:t>
            </w:r>
          </w:p>
        </w:tc>
        <w:tc>
          <w:tcPr>
            <w:tcW w:w="80" w:type="dxa"/>
            <w:vAlign w:val="bottom"/>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w:t>
            </w:r>
          </w:p>
        </w:tc>
      </w:tr>
      <w:tr>
        <w:trPr>
          <w:trHeight w:val="20"/>
        </w:trPr>
        <w:tc>
          <w:tcPr>
            <w:tcW w:w="42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r>
        <w:trPr>
          <w:trHeight w:val="70"/>
        </w:trPr>
        <w:tc>
          <w:tcPr>
            <w:tcW w:w="420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10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9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3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36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1380" w:type="dxa"/>
            <w:vAlign w:val="bottom"/>
            <w:shd w:val="clear" w:color="auto" w:fill="CCEEFF"/>
          </w:tcPr>
          <w:p>
            <w:pPr>
              <w:spacing w:after="0"/>
              <w:rPr>
                <w:sz w:val="6"/>
                <w:szCs w:val="6"/>
                <w:color w:val="auto"/>
              </w:rPr>
            </w:pPr>
          </w:p>
        </w:tc>
      </w:tr>
      <w:tr>
        <w:trPr>
          <w:trHeight w:val="220"/>
        </w:trPr>
        <w:tc>
          <w:tcPr>
            <w:tcW w:w="420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Adjusted EBITDA by Segment</w:t>
            </w: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80" w:type="dxa"/>
            <w:vAlign w:val="bottom"/>
          </w:tcPr>
          <w:p>
            <w:pPr>
              <w:spacing w:after="0"/>
              <w:rPr>
                <w:sz w:val="19"/>
                <w:szCs w:val="19"/>
                <w:color w:val="auto"/>
              </w:rPr>
            </w:pPr>
          </w:p>
        </w:tc>
      </w:tr>
      <w:tr>
        <w:trPr>
          <w:trHeight w:val="220"/>
        </w:trPr>
        <w:tc>
          <w:tcPr>
            <w:tcW w:w="42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Retail</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108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123</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22.2 %</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22.3 %</w:t>
            </w:r>
          </w:p>
        </w:tc>
        <w:tc>
          <w:tcPr>
            <w:tcW w:w="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w:t>
            </w:r>
          </w:p>
        </w:tc>
      </w:tr>
      <w:tr>
        <w:trPr>
          <w:trHeight w:val="228"/>
        </w:trPr>
        <w:tc>
          <w:tcPr>
            <w:tcW w:w="42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Restaurants</w:t>
            </w: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66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52</w:t>
            </w: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31.3 %</w:t>
            </w: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22.7 %</w:t>
            </w:r>
          </w:p>
        </w:tc>
        <w:tc>
          <w:tcPr>
            <w:tcW w:w="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27 %</w:t>
            </w:r>
          </w:p>
        </w:tc>
      </w:tr>
    </w:tbl>
    <w:p>
      <w:pPr>
        <w:spacing w:after="0" w:line="42" w:lineRule="exact"/>
        <w:rPr>
          <w:sz w:val="20"/>
          <w:szCs w:val="20"/>
          <w:color w:val="auto"/>
        </w:rPr>
      </w:pPr>
    </w:p>
    <w:p>
      <w:pPr>
        <w:ind w:left="160" w:hanging="156"/>
        <w:spacing w:after="0"/>
        <w:tabs>
          <w:tab w:leader="none" w:pos="160" w:val="left"/>
        </w:tabs>
        <w:numPr>
          <w:ilvl w:val="0"/>
          <w:numId w:val="15"/>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6"/>
          <w:szCs w:val="16"/>
          <w:color w:val="auto"/>
        </w:rPr>
        <w:t>The percentage of revenue is calculated for each line item divided by total revenue, except for Adjusted EBITDA, which are divided by the related component of revenue.</w:t>
      </w:r>
    </w:p>
    <w:p>
      <w:pPr>
        <w:spacing w:after="0" w:line="200" w:lineRule="exact"/>
        <w:rPr>
          <w:sz w:val="20"/>
          <w:szCs w:val="20"/>
          <w:color w:val="auto"/>
        </w:rPr>
      </w:pP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4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60" w:type="dxa"/>
            <w:vAlign w:val="bottom"/>
            <w:gridSpan w:val="5"/>
          </w:tcPr>
          <w:p>
            <w:pPr>
              <w:ind w:left="8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2940" w:type="dxa"/>
            <w:vAlign w:val="bottom"/>
            <w:gridSpan w:val="4"/>
          </w:tcPr>
          <w:p>
            <w:pPr>
              <w:ind w:left="680"/>
              <w:spacing w:after="0"/>
              <w:rPr>
                <w:sz w:val="20"/>
                <w:szCs w:val="20"/>
                <w:color w:val="auto"/>
              </w:rPr>
            </w:pPr>
            <w:r>
              <w:rPr>
                <w:rFonts w:ascii="Times New Roman" w:cs="Times New Roman" w:eastAsia="Times New Roman" w:hAnsi="Times New Roman"/>
                <w:sz w:val="14"/>
                <w:szCs w:val="14"/>
                <w:b w:val="1"/>
                <w:bCs w:val="1"/>
                <w:color w:val="auto"/>
              </w:rPr>
              <w:t xml:space="preserve">Percentage of Revenue </w:t>
            </w:r>
            <w:r>
              <w:rPr>
                <w:rFonts w:ascii="Times New Roman" w:cs="Times New Roman" w:eastAsia="Times New Roman" w:hAnsi="Times New Roman"/>
                <w:sz w:val="17"/>
                <w:szCs w:val="17"/>
                <w:b w:val="1"/>
                <w:bCs w:val="1"/>
                <w:color w:val="auto"/>
                <w:vertAlign w:val="superscript"/>
              </w:rPr>
              <w:t>(1)</w:t>
            </w:r>
          </w:p>
        </w:tc>
        <w:tc>
          <w:tcPr>
            <w:tcW w:w="136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Increase (Decrease)</w:t>
            </w:r>
          </w:p>
        </w:tc>
      </w:tr>
      <w:tr>
        <w:trPr>
          <w:trHeight w:val="182"/>
        </w:trPr>
        <w:tc>
          <w:tcPr>
            <w:tcW w:w="41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00" w:type="dxa"/>
            <w:vAlign w:val="bottom"/>
            <w:tcBorders>
              <w:top w:val="single" w:sz="8" w:color="auto"/>
              <w:bottom w:val="single" w:sz="8" w:color="auto"/>
            </w:tcBorders>
          </w:tcPr>
          <w:p>
            <w:pPr>
              <w:spacing w:after="0"/>
              <w:rPr>
                <w:sz w:val="15"/>
                <w:szCs w:val="15"/>
                <w:color w:val="auto"/>
              </w:rPr>
            </w:pPr>
          </w:p>
        </w:tc>
        <w:tc>
          <w:tcPr>
            <w:tcW w:w="1020" w:type="dxa"/>
            <w:vAlign w:val="bottom"/>
            <w:tcBorders>
              <w:top w:val="single" w:sz="8" w:color="auto"/>
              <w:bottom w:val="single" w:sz="8" w:color="auto"/>
            </w:tcBorders>
          </w:tcPr>
          <w:p>
            <w:pPr>
              <w:jc w:val="right"/>
              <w:ind w:right="397"/>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top w:val="single" w:sz="8" w:color="auto"/>
              <w:bottom w:val="single" w:sz="8" w:color="CCEEFF"/>
            </w:tcBorders>
          </w:tcPr>
          <w:p>
            <w:pPr>
              <w:spacing w:after="0"/>
              <w:rPr>
                <w:sz w:val="15"/>
                <w:szCs w:val="15"/>
                <w:color w:val="auto"/>
              </w:rPr>
            </w:pPr>
          </w:p>
        </w:tc>
        <w:tc>
          <w:tcPr>
            <w:tcW w:w="300" w:type="dxa"/>
            <w:vAlign w:val="bottom"/>
            <w:tcBorders>
              <w:top w:val="single" w:sz="8" w:color="auto"/>
              <w:bottom w:val="single" w:sz="8" w:color="auto"/>
            </w:tcBorders>
          </w:tcPr>
          <w:p>
            <w:pPr>
              <w:spacing w:after="0"/>
              <w:rPr>
                <w:sz w:val="15"/>
                <w:szCs w:val="15"/>
                <w:color w:val="auto"/>
              </w:rPr>
            </w:pPr>
          </w:p>
        </w:tc>
        <w:tc>
          <w:tcPr>
            <w:tcW w:w="940" w:type="dxa"/>
            <w:vAlign w:val="bottom"/>
            <w:tcBorders>
              <w:top w:val="single" w:sz="8" w:color="auto"/>
              <w:bottom w:val="single" w:sz="8" w:color="auto"/>
            </w:tcBorders>
          </w:tcPr>
          <w:p>
            <w:pPr>
              <w:jc w:val="right"/>
              <w:ind w:right="396"/>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5"/>
                <w:szCs w:val="15"/>
                <w:color w:val="auto"/>
              </w:rPr>
            </w:pPr>
          </w:p>
        </w:tc>
        <w:tc>
          <w:tcPr>
            <w:tcW w:w="1400" w:type="dxa"/>
            <w:vAlign w:val="bottom"/>
            <w:tcBorders>
              <w:top w:val="single" w:sz="8" w:color="auto"/>
              <w:bottom w:val="single" w:sz="8" w:color="auto"/>
            </w:tcBorders>
          </w:tcPr>
          <w:p>
            <w:pPr>
              <w:jc w:val="right"/>
              <w:ind w:right="497"/>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top w:val="single" w:sz="8" w:color="auto"/>
              <w:bottom w:val="single" w:sz="8" w:color="CCEEFF"/>
            </w:tcBorders>
          </w:tcPr>
          <w:p>
            <w:pPr>
              <w:spacing w:after="0"/>
              <w:rPr>
                <w:sz w:val="15"/>
                <w:szCs w:val="15"/>
                <w:color w:val="auto"/>
              </w:rPr>
            </w:pPr>
          </w:p>
        </w:tc>
        <w:tc>
          <w:tcPr>
            <w:tcW w:w="1380" w:type="dxa"/>
            <w:vAlign w:val="bottom"/>
            <w:tcBorders>
              <w:top w:val="single" w:sz="8" w:color="auto"/>
              <w:bottom w:val="single" w:sz="8" w:color="auto"/>
            </w:tcBorders>
          </w:tcPr>
          <w:p>
            <w:pPr>
              <w:jc w:val="right"/>
              <w:ind w:right="476"/>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Borders>
              <w:bottom w:val="single" w:sz="8" w:color="CCEEFF"/>
            </w:tcBorders>
          </w:tcPr>
          <w:p>
            <w:pPr>
              <w:spacing w:after="0"/>
              <w:rPr>
                <w:sz w:val="15"/>
                <w:szCs w:val="15"/>
                <w:color w:val="auto"/>
              </w:rPr>
            </w:pPr>
          </w:p>
        </w:tc>
        <w:tc>
          <w:tcPr>
            <w:tcW w:w="1280" w:type="dxa"/>
            <w:vAlign w:val="bottom"/>
            <w:tcBorders>
              <w:top w:val="single" w:sz="8" w:color="auto"/>
              <w:bottom w:val="single" w:sz="8" w:color="auto"/>
            </w:tcBorders>
          </w:tcPr>
          <w:p>
            <w:pPr>
              <w:jc w:val="right"/>
              <w:ind w:right="217"/>
              <w:spacing w:after="0"/>
              <w:rPr>
                <w:sz w:val="20"/>
                <w:szCs w:val="20"/>
                <w:color w:val="auto"/>
              </w:rPr>
            </w:pPr>
            <w:r>
              <w:rPr>
                <w:rFonts w:ascii="Times New Roman" w:cs="Times New Roman" w:eastAsia="Times New Roman" w:hAnsi="Times New Roman"/>
                <w:sz w:val="14"/>
                <w:szCs w:val="14"/>
                <w:b w:val="1"/>
                <w:bCs w:val="1"/>
                <w:color w:val="auto"/>
              </w:rPr>
              <w:t>2024 v 2023</w:t>
            </w:r>
          </w:p>
        </w:tc>
        <w:tc>
          <w:tcPr>
            <w:tcW w:w="80" w:type="dxa"/>
            <w:vAlign w:val="bottom"/>
            <w:tcBorders>
              <w:bottom w:val="single" w:sz="8" w:color="CCEEFF"/>
            </w:tcBorders>
          </w:tcPr>
          <w:p>
            <w:pPr>
              <w:spacing w:after="0"/>
              <w:rPr>
                <w:sz w:val="15"/>
                <w:szCs w:val="15"/>
                <w:color w:val="auto"/>
              </w:rPr>
            </w:pPr>
          </w:p>
        </w:tc>
      </w:tr>
      <w:tr>
        <w:trPr>
          <w:trHeight w:val="206"/>
        </w:trPr>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Revenue</w:t>
            </w: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20"/>
        </w:trPr>
        <w:tc>
          <w:tcPr>
            <w:tcW w:w="41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Retail</w:t>
            </w:r>
          </w:p>
        </w:tc>
        <w:tc>
          <w:tcPr>
            <w:tcW w:w="200" w:type="dxa"/>
            <w:vAlign w:val="bottom"/>
          </w:tcPr>
          <w:p>
            <w:pPr>
              <w:jc w:val="right"/>
              <w:ind w:right="1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1,495</w:t>
            </w:r>
          </w:p>
        </w:tc>
        <w:tc>
          <w:tcPr>
            <w:tcW w:w="100" w:type="dxa"/>
            <w:vAlign w:val="bottom"/>
          </w:tcPr>
          <w:p>
            <w:pPr>
              <w:spacing w:after="0"/>
              <w:rPr>
                <w:sz w:val="19"/>
                <w:szCs w:val="19"/>
                <w:color w:val="auto"/>
              </w:rPr>
            </w:pPr>
          </w:p>
        </w:tc>
        <w:tc>
          <w:tcPr>
            <w:tcW w:w="300" w:type="dxa"/>
            <w:vAlign w:val="bottom"/>
          </w:tcPr>
          <w:p>
            <w:pPr>
              <w:jc w:val="right"/>
              <w:ind w:right="94"/>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1,633</w:t>
            </w:r>
          </w:p>
        </w:tc>
        <w:tc>
          <w:tcPr>
            <w:tcW w:w="1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69.7 %</w:t>
            </w:r>
          </w:p>
        </w:tc>
        <w:tc>
          <w:tcPr>
            <w:tcW w:w="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68.6 %</w:t>
            </w:r>
          </w:p>
        </w:tc>
        <w:tc>
          <w:tcPr>
            <w:tcW w:w="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w:t>
            </w:r>
          </w:p>
        </w:tc>
        <w:tc>
          <w:tcPr>
            <w:tcW w:w="80" w:type="dxa"/>
            <w:vAlign w:val="bottom"/>
          </w:tcPr>
          <w:p>
            <w:pPr>
              <w:spacing w:after="0"/>
              <w:rPr>
                <w:sz w:val="19"/>
                <w:szCs w:val="19"/>
                <w:color w:val="auto"/>
              </w:rPr>
            </w:pPr>
          </w:p>
        </w:tc>
      </w:tr>
      <w:tr>
        <w:trPr>
          <w:trHeight w:val="220"/>
        </w:trPr>
        <w:tc>
          <w:tcPr>
            <w:tcW w:w="41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Restaurants</w:t>
            </w:r>
          </w:p>
        </w:tc>
        <w:tc>
          <w:tcPr>
            <w:tcW w:w="2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614</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663</w:t>
            </w:r>
          </w:p>
        </w:tc>
        <w:tc>
          <w:tcPr>
            <w:tcW w:w="100" w:type="dxa"/>
            <w:vAlign w:val="bottom"/>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28.6 %</w:t>
            </w:r>
          </w:p>
        </w:tc>
        <w:tc>
          <w:tcPr>
            <w:tcW w:w="80" w:type="dxa"/>
            <w:vAlign w:val="bottom"/>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27.8 %</w:t>
            </w:r>
          </w:p>
        </w:tc>
        <w:tc>
          <w:tcPr>
            <w:tcW w:w="80" w:type="dxa"/>
            <w:vAlign w:val="bottom"/>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w:t>
            </w:r>
          </w:p>
        </w:tc>
        <w:tc>
          <w:tcPr>
            <w:tcW w:w="80" w:type="dxa"/>
            <w:vAlign w:val="bottom"/>
            <w:shd w:val="clear" w:color="auto" w:fill="CCEEFF"/>
          </w:tcPr>
          <w:p>
            <w:pPr>
              <w:spacing w:after="0"/>
              <w:rPr>
                <w:sz w:val="19"/>
                <w:szCs w:val="19"/>
                <w:color w:val="auto"/>
              </w:rPr>
            </w:pPr>
          </w:p>
        </w:tc>
      </w:tr>
      <w:tr>
        <w:trPr>
          <w:trHeight w:val="213"/>
        </w:trPr>
        <w:tc>
          <w:tcPr>
            <w:tcW w:w="412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Total segment revenue</w:t>
            </w:r>
          </w:p>
        </w:tc>
        <w:tc>
          <w:tcPr>
            <w:tcW w:w="200" w:type="dxa"/>
            <w:vAlign w:val="bottom"/>
          </w:tcPr>
          <w:p>
            <w:pPr>
              <w:jc w:val="right"/>
              <w:ind w:right="1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2,109</w:t>
            </w:r>
          </w:p>
        </w:tc>
        <w:tc>
          <w:tcPr>
            <w:tcW w:w="100" w:type="dxa"/>
            <w:vAlign w:val="bottom"/>
          </w:tcPr>
          <w:p>
            <w:pPr>
              <w:spacing w:after="0"/>
              <w:rPr>
                <w:sz w:val="18"/>
                <w:szCs w:val="18"/>
                <w:color w:val="auto"/>
              </w:rPr>
            </w:pPr>
          </w:p>
        </w:tc>
        <w:tc>
          <w:tcPr>
            <w:tcW w:w="300" w:type="dxa"/>
            <w:vAlign w:val="bottom"/>
          </w:tcPr>
          <w:p>
            <w:pPr>
              <w:jc w:val="right"/>
              <w:ind w:right="94"/>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2,296</w:t>
            </w:r>
          </w:p>
        </w:tc>
        <w:tc>
          <w:tcPr>
            <w:tcW w:w="1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98.3 %</w:t>
            </w:r>
          </w:p>
        </w:tc>
        <w:tc>
          <w:tcPr>
            <w:tcW w:w="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96.4 %</w:t>
            </w:r>
          </w:p>
        </w:tc>
        <w:tc>
          <w:tcPr>
            <w:tcW w:w="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w:t>
            </w:r>
          </w:p>
        </w:tc>
        <w:tc>
          <w:tcPr>
            <w:tcW w:w="80" w:type="dxa"/>
            <w:vAlign w:val="bottom"/>
          </w:tcPr>
          <w:p>
            <w:pPr>
              <w:spacing w:after="0"/>
              <w:rPr>
                <w:sz w:val="18"/>
                <w:szCs w:val="18"/>
                <w:color w:val="auto"/>
              </w:rPr>
            </w:pPr>
          </w:p>
        </w:tc>
      </w:tr>
      <w:tr>
        <w:trPr>
          <w:trHeight w:val="220"/>
        </w:trPr>
        <w:tc>
          <w:tcPr>
            <w:tcW w:w="41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Other</w:t>
            </w:r>
          </w:p>
        </w:tc>
        <w:tc>
          <w:tcPr>
            <w:tcW w:w="2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35</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86</w:t>
            </w:r>
          </w:p>
        </w:tc>
        <w:tc>
          <w:tcPr>
            <w:tcW w:w="100" w:type="dxa"/>
            <w:vAlign w:val="bottom"/>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1.7 %</w:t>
            </w:r>
          </w:p>
        </w:tc>
        <w:tc>
          <w:tcPr>
            <w:tcW w:w="80" w:type="dxa"/>
            <w:vAlign w:val="bottom"/>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3.6 %</w:t>
            </w:r>
          </w:p>
        </w:tc>
        <w:tc>
          <w:tcPr>
            <w:tcW w:w="80" w:type="dxa"/>
            <w:vAlign w:val="bottom"/>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w:t>
            </w:r>
          </w:p>
        </w:tc>
        <w:tc>
          <w:tcPr>
            <w:tcW w:w="80" w:type="dxa"/>
            <w:vAlign w:val="bottom"/>
            <w:shd w:val="clear" w:color="auto" w:fill="CCEEFF"/>
          </w:tcPr>
          <w:p>
            <w:pPr>
              <w:spacing w:after="0"/>
              <w:rPr>
                <w:sz w:val="19"/>
                <w:szCs w:val="19"/>
                <w:color w:val="auto"/>
              </w:rPr>
            </w:pPr>
          </w:p>
        </w:tc>
      </w:tr>
      <w:tr>
        <w:trPr>
          <w:trHeight w:val="213"/>
        </w:trPr>
        <w:tc>
          <w:tcPr>
            <w:tcW w:w="412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Total revenue</w:t>
            </w:r>
          </w:p>
        </w:tc>
        <w:tc>
          <w:tcPr>
            <w:tcW w:w="20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2,144</w:t>
            </w:r>
          </w:p>
        </w:tc>
        <w:tc>
          <w:tcPr>
            <w:tcW w:w="100" w:type="dxa"/>
            <w:vAlign w:val="bottom"/>
          </w:tcPr>
          <w:p>
            <w:pPr>
              <w:spacing w:after="0"/>
              <w:rPr>
                <w:sz w:val="18"/>
                <w:szCs w:val="18"/>
                <w:color w:val="auto"/>
              </w:rPr>
            </w:pPr>
          </w:p>
        </w:tc>
        <w:tc>
          <w:tcPr>
            <w:tcW w:w="30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2,382</w:t>
            </w:r>
          </w:p>
        </w:tc>
        <w:tc>
          <w:tcPr>
            <w:tcW w:w="100" w:type="dxa"/>
            <w:vAlign w:val="bottom"/>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100.0 %</w:t>
            </w:r>
          </w:p>
        </w:tc>
        <w:tc>
          <w:tcPr>
            <w:tcW w:w="80" w:type="dxa"/>
            <w:vAlign w:val="bottom"/>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100.0 %</w:t>
            </w:r>
          </w:p>
        </w:tc>
        <w:tc>
          <w:tcPr>
            <w:tcW w:w="80" w:type="dxa"/>
            <w:vAlign w:val="bottom"/>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w:t>
            </w:r>
          </w:p>
        </w:tc>
        <w:tc>
          <w:tcPr>
            <w:tcW w:w="80" w:type="dxa"/>
            <w:vAlign w:val="bottom"/>
          </w:tcPr>
          <w:p>
            <w:pPr>
              <w:spacing w:after="0"/>
              <w:rPr>
                <w:sz w:val="18"/>
                <w:szCs w:val="18"/>
                <w:color w:val="auto"/>
              </w:rPr>
            </w:pPr>
          </w:p>
        </w:tc>
      </w:tr>
      <w:tr>
        <w:trPr>
          <w:trHeight w:val="20"/>
        </w:trPr>
        <w:tc>
          <w:tcPr>
            <w:tcW w:w="4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r>
      <w:tr>
        <w:trPr>
          <w:trHeight w:val="225"/>
        </w:trPr>
        <w:tc>
          <w:tcPr>
            <w:tcW w:w="4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r>
      <w:tr>
        <w:trPr>
          <w:trHeight w:val="220"/>
        </w:trPr>
        <w:tc>
          <w:tcPr>
            <w:tcW w:w="412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Adjusted EBITDA by Segment</w:t>
            </w:r>
          </w:p>
        </w:tc>
        <w:tc>
          <w:tcPr>
            <w:tcW w:w="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20"/>
        </w:trPr>
        <w:tc>
          <w:tcPr>
            <w:tcW w:w="41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Retail</w:t>
            </w:r>
          </w:p>
        </w:tc>
        <w:tc>
          <w:tcPr>
            <w:tcW w:w="2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281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321</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18.8 %</w:t>
            </w:r>
          </w:p>
        </w:tc>
        <w:tc>
          <w:tcPr>
            <w:tcW w:w="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19.7 %</w:t>
            </w:r>
          </w:p>
        </w:tc>
        <w:tc>
          <w:tcPr>
            <w:tcW w:w="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w:t>
            </w:r>
          </w:p>
        </w:tc>
        <w:tc>
          <w:tcPr>
            <w:tcW w:w="80" w:type="dxa"/>
            <w:vAlign w:val="bottom"/>
          </w:tcPr>
          <w:p>
            <w:pPr>
              <w:spacing w:after="0"/>
              <w:rPr>
                <w:sz w:val="19"/>
                <w:szCs w:val="19"/>
                <w:color w:val="auto"/>
              </w:rPr>
            </w:pPr>
          </w:p>
        </w:tc>
      </w:tr>
      <w:tr>
        <w:trPr>
          <w:trHeight w:val="228"/>
        </w:trPr>
        <w:tc>
          <w:tcPr>
            <w:tcW w:w="41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Restaurants</w:t>
            </w: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183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147</w:t>
            </w:r>
          </w:p>
        </w:tc>
        <w:tc>
          <w:tcPr>
            <w:tcW w:w="1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29.8 %</w:t>
            </w:r>
          </w:p>
        </w:tc>
        <w:tc>
          <w:tcPr>
            <w:tcW w:w="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22.2 %</w:t>
            </w:r>
          </w:p>
        </w:tc>
        <w:tc>
          <w:tcPr>
            <w:tcW w:w="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24 %</w:t>
            </w:r>
          </w:p>
        </w:tc>
        <w:tc>
          <w:tcPr>
            <w:tcW w:w="80" w:type="dxa"/>
            <w:vAlign w:val="bottom"/>
          </w:tcPr>
          <w:p>
            <w:pPr>
              <w:spacing w:after="0"/>
              <w:rPr>
                <w:sz w:val="19"/>
                <w:szCs w:val="19"/>
                <w:color w:val="auto"/>
              </w:rPr>
            </w:pPr>
          </w:p>
        </w:tc>
      </w:tr>
    </w:tbl>
    <w:p>
      <w:pPr>
        <w:spacing w:after="0" w:line="42" w:lineRule="exact"/>
        <w:rPr>
          <w:sz w:val="20"/>
          <w:szCs w:val="20"/>
          <w:color w:val="auto"/>
        </w:rPr>
      </w:pPr>
    </w:p>
    <w:p>
      <w:pPr>
        <w:ind w:left="160" w:hanging="156"/>
        <w:spacing w:after="0"/>
        <w:tabs>
          <w:tab w:leader="none" w:pos="160" w:val="left"/>
        </w:tabs>
        <w:numPr>
          <w:ilvl w:val="0"/>
          <w:numId w:val="16"/>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6"/>
          <w:szCs w:val="16"/>
          <w:color w:val="auto"/>
        </w:rPr>
        <w:t>The percentage of revenue is calculated for each line item divided by total revenue, except for Adjusted EBITDA, which are divided by the related component of revenue.</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Segment Revenue</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For the three and nine months ended September 30, 2024 compared to the three and nine months ended September 30, 2023</w:t>
      </w:r>
    </w:p>
    <w:p>
      <w:pPr>
        <w:spacing w:after="0" w:line="247"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7"/>
          <w:szCs w:val="17"/>
          <w:color w:val="auto"/>
        </w:rPr>
        <w:t>Retail revenue decreased 12% and 8% for the three and nine months ended September 30, 2024, respectively, compared to the prior year periods. For the three and nine months ended September 30, 2024, the decrease in revenue is due to a decrease in hardware revenue, as well as a decrease in one-time software and services revenue, primarily transaction services revenue, as compared to the prior year period.</w:t>
      </w:r>
    </w:p>
    <w:p>
      <w:pPr>
        <w:spacing w:after="0" w:line="189"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7"/>
          <w:szCs w:val="17"/>
          <w:color w:val="auto"/>
        </w:rPr>
        <w:t>Restaurants revenue decreased 8% and 7% for the three and nine months ended September 30, 2024, respectively, compared to the prior year periods. For the three and nine months ended September 30, 2024, the decrease in revenue is due to a decrease in hardware revenue. For the nine months ended September 30, 2024, this decrease was offset by an increase in software-related revenue, primarily payment processing services revenues.</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3435" cy="4191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Segment Adjusted EBITDA</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For the three and nine months ended September 30, 2024 compared to the three and nine months ended September 30, 2023</w:t>
      </w:r>
    </w:p>
    <w:p>
      <w:pPr>
        <w:spacing w:after="0" w:line="247"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7"/>
          <w:szCs w:val="17"/>
          <w:color w:val="auto"/>
        </w:rPr>
        <w:t>Retail Adjusted EBITDA decreased 12% for both of the three and nine months ended September 30, 2024, respectively, compared to the prior year periods. The decrease in Adjusted EBITDA for both periods is due to one-time software and services revenue recognized in the prior year.</w:t>
      </w:r>
    </w:p>
    <w:p>
      <w:pPr>
        <w:spacing w:after="0" w:line="173"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7"/>
          <w:szCs w:val="17"/>
          <w:color w:val="auto"/>
        </w:rPr>
        <w:t>Restaurants Adjusted EBITDA increased 27% and 24% for the three and nine months ended September 30, 2024, respectively, compared to the prior year periods. This increase is due to favorable software and services revenue mix, along with cost mitigation actions around cost of goods and service delivery costs taken during the year.</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u w:val="single" w:color="auto"/>
          <w:color w:val="auto"/>
        </w:rPr>
        <w:t>Financial Condition, Liquidity, and Capital Resources</w:t>
      </w:r>
    </w:p>
    <w:p>
      <w:pPr>
        <w:spacing w:after="0" w:line="247"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Our primary liquidity needs in the ordinary course of business are to fund: (i) normal operating expenses; (ii) interest and principal requirements of our outstanding indebtedness; (iii) capital expenditures and operating lease payments; (iv) remediation payments related to environmental matters; (v) expected pension and postemployment plan contributions; and (vi) payments related to transformation and restructuring initiatives. We believe these needs will be satisfied in both the short and long term based on our current cash position, cash flows generated by our operations, and existing financing arrangements.</w:t>
      </w:r>
    </w:p>
    <w:p>
      <w:pPr>
        <w:spacing w:after="0" w:line="193"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As of September 30, 2024, our cash and cash equivalents totaled $795 million and our total debt was $1.1 billion. Our borrowing capacity under our senior secured credit facilities was $478 million as of September 30, 2024. Our ability to generate positive cash flows from operations is dependent on general economic conditions, and the competitive environment in our industry, and is subject to business and other risk factors, including as detailed in our filings with the SEC. If we are unable to generate sufficient cash flows from operations, or otherwise comply with the terms of our credit facilities, we may be required to seek additional financing alternatives.</w:t>
      </w:r>
    </w:p>
    <w:p>
      <w:pPr>
        <w:spacing w:after="0" w:line="18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7"/>
          <w:szCs w:val="17"/>
          <w:color w:val="auto"/>
        </w:rPr>
        <w:t>The following table summarizes our cash flows from operating activities, investing activities and financing activities for the nine months ended September 30, 2024 and 2023:</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78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000" w:type="dxa"/>
            <w:vAlign w:val="bottom"/>
            <w:gridSpan w:val="4"/>
          </w:tcPr>
          <w:p>
            <w:pPr>
              <w:jc w:val="right"/>
              <w:ind w:right="618"/>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23"/>
        </w:trPr>
        <w:tc>
          <w:tcPr>
            <w:tcW w:w="78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4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2"/>
        </w:trPr>
        <w:tc>
          <w:tcPr>
            <w:tcW w:w="7840" w:type="dxa"/>
            <w:vAlign w:val="bottom"/>
            <w:tcBorders>
              <w:bottom w:val="single" w:sz="8" w:color="CCEEFF"/>
            </w:tcBorders>
            <w:vMerge w:val="continue"/>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60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598"/>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19"/>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cash provided by (used in) operating activities</w:t>
            </w:r>
          </w:p>
        </w:tc>
        <w:tc>
          <w:tcPr>
            <w:tcW w:w="400" w:type="dxa"/>
            <w:vAlign w:val="bottom"/>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b w:val="1"/>
                <w:bCs w:val="1"/>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38</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727</w:t>
            </w:r>
          </w:p>
        </w:tc>
        <w:tc>
          <w:tcPr>
            <w:tcW w:w="0" w:type="dxa"/>
            <w:vAlign w:val="bottom"/>
          </w:tcPr>
          <w:p>
            <w:pPr>
              <w:spacing w:after="0"/>
              <w:rPr>
                <w:sz w:val="1"/>
                <w:szCs w:val="1"/>
                <w:color w:val="auto"/>
              </w:rPr>
            </w:pPr>
          </w:p>
        </w:tc>
      </w:tr>
      <w:tr>
        <w:trPr>
          <w:trHeight w:val="220"/>
        </w:trPr>
        <w:tc>
          <w:tcPr>
            <w:tcW w:w="78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cash provided by (used in) investing activities</w:t>
            </w:r>
          </w:p>
        </w:tc>
        <w:tc>
          <w:tcPr>
            <w:tcW w:w="4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2,017</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(305)</w:t>
            </w:r>
          </w:p>
        </w:tc>
        <w:tc>
          <w:tcPr>
            <w:tcW w:w="0" w:type="dxa"/>
            <w:vAlign w:val="bottom"/>
          </w:tcPr>
          <w:p>
            <w:pPr>
              <w:spacing w:after="0"/>
              <w:rPr>
                <w:sz w:val="1"/>
                <w:szCs w:val="1"/>
                <w:color w:val="auto"/>
              </w:rPr>
            </w:pPr>
          </w:p>
        </w:tc>
      </w:tr>
      <w:tr>
        <w:trPr>
          <w:trHeight w:val="220"/>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cash provided by (used in) financing activities</w:t>
            </w: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(1,496)</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1,879</w:t>
            </w:r>
          </w:p>
        </w:tc>
        <w:tc>
          <w:tcPr>
            <w:tcW w:w="0" w:type="dxa"/>
            <w:vAlign w:val="bottom"/>
          </w:tcPr>
          <w:p>
            <w:pPr>
              <w:spacing w:after="0"/>
              <w:rPr>
                <w:sz w:val="1"/>
                <w:szCs w:val="1"/>
                <w:color w:val="auto"/>
              </w:rPr>
            </w:pPr>
          </w:p>
        </w:tc>
      </w:tr>
    </w:tbl>
    <w:p>
      <w:pPr>
        <w:spacing w:after="0" w:line="30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7"/>
          <w:szCs w:val="17"/>
          <w:color w:val="auto"/>
        </w:rPr>
        <w:t>The following table summarizes information related to cash flows from discontinued operations related to the Digital Banking Sale and the Spin-Off of NCR Atleos: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78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000" w:type="dxa"/>
            <w:vAlign w:val="bottom"/>
            <w:gridSpan w:val="4"/>
          </w:tcPr>
          <w:p>
            <w:pPr>
              <w:jc w:val="right"/>
              <w:ind w:right="638"/>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23"/>
        </w:trPr>
        <w:tc>
          <w:tcPr>
            <w:tcW w:w="78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4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2"/>
        </w:trPr>
        <w:tc>
          <w:tcPr>
            <w:tcW w:w="7840" w:type="dxa"/>
            <w:vAlign w:val="bottom"/>
            <w:tcBorders>
              <w:bottom w:val="single" w:sz="8" w:color="CCEEFF"/>
            </w:tcBorders>
            <w:vMerge w:val="continue"/>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621"/>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CCEEFF"/>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598"/>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19"/>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cash provided by (used in) operating activities</w:t>
            </w:r>
          </w:p>
        </w:tc>
        <w:tc>
          <w:tcPr>
            <w:tcW w:w="400" w:type="dxa"/>
            <w:vAlign w:val="bottom"/>
            <w:shd w:val="clear" w:color="auto" w:fill="CCEEFF"/>
          </w:tcPr>
          <w:p>
            <w:pPr>
              <w:jc w:val="right"/>
              <w:ind w:right="21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(299)</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4"/>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611</w:t>
            </w:r>
          </w:p>
        </w:tc>
        <w:tc>
          <w:tcPr>
            <w:tcW w:w="0" w:type="dxa"/>
            <w:vAlign w:val="bottom"/>
          </w:tcPr>
          <w:p>
            <w:pPr>
              <w:spacing w:after="0"/>
              <w:rPr>
                <w:sz w:val="1"/>
                <w:szCs w:val="1"/>
                <w:color w:val="auto"/>
              </w:rPr>
            </w:pPr>
          </w:p>
        </w:tc>
      </w:tr>
      <w:tr>
        <w:trPr>
          <w:trHeight w:val="220"/>
        </w:trPr>
        <w:tc>
          <w:tcPr>
            <w:tcW w:w="78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cash provided by (used in) investing activities</w:t>
            </w:r>
          </w:p>
        </w:tc>
        <w:tc>
          <w:tcPr>
            <w:tcW w:w="4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(57)</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(165)</w:t>
            </w:r>
          </w:p>
        </w:tc>
        <w:tc>
          <w:tcPr>
            <w:tcW w:w="0" w:type="dxa"/>
            <w:vAlign w:val="bottom"/>
          </w:tcPr>
          <w:p>
            <w:pPr>
              <w:spacing w:after="0"/>
              <w:rPr>
                <w:sz w:val="1"/>
                <w:szCs w:val="1"/>
                <w:color w:val="auto"/>
              </w:rPr>
            </w:pPr>
          </w:p>
        </w:tc>
      </w:tr>
      <w:tr>
        <w:trPr>
          <w:trHeight w:val="220"/>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cash provided by (used in) financing activities</w:t>
            </w:r>
          </w:p>
        </w:tc>
        <w:tc>
          <w:tcPr>
            <w:tcW w:w="40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ind w:left="1020"/>
              <w:spacing w:after="0"/>
              <w:rPr>
                <w:sz w:val="20"/>
                <w:szCs w:val="20"/>
                <w:color w:val="auto"/>
              </w:rPr>
            </w:pPr>
            <w:r>
              <w:rPr>
                <w:rFonts w:ascii="Times New Roman" w:cs="Times New Roman" w:eastAsia="Times New Roman" w:hAnsi="Times New Roman"/>
                <w:sz w:val="17"/>
                <w:szCs w:val="17"/>
                <w:b w:val="1"/>
                <w:bCs w:val="1"/>
                <w:color w:val="auto"/>
              </w:rPr>
              <w:t>—</w:t>
            </w: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bl>
    <w:p>
      <w:pPr>
        <w:spacing w:after="0" w:line="306"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7"/>
          <w:szCs w:val="17"/>
          <w:color w:val="auto"/>
        </w:rPr>
        <w:t>Net cash provided by or used in operating activities of discontinued operations related to environmental obligations was cash used in operating activities of $4 million and cash used in operating activities $1 million for the nine months ended September 30, 2024 and 2023, respectively.</w:t>
      </w:r>
    </w:p>
    <w:p>
      <w:pPr>
        <w:spacing w:after="0" w:line="171"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i w:val="1"/>
          <w:iCs w:val="1"/>
          <w:color w:val="auto"/>
        </w:rPr>
        <w:t xml:space="preserve">Operating Activities </w:t>
      </w:r>
      <w:r>
        <w:rPr>
          <w:rFonts w:ascii="Times New Roman" w:cs="Times New Roman" w:eastAsia="Times New Roman" w:hAnsi="Times New Roman"/>
          <w:sz w:val="17"/>
          <w:szCs w:val="17"/>
          <w:color w:val="auto"/>
        </w:rPr>
        <w:t>Cash provided by operating activities was $38 million in the nine months ended September 30, 2024 compared to cash provided by operating</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activities of $727 million in the nine months ended September 30, 2023. The decrease in cash provided by operating activities was driven by discontinued operations, movement in the net working capital accounts and employee related payments in 2024.</w:t>
      </w:r>
    </w:p>
    <w:p>
      <w:pPr>
        <w:spacing w:after="0" w:line="18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i w:val="1"/>
          <w:iCs w:val="1"/>
          <w:color w:val="auto"/>
        </w:rPr>
        <w:t xml:space="preserve">Capital Expenditures and Other Investing Activities </w:t>
      </w:r>
      <w:r>
        <w:rPr>
          <w:rFonts w:ascii="Times New Roman" w:cs="Times New Roman" w:eastAsia="Times New Roman" w:hAnsi="Times New Roman"/>
          <w:sz w:val="17"/>
          <w:szCs w:val="17"/>
          <w:color w:val="auto"/>
        </w:rPr>
        <w:t>Our principal capital expenditures are for software (purchased and internally developed) and additions to</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property and equipment. We invested approximately $178 million and $306 million in capital expenditures during the nine months ended September 30, 2024 and 2023, respectively. We expect to continue investing in property and equipment, purchased software and internally developed software to support our business. During the nine months ended September 30, 2024, the Company disposed of certain corporate-owned life insurance policies and received proceeds of $30 million. Additionally, the Company paid $300 million to terminate its trade receivables facility and reacquire</w:t>
      </w: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3435" cy="4191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7"/>
          <w:szCs w:val="17"/>
          <w:color w:val="auto"/>
        </w:rPr>
        <w:t>all of the outstanding trade receivables that had previously been sold by it during the nine months ended September 30, 2024. Refer to Note 6, “Trade Receivables Facility” of the Notes to Condensed Consolidated Financial Statements, for additional information.</w:t>
      </w:r>
    </w:p>
    <w:p>
      <w:pPr>
        <w:spacing w:after="0" w:line="171"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i w:val="1"/>
          <w:iCs w:val="1"/>
          <w:color w:val="auto"/>
        </w:rPr>
        <w:t xml:space="preserve">Financing Activities </w:t>
      </w:r>
      <w:r>
        <w:rPr>
          <w:rFonts w:ascii="Times New Roman" w:cs="Times New Roman" w:eastAsia="Times New Roman" w:hAnsi="Times New Roman"/>
          <w:sz w:val="17"/>
          <w:szCs w:val="17"/>
          <w:color w:val="auto"/>
        </w:rPr>
        <w:t>Financing activities mainly relate to borrowings and repayments under our senior secured credit facilities as well as our unsecured senior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notes. Financing activities also included dividends paid on the Series A preferred stock, proceeds from employee stock plans as well as tax withholding payments on behalf of employees for stock based awards that vested.</w:t>
      </w:r>
    </w:p>
    <w:p>
      <w:pPr>
        <w:spacing w:after="0" w:line="186"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i w:val="1"/>
          <w:iCs w:val="1"/>
          <w:color w:val="auto"/>
        </w:rPr>
        <w:t xml:space="preserve">Adjusted free cash flow </w:t>
      </w:r>
      <w:r>
        <w:rPr>
          <w:rFonts w:ascii="Times New Roman" w:cs="Times New Roman" w:eastAsia="Times New Roman" w:hAnsi="Times New Roman"/>
          <w:sz w:val="17"/>
          <w:szCs w:val="17"/>
          <w:color w:val="auto"/>
        </w:rPr>
        <w:t>NCR Voyix management uses a non-GAAP measure called “adjusted free cash flow-unrestricted” to assess the financial performance of</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the Company. We define adjusted free cash flow as net cash provided by (used in) operating activities less capital expenditures for property, plant and equipment, less additions to capitalized software, plus/minus collections of previously sold trade receivables purchased from third parties, restricted cash settlement activity, NCR Atleos settlement activity, cash activity related to environmental discontinued operations plus acquisition-related items, and plus pension contributions and settlements. NCR Atleos settlement activity relates to changes in amounts owed to and amounts due from NCR Atleos for activity related to items governed by the separation and distribution agreement. Activity from the commercial and transition services agreements are not included in this adjustment.</w:t>
      </w:r>
    </w:p>
    <w:p>
      <w:pPr>
        <w:spacing w:after="0" w:line="200"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We believe adjusted free cash flow-unrestricted information is useful for investors because it relates the operating cash flows from the Company’s continuing and discontinued operations to the capital that is spent to continue and improve business operations. In particular, adjusted free cash flow indicates the amount of cash available after capital expenditures for, among other things, investments in the Company’s existing businesses, strategic acquisitions, and repayment of debt obligations. Adjusted free cash flow does not represent the residual cash flow available for discretionary expenditures, since there may be other non-discretionary expenditures that are not deducted from the measure. Adjusted free cash flow does not have a uniform definition under GAAP, and therefore the Company’s definition may differ from other companies’ definitions of this measure. This non-GAAP measure should not be considered a substitute for, or superior to, cash flows from operating activities under GAAP.</w:t>
      </w:r>
    </w:p>
    <w:p>
      <w:pPr>
        <w:spacing w:after="0" w:line="203"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7"/>
          <w:szCs w:val="17"/>
          <w:color w:val="auto"/>
        </w:rPr>
        <w:t>The table below reconciles net cash provided by operating activities to NCR Voyix’s non-GAAP measure of adjusted free cash flow-unrestricted for the nine months ended September 30, 2024:</w:t>
      </w:r>
    </w:p>
    <w:tbl>
      <w:tblPr>
        <w:tblLayout w:type="fixed"/>
        <w:tblInd w:w="0" w:type="dxa"/>
        <w:tblCellMar>
          <w:top w:w="0" w:type="dxa"/>
          <w:left w:w="0" w:type="dxa"/>
          <w:bottom w:w="0" w:type="dxa"/>
          <w:right w:w="0" w:type="dxa"/>
        </w:tblCellMar>
      </w:tblPr>
      <w:tr>
        <w:trPr>
          <w:trHeight w:val="209"/>
        </w:trPr>
        <w:tc>
          <w:tcPr>
            <w:tcW w:w="78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80" w:type="dxa"/>
            <w:vAlign w:val="bottom"/>
            <w:tcBorders>
              <w:bottom w:val="single" w:sz="8" w:color="auto"/>
            </w:tcBorders>
          </w:tcPr>
          <w:p>
            <w:pPr>
              <w:spacing w:after="0"/>
              <w:rPr>
                <w:sz w:val="18"/>
                <w:szCs w:val="18"/>
                <w:color w:val="auto"/>
              </w:rPr>
            </w:pPr>
          </w:p>
        </w:tc>
        <w:tc>
          <w:tcPr>
            <w:tcW w:w="3080" w:type="dxa"/>
            <w:vAlign w:val="bottom"/>
            <w:tcBorders>
              <w:bottom w:val="single" w:sz="8" w:color="auto"/>
            </w:tcBorders>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Nine months ended September 30, 2024</w:t>
            </w:r>
            <w:r>
              <w:rPr>
                <w:rFonts w:ascii="Times New Roman" w:cs="Times New Roman" w:eastAsia="Times New Roman" w:hAnsi="Times New Roman"/>
                <w:sz w:val="17"/>
                <w:szCs w:val="17"/>
                <w:b w:val="1"/>
                <w:bCs w:val="1"/>
                <w:color w:val="auto"/>
                <w:vertAlign w:val="superscript"/>
              </w:rPr>
              <w:t>(1)</w:t>
            </w:r>
          </w:p>
        </w:tc>
      </w:tr>
      <w:tr>
        <w:trPr>
          <w:trHeight w:val="213"/>
        </w:trPr>
        <w:tc>
          <w:tcPr>
            <w:tcW w:w="7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cash provided by (used in) operating activities (GAAP)</w:t>
            </w:r>
          </w:p>
        </w:tc>
        <w:tc>
          <w:tcPr>
            <w:tcW w:w="28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3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38</w:t>
            </w:r>
          </w:p>
        </w:tc>
      </w:tr>
      <w:tr>
        <w:trPr>
          <w:trHeight w:val="220"/>
        </w:trPr>
        <w:tc>
          <w:tcPr>
            <w:tcW w:w="788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Expenditures for property, plant and equipment</w:t>
            </w:r>
          </w:p>
        </w:tc>
        <w:tc>
          <w:tcPr>
            <w:tcW w:w="280" w:type="dxa"/>
            <w:vAlign w:val="bottom"/>
          </w:tcPr>
          <w:p>
            <w:pPr>
              <w:spacing w:after="0"/>
              <w:rPr>
                <w:sz w:val="19"/>
                <w:szCs w:val="19"/>
                <w:color w:val="auto"/>
              </w:rPr>
            </w:pPr>
          </w:p>
        </w:tc>
        <w:tc>
          <w:tcPr>
            <w:tcW w:w="308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(23)</w:t>
            </w:r>
          </w:p>
        </w:tc>
      </w:tr>
      <w:tr>
        <w:trPr>
          <w:trHeight w:val="220"/>
        </w:trPr>
        <w:tc>
          <w:tcPr>
            <w:tcW w:w="78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Additions to capitalized software</w:t>
            </w:r>
          </w:p>
        </w:tc>
        <w:tc>
          <w:tcPr>
            <w:tcW w:w="280" w:type="dxa"/>
            <w:vAlign w:val="bottom"/>
            <w:shd w:val="clear" w:color="auto" w:fill="CCEEFF"/>
          </w:tcPr>
          <w:p>
            <w:pPr>
              <w:spacing w:after="0"/>
              <w:rPr>
                <w:sz w:val="19"/>
                <w:szCs w:val="19"/>
                <w:color w:val="auto"/>
              </w:rPr>
            </w:pPr>
          </w:p>
        </w:tc>
        <w:tc>
          <w:tcPr>
            <w:tcW w:w="3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(155)</w:t>
            </w:r>
          </w:p>
        </w:tc>
      </w:tr>
      <w:tr>
        <w:trPr>
          <w:trHeight w:val="220"/>
        </w:trPr>
        <w:tc>
          <w:tcPr>
            <w:tcW w:w="788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Restricted cash settlement activity</w:t>
            </w:r>
          </w:p>
        </w:tc>
        <w:tc>
          <w:tcPr>
            <w:tcW w:w="280" w:type="dxa"/>
            <w:vAlign w:val="bottom"/>
          </w:tcPr>
          <w:p>
            <w:pPr>
              <w:spacing w:after="0"/>
              <w:rPr>
                <w:sz w:val="19"/>
                <w:szCs w:val="19"/>
                <w:color w:val="auto"/>
              </w:rPr>
            </w:pPr>
          </w:p>
        </w:tc>
        <w:tc>
          <w:tcPr>
            <w:tcW w:w="308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5</w:t>
            </w:r>
          </w:p>
        </w:tc>
      </w:tr>
      <w:tr>
        <w:trPr>
          <w:trHeight w:val="220"/>
        </w:trPr>
        <w:tc>
          <w:tcPr>
            <w:tcW w:w="78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NCR Atleos settlement activity</w:t>
            </w:r>
          </w:p>
        </w:tc>
        <w:tc>
          <w:tcPr>
            <w:tcW w:w="280" w:type="dxa"/>
            <w:vAlign w:val="bottom"/>
            <w:shd w:val="clear" w:color="auto" w:fill="CCEEFF"/>
          </w:tcPr>
          <w:p>
            <w:pPr>
              <w:spacing w:after="0"/>
              <w:rPr>
                <w:sz w:val="19"/>
                <w:szCs w:val="19"/>
                <w:color w:val="auto"/>
              </w:rPr>
            </w:pPr>
          </w:p>
        </w:tc>
        <w:tc>
          <w:tcPr>
            <w:tcW w:w="3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(6)</w:t>
            </w:r>
          </w:p>
        </w:tc>
      </w:tr>
      <w:tr>
        <w:trPr>
          <w:trHeight w:val="220"/>
        </w:trPr>
        <w:tc>
          <w:tcPr>
            <w:tcW w:w="788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Pension contributions</w:t>
            </w:r>
          </w:p>
        </w:tc>
        <w:tc>
          <w:tcPr>
            <w:tcW w:w="280" w:type="dxa"/>
            <w:vAlign w:val="bottom"/>
          </w:tcPr>
          <w:p>
            <w:pPr>
              <w:spacing w:after="0"/>
              <w:rPr>
                <w:sz w:val="19"/>
                <w:szCs w:val="19"/>
                <w:color w:val="auto"/>
              </w:rPr>
            </w:pPr>
          </w:p>
        </w:tc>
        <w:tc>
          <w:tcPr>
            <w:tcW w:w="308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7</w:t>
            </w:r>
          </w:p>
        </w:tc>
      </w:tr>
      <w:tr>
        <w:trPr>
          <w:trHeight w:val="220"/>
        </w:trPr>
        <w:tc>
          <w:tcPr>
            <w:tcW w:w="78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Collections on purchased trade receivables</w:t>
            </w:r>
          </w:p>
        </w:tc>
        <w:tc>
          <w:tcPr>
            <w:tcW w:w="280" w:type="dxa"/>
            <w:vAlign w:val="bottom"/>
            <w:shd w:val="clear" w:color="auto" w:fill="CCEEFF"/>
          </w:tcPr>
          <w:p>
            <w:pPr>
              <w:spacing w:after="0"/>
              <w:rPr>
                <w:sz w:val="19"/>
                <w:szCs w:val="19"/>
                <w:color w:val="auto"/>
              </w:rPr>
            </w:pPr>
          </w:p>
        </w:tc>
        <w:tc>
          <w:tcPr>
            <w:tcW w:w="3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7</w:t>
            </w:r>
          </w:p>
        </w:tc>
      </w:tr>
      <w:tr>
        <w:trPr>
          <w:trHeight w:val="220"/>
        </w:trPr>
        <w:tc>
          <w:tcPr>
            <w:tcW w:w="788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7"/>
                <w:szCs w:val="17"/>
                <w:color w:val="auto"/>
              </w:rPr>
              <w:t>Cash activity related to environmental discontinued operations</w:t>
            </w:r>
          </w:p>
        </w:tc>
        <w:tc>
          <w:tcPr>
            <w:tcW w:w="280" w:type="dxa"/>
            <w:vAlign w:val="bottom"/>
            <w:tcBorders>
              <w:bottom w:val="single" w:sz="8" w:color="auto"/>
            </w:tcBorders>
          </w:tcPr>
          <w:p>
            <w:pPr>
              <w:spacing w:after="0"/>
              <w:rPr>
                <w:sz w:val="19"/>
                <w:szCs w:val="19"/>
                <w:color w:val="auto"/>
              </w:rPr>
            </w:pPr>
          </w:p>
        </w:tc>
        <w:tc>
          <w:tcPr>
            <w:tcW w:w="3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4</w:t>
            </w:r>
          </w:p>
        </w:tc>
      </w:tr>
      <w:tr>
        <w:trPr>
          <w:trHeight w:val="238"/>
        </w:trPr>
        <w:tc>
          <w:tcPr>
            <w:tcW w:w="7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Adjusted free cash flow-unrestricted (non-GAAP)</w:t>
            </w:r>
          </w:p>
        </w:tc>
        <w:tc>
          <w:tcPr>
            <w:tcW w:w="280" w:type="dxa"/>
            <w:vAlign w:val="bottom"/>
            <w:tcBorders>
              <w:bottom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3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(123)</w:t>
            </w:r>
          </w:p>
        </w:tc>
      </w:tr>
      <w:tr>
        <w:trPr>
          <w:trHeight w:val="20"/>
        </w:trPr>
        <w:tc>
          <w:tcPr>
            <w:tcW w:w="78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3080" w:type="dxa"/>
            <w:vAlign w:val="bottom"/>
            <w:tcBorders>
              <w:top w:val="single" w:sz="8" w:color="CCEEFF"/>
              <w:bottom w:val="single" w:sz="8" w:color="auto"/>
            </w:tcBorders>
          </w:tcPr>
          <w:p>
            <w:pPr>
              <w:spacing w:after="0" w:line="20" w:lineRule="exact"/>
              <w:rPr>
                <w:sz w:val="1"/>
                <w:szCs w:val="1"/>
                <w:color w:val="auto"/>
              </w:rPr>
            </w:pPr>
          </w:p>
        </w:tc>
      </w:tr>
    </w:tbl>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vertAlign w:val="superscript"/>
        </w:rPr>
        <w:t>(1)</w:t>
      </w:r>
      <w:r>
        <w:rPr>
          <w:rFonts w:ascii="Times New Roman" w:cs="Times New Roman" w:eastAsia="Times New Roman" w:hAnsi="Times New Roman"/>
          <w:sz w:val="13"/>
          <w:szCs w:val="13"/>
          <w:color w:val="auto"/>
        </w:rPr>
        <w:t>Adjusted free cash flow-unrestricted for the nine months ended September 30, 2023 is not meaningful for comparison purposes given the presentation of cash flows due to the Spin-Off of NCR Atleos.</w:t>
      </w:r>
    </w:p>
    <w:p>
      <w:pPr>
        <w:spacing w:after="0" w:line="210"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b w:val="1"/>
          <w:bCs w:val="1"/>
          <w:color w:val="auto"/>
        </w:rPr>
        <w:t xml:space="preserve">Long Term Borrowings </w:t>
      </w:r>
      <w:r>
        <w:rPr>
          <w:rFonts w:ascii="Times New Roman" w:cs="Times New Roman" w:eastAsia="Times New Roman" w:hAnsi="Times New Roman"/>
          <w:sz w:val="17"/>
          <w:szCs w:val="17"/>
          <w:color w:val="auto"/>
        </w:rPr>
        <w:t>The senior secured credit facilities include a term loan facility in an initial aggregate principal amount of $200 million, of which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Company repaid in full as of September 30, 2024. Additionally, the senior secured credit facilities include a five-year revolving credit facility with an aggregate principal amount of $500 million, of which zero was outstanding as of September 30, 2024. The revolving credit facility also contains a sub-facility to be used for letters of credit, and as of September 30, 2024, there were $22 million letters of credit outstanding.</w:t>
      </w:r>
    </w:p>
    <w:p>
      <w:pPr>
        <w:spacing w:after="0" w:line="195"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7"/>
          <w:szCs w:val="17"/>
          <w:color w:val="auto"/>
        </w:rPr>
        <w:t>As of September 30, 2024, we had outstanding $403 million in aggregate principal balance of 5.125% senior unsecured notes due in 2029, $650 million aggregate principal balance of 5.000% senior unsecured notes due in 2028 and $52 million in aggregate principal balance of 5.250% senior unsecured notes due in 2030.</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Refer to Note 5, “Debt Obligations”, of the Notes to Condensed Consolidated Financial Statements, for additional information regarding debt transactions.</w:t>
      </w: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3435" cy="4191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Employee Benefit Plans </w:t>
      </w:r>
      <w:r>
        <w:rPr>
          <w:rFonts w:ascii="Times New Roman" w:cs="Times New Roman" w:eastAsia="Times New Roman" w:hAnsi="Times New Roman"/>
          <w:sz w:val="17"/>
          <w:szCs w:val="17"/>
          <w:color w:val="auto"/>
        </w:rPr>
        <w:t>In 2024, we expect to make contributions of $13 million to our international pension plans and $50 million to our postemployment plan.</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For additional information, refer to Note 9, “Employee Benefit Plans”, of the Notes to Condensed Consolidated Financial Statements.</w:t>
      </w:r>
    </w:p>
    <w:p>
      <w:pPr>
        <w:spacing w:after="0" w:line="225"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b w:val="1"/>
          <w:bCs w:val="1"/>
          <w:color w:val="auto"/>
        </w:rPr>
        <w:t xml:space="preserve">Series A Convertible Preferred Stock </w:t>
      </w:r>
      <w:r>
        <w:rPr>
          <w:rFonts w:ascii="Times New Roman" w:cs="Times New Roman" w:eastAsia="Times New Roman" w:hAnsi="Times New Roman"/>
          <w:sz w:val="17"/>
          <w:szCs w:val="17"/>
          <w:color w:val="auto"/>
        </w:rPr>
        <w:t>As of September 30, 2024, the redemption value of the Series A Preferred Stock was approximately $276 million.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Holders of Series A Convertible Preferred Stock are entitled to a cumulative dividend at the rate of 5.5% per annum, payable quarterly in arrears. Beginning in the first quarter of 2020, dividends are payable in cash or in-kind at the option of the Company. During the nine months ended September 30, 2024 and 2023, the Company paid cash dividends of $12 million.</w:t>
      </w:r>
    </w:p>
    <w:p>
      <w:pPr>
        <w:spacing w:after="0" w:line="19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Prior to the close of business on October 17, 2023, the Series A Convertible Preferred Stock was convertible at the option of the holders at any time into shares of common stock at a conversion price of $30.00 per share, or a conversion rate of 33.333 shares of common stock per share of Series A Convertible Preferred Stock. As a result of the Spin-Off, the conversion rate of the Series A Convertible Preferred Stock was adjusted pursuant to its terms to 57.5601 shares of common stock per share of Series A Convertible Preferred Stock. As of September 30, 2024, the maximum number of common shares that could be required to be issued upon conversion of the outstanding shares of the Series A Convertible Preferred Stock was 15.9 million shares, which would represent approximately 10% of our outstanding common stock as of September 30, 2024, including the preferred shares on an as-converted basis.</w:t>
      </w:r>
    </w:p>
    <w:p>
      <w:pPr>
        <w:spacing w:after="0" w:line="196"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b w:val="1"/>
          <w:bCs w:val="1"/>
          <w:color w:val="auto"/>
        </w:rPr>
        <w:t xml:space="preserve">Cash and Cash Equivalents Held by Foreign Subsidiaries </w:t>
      </w:r>
      <w:r>
        <w:rPr>
          <w:rFonts w:ascii="Times New Roman" w:cs="Times New Roman" w:eastAsia="Times New Roman" w:hAnsi="Times New Roman"/>
          <w:sz w:val="17"/>
          <w:szCs w:val="17"/>
          <w:color w:val="auto"/>
        </w:rPr>
        <w:t>Cash and cash equivalents held by the Company’s foreign subsidiaries at September 30, 2024 and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December 31, 2023 were $137 million and $190 million, respectively. Under current tax laws and regulations, if cash and cash equivalents and short-term investments held outside the U.S. are distributed to the U.S. in the form of dividends or otherwise, we may be subject to additional U.S. income taxes and foreign withholding taxes, which could be significant.</w:t>
      </w:r>
    </w:p>
    <w:p>
      <w:pPr>
        <w:spacing w:after="0" w:line="193"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b w:val="1"/>
          <w:bCs w:val="1"/>
          <w:color w:val="auto"/>
        </w:rPr>
        <w:t xml:space="preserve">Summary </w:t>
      </w:r>
      <w:r>
        <w:rPr>
          <w:rFonts w:ascii="Times New Roman" w:cs="Times New Roman" w:eastAsia="Times New Roman" w:hAnsi="Times New Roman"/>
          <w:sz w:val="17"/>
          <w:szCs w:val="17"/>
          <w:color w:val="auto"/>
        </w:rPr>
        <w:t>As of September 30, 2024, our cash and cash equivalents totaled $795 million and our total debt was $1.1 billion, excluding deferred fees. As of</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September 30, 2024, our borrowing capacity under the revolving credit facility was approximately $478 million. Our ability to generate positive cash flows from operations is dependent on general economic conditions, the competitive environment in our industry, and is subject to the business and other risk factors described in Item 1A of Part I of the Company’s 2023 Annual Report on Form 10-K and Item 1A of Part II of this Quarterly Report on Form 10-Q (as applicable). If we are unable to generate sufficient cash flows from operations, or otherwise comply with the terms of our credit facilities, we may be required to seek additional financing alternatives.</w:t>
      </w:r>
    </w:p>
    <w:p>
      <w:pPr>
        <w:spacing w:after="0" w:line="200"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7"/>
          <w:szCs w:val="17"/>
          <w:color w:val="auto"/>
        </w:rPr>
        <w:t>We believe that we have sufficient liquidity based on our current cash position and existing financing to meet our expected pension, postemployment, and postretirement plan contributions, remediation payments related to environmental matters, debt servicing obligations, payments related to separation, transformation and restructuring initiatives, and in the long-term (i.e., beyond September 30, 2024) to meet our material cash requirements.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u w:val="single" w:color="auto"/>
          <w:color w:val="auto"/>
        </w:rPr>
        <w:t>Material Cash Requirements from Contractual and Other Obligations</w:t>
      </w:r>
    </w:p>
    <w:p>
      <w:pPr>
        <w:spacing w:after="0" w:line="24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7"/>
          <w:szCs w:val="17"/>
          <w:color w:val="auto"/>
        </w:rPr>
        <w:t>There have been no significant changes in our contractual and other commercial obligations as described in our Form 10-K for the year ended December 31, 2023.</w:t>
      </w:r>
    </w:p>
    <w:p>
      <w:pPr>
        <w:spacing w:after="0" w:line="35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u w:val="single" w:color="auto"/>
          <w:color w:val="auto"/>
        </w:rPr>
        <w:t>Critical Accounting Policies and Estimates</w:t>
      </w:r>
    </w:p>
    <w:p>
      <w:pPr>
        <w:spacing w:after="0" w:line="170"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Critical accounting policies are those that are most important to the portrayal of our financial position and results of operations. These policies require highly subjective or complex judgments, often employing the use of estimates about the effect of matters that are inherently uncertain. Our most critical accounting estimates pertain to revenue recognition, inventory valuation, goodwill and intangible assets, pension, postretirement and postemployment benefits, environmental and legal contingencies, and income taxes, which are described in Item 7. of our 2023 Form 10-K.</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u w:val="single" w:color="auto"/>
          <w:color w:val="auto"/>
        </w:rPr>
        <w:t>New Accounting Pronouncements</w:t>
      </w:r>
    </w:p>
    <w:p>
      <w:pPr>
        <w:spacing w:after="0" w:line="170"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7"/>
          <w:szCs w:val="17"/>
          <w:color w:val="auto"/>
        </w:rPr>
        <w:t>See discussion in Note 1, “Basis of Presentation and Summary of Significant Accounting Policies”, of the Notes to Condensed Consolidated Financial Statements for new accounting pronouncements.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3435" cy="4191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u w:val="single" w:color="auto"/>
          <w:color w:val="auto"/>
        </w:rPr>
        <w:t>Forward-Looking Statements</w:t>
      </w:r>
    </w:p>
    <w:p>
      <w:pPr>
        <w:spacing w:after="0" w:line="17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7"/>
          <w:szCs w:val="17"/>
          <w:color w:val="auto"/>
        </w:rPr>
        <w:t>This Quarterly Report on Form 10-Q (this “Quarterly Report”) contains “forward-looking statements” within the meaning of Section 27A of the Securities Act of 1933, as amended, and Section 21E of the Securities Exchange Act of 1934, as amended, pursuant to the safe harbor provisions of the Private Securities Litigation Reform Act of 1995 (the “Act”). Forward-looking statements use words such as “expect,” “anticipate,” “outlook,” “intend,” “plan,” “confident,” “believe,” “will,” “should,” “would,” “potential,” “positioning,” “proposed,” “planned,” “objective,” “likely,” “could,” “may,” and words of similar meaning, as well as other words or expressions referencing future events, conditions or circumstances. We intend these forward-looking statements to be covered by the safe harbor provisions for forward-looking statements contained in the Act. Statements that describe or relate to the Company’s plans, goals, intentions, strategies, or financial outlook, and statements that do not relate to historical or current fact, are examples of forward-looking statements. Examples of forward-looking statements in this Quarterly Report include, without limitation, statements regarding: the Company’s plans, strategies or objectives for future operations; expectations regarding the Hardware Business Transition on a timely basis or at all and additional cost alignment initiatives; the estimated or anticipated future results and benefits of the Company’s plans and operations; the Company’s expectations of demand for its solutions and the impact thereof on the Company's financial results in 2024; the Company’s ability to deliver increased value to customers and stockholders; statements regarding the spin-off of NCR Atleos; and the Company’s ability to offset losses incurred from fraudulent ACH disbursements from a Company bank account identified in February 2024 through insurance proceeds. Forward-looking statements are based on our current beliefs, expectations and assumptions, which may not prove to be accurate, and involve a number of known and unknown risks and uncertainties, many of which are out of the Company’s control. Forward-looking statements are not guarantees of future performance, and there are a number of important factors that could cause actual outcomes and results to differ materially from the results contemplated by such forward-looking statements, including those factors relating to: challenges with transforming and growing our business; our ability to achieve the expected benefits of the Digital Banking Sale; the impact of the Digital Banking Sale, including disruption to the Company's business in connection with the provision of transition services following the sale; our ability to realize the anticipated cost savings and other benefits related to the Hardware Business Transition and other challenges associated with the Hardware Business Transition; our ability to attract new customers, increase use of our platform by existing customers and cross-sell additional products and solutions; development and introduction of new, competitive solutions on a timely, cost-effective basis; our ability to compete effectively against new and existing competitors; our ability to maintain a consistently high level of customer service; our ability to successfully manage our profitability and cost reduction initiatives; integration of acquisitions and management of other strategic transactions; the potential strategic benefits, synergies or opportunities expected from the Spin-Off may not be realized or may take longer to realize than expected; any unforeseen tax liabilities or impacts resulting from the Spin-Off, requests, requirements or penalties imposed by any governmental authorities related to certain existing liabilities; domestic and global economic and credit conditions; downturn or consolidation in the financial services industry; difficulties and risks associated with developing and selling complex new solutions and enhancements, including those using artificial intelligence; risks and uncertainties associated with our payments-related business; disruptions in our data center hosting and public cloud facilities; any failures or delays in our efforts to modernize our information technology infrastructure; retention and attraction of key employees; defects, errors, installation difficulties or development delays; failure of third-party suppliers; a major natural disaster or catastrophic event; geopolitical and macroeconomic challenges or events or acts of terrorism; environmental exposures from historical manufacturing activities; the impact of cybersecurity incidents on our business, including the April 2023 ransomware incident, and efforts to prevent or mitigate such incidents and any related impacts on our operations; efforts to comply with applicable data protection and data privacy laws; our level of indebtedness; the terms governing our indebtedness; incurrence of additional debt or other liabilities or obligations; access to the capital markets and other sources of financing; our cash flow sufficiency to service our indebtedness; interest rate risks and increased costs of borrowings; the impact of certain changes in control relating to acceleration of our indebtedness; our obligations under other financing arrangements, or required repurchase of our senior unsecured notes; any lowering or withdrawal of the ratings assigned to our debt securities by rating agencies; unforeseen tax liabilities or changes in tax law; our failure to maintain effective internal control over financial reporting and disclosure controls and procedures and our ability to remediate material weaknesses in our internal control over financial reporting; the write down of the value of certain significant assets; allegations or claims by third parties that our products or services infringe on intellectual property rights of others, including claims against our customers and claims by our customers to defend and indemnify them with respect to such claims; protection of our intellectual property; changes to our tax rates and additional income tax liabilities; and uncertainties regarding regulations, lawsuits and other related matters; rights preferences and privileges of holders of our Series A Convertible Stock compared to the rights of our common stockholders; impact of the terms of our Series A Convertible Preferred Stock relating to voting power, share dilution and market price of our common stock; actions or proposals from stockholders that do not align with our business strategies or the interest of our stockholders; and other factors presented in “Item 1A-Risk Factors” of our most recent Annual Report on Form 10-K for the year ended December 31, 2023 and subsequent filings we make with the U.S. Securities and Exchange Commission (“SEC”), which we advise you to review.</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3435" cy="4191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Should one or more of these risks or uncertainties materialize, or should underlying assumptions prove incorrect, actual results may vary materially from those set forth in the forward-looking statements. Any forward-looking statement speaks only as of the date on which it is made and should not be relied upon as representing our plans and expectations as of any subsequent date. The Company does not undertake any obligation to publicly update or revise any forward-looking statements, whether as a result of new information, future events or otherwise, except as required by law.</w:t>
      </w: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3435" cy="4191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tabs>
          <w:tab w:leader="none" w:pos="680" w:val="left"/>
        </w:tabs>
        <w:rPr>
          <w:sz w:val="20"/>
          <w:szCs w:val="20"/>
          <w:color w:val="auto"/>
        </w:rPr>
      </w:pPr>
      <w:r>
        <w:rPr>
          <w:rFonts w:ascii="Times New Roman" w:cs="Times New Roman" w:eastAsia="Times New Roman" w:hAnsi="Times New Roman"/>
          <w:sz w:val="17"/>
          <w:szCs w:val="17"/>
          <w:b w:val="1"/>
          <w:bCs w:val="1"/>
          <w:color w:val="auto"/>
        </w:rPr>
        <w:t>Item 3.</w:t>
        <w:tab/>
        <w:t>QUANTITATIVE AND QUALITATIVE DISCLOSURES ABOUT MARKET RISK</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Market Risk</w:t>
      </w:r>
    </w:p>
    <w:p>
      <w:pPr>
        <w:spacing w:after="0" w:line="247"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We are exposed to market risks primarily from changes in foreign currency exchange rates and interest rates. It is our policy to manage our foreign exchange exposure and debt structure in order to manage capital costs, control financial risks and maintain financial flexibility over the long term. In managing market risks, we employ derivatives according to documented policies and procedures, including foreign currency contracts and interest rate swaps. We do not use derivatives for trading or speculative purposes.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Foreign Exchange Risk</w:t>
      </w:r>
    </w:p>
    <w:p>
      <w:pPr>
        <w:spacing w:after="0" w:line="24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Since a portion of our operations and revenue occur outside the United States, and in currencies other than the U.S. Dollar, our results can be significantly impacted by changes in foreign currency exchange rates. We have exposure to approximately 30 functional currencies and are exposed to foreign currency exchange risk with respect to our sales, profits and assets and liabilities denominated in currencies other than the U.S. Dollar. Although we use financial instruments to hedge certain foreign currency risks, we are not fully protected against foreign currency fluctuations and our reported results of operations could be affected by changes in foreign currency exchange rates. To manage our exposures and mitigate the impact of currency fluctuations on the operations of our foreign subsidiaries, we hedge our main transactional exposures through the use of foreign exchange forward and option contracts. If these contracts are designated as highly effective cash flow hedges, the gains or losses are deferred into accumulated other comprehensive income (“AOCI”). We use derivatives not designated as hedging instruments consisting primarily of forward contracts to hedge foreign currency denominated balance sheet exposures. For these derivatives we recognize gains and losses in the same period as the remeasurement losses and gains of the related foreign currency-denominated exposures.</w:t>
      </w:r>
    </w:p>
    <w:p>
      <w:pPr>
        <w:spacing w:after="0" w:line="202"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7"/>
          <w:szCs w:val="17"/>
          <w:color w:val="auto"/>
        </w:rPr>
        <w:t>We utilize non-exchange traded financial instruments, such as foreign exchange forward and option contracts, that we purchase exclusively from highly rated financial institutions. We record these contracts on our balance sheet at fair market value based upon market price quotations from the financial institutions.</w:t>
      </w:r>
    </w:p>
    <w:p>
      <w:pPr>
        <w:spacing w:after="0" w:line="173"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For purposes of analyzing potential risk, we use sensitivity analysis to quantify potential impacts that market rate changes may have on the fair values of our hedge portfolio. The sensitivity analysis represents the hypothetical changes in value of the hedge position and does not reflect the related gain or loss on the forecasted underlying transaction. A 10% appreciation in the value of the U.S. Dollar against foreign currencies from the prevailing market rates would have resulted in a corresponding decrease in the fair value of the hedge portfolio of $4 million as of September 30, 2024. A 10% depreciation in the value of the U.S. Dollar against foreign currencies from the prevailing market rates would have resulted in a corresponding increase in the fair value of the hedge portfolio of $3 million as of September 30, 2024. The Company expects that any increase or decrease in the fair value of the portfolio would be substantially offset by increases or decreases in the underlying exposures being hedged.</w:t>
      </w:r>
    </w:p>
    <w:p>
      <w:pPr>
        <w:spacing w:after="0" w:line="203"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7"/>
          <w:szCs w:val="17"/>
          <w:color w:val="auto"/>
        </w:rPr>
        <w:t>The U.S. Dollar was stronger in the third quarter of 2024 compared to the third quarter of 2023 based on comparable weighted averages for our functional currencies. This excludes the effects of our hedging activities and, therefore, does not reflect the actual impact of fluctuations in exchange rates on our operating income.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Interest Rate Risk</w:t>
      </w:r>
    </w:p>
    <w:p>
      <w:pPr>
        <w:spacing w:after="0" w:line="247"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7"/>
          <w:szCs w:val="17"/>
          <w:color w:val="auto"/>
        </w:rPr>
        <w:t>Approximately 100% of our borrowings were on a fixed rate basis as of September 30, 2024. We are subject to interest rate risk principally in relation to variable-rate debt when we borrow from our Revolving Credit Facility. As of September 30, 2024, we had no borrowings under this facility.</w:t>
      </w:r>
    </w:p>
    <w:p>
      <w:pPr>
        <w:spacing w:after="0" w:line="173"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Historically, we were are subject to interest rate risk principally in relation to variable-rate debt and utilized interest rate swap contracts and interest rate cap agreements to add stability to interest expense and to manage exposure to interest rate movements. Payments and receipts related to interest rate cap agreements and interest rate swap contracts are included in cash flows from operating activities in the Condensed Consolidated Statements of Cash Flows. Refer to Note 13, “Derivatives and Hedging Instruments”, for further information on our interest rate derivative contracts.</w:t>
      </w:r>
    </w:p>
    <w:p>
      <w:pPr>
        <w:spacing w:after="0" w:line="193"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7"/>
          <w:szCs w:val="17"/>
          <w:color w:val="auto"/>
        </w:rPr>
        <w:t>The increase in pre-tax interest expense for the nine months ended September 30, 2024 from a hypothetical 100 basis point increase in variable interest rates would be approximately $3 million.</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3435" cy="4191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Concentrations of Credit Risk</w:t>
      </w:r>
    </w:p>
    <w:p>
      <w:pPr>
        <w:spacing w:after="0" w:line="247"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We are potentially subject to concentrations of credit risk on accounts receivable and financial instruments, such as hedging instruments and cash and cash equivalents. Credit risk includes the risk of nonperformance by counterparties. The maximum potential loss may exceed the amount recognized on the balance sheet. Exposure to credit risk is managed through credit approvals, credit limits, selecting major international financial institutions as counterparties to hedging transactions, and monitoring procedures. Our business often involves large transactions with customers for which we do not require collateral. If one or more of those customers were to default in its obligations under applicable contractual arrangements, we could be exposed to potentially significant losses. Moreover, a prolonged downturn in the global economy could have an adverse impact on the ability of our customers to pay their obligations on a timely basis. We believe that the reserves for potential losses are adequate. As of September 30, 2024, we did not have any significant concentration of credit risk related to financial instruments.</w:t>
      </w:r>
    </w:p>
    <w:p>
      <w:pPr>
        <w:spacing w:after="0" w:line="200" w:lineRule="exact"/>
        <w:rPr>
          <w:sz w:val="20"/>
          <w:szCs w:val="20"/>
          <w:color w:val="auto"/>
        </w:rPr>
      </w:pPr>
    </w:p>
    <w:p>
      <w:pPr>
        <w:spacing w:after="0" w:line="208" w:lineRule="exact"/>
        <w:rPr>
          <w:sz w:val="20"/>
          <w:szCs w:val="20"/>
          <w:color w:val="auto"/>
        </w:rPr>
      </w:pPr>
    </w:p>
    <w:p>
      <w:pPr>
        <w:spacing w:after="0"/>
        <w:tabs>
          <w:tab w:leader="none" w:pos="680" w:val="left"/>
        </w:tabs>
        <w:rPr>
          <w:sz w:val="20"/>
          <w:szCs w:val="20"/>
          <w:color w:val="auto"/>
        </w:rPr>
      </w:pPr>
      <w:r>
        <w:rPr>
          <w:rFonts w:ascii="Times New Roman" w:cs="Times New Roman" w:eastAsia="Times New Roman" w:hAnsi="Times New Roman"/>
          <w:sz w:val="17"/>
          <w:szCs w:val="17"/>
          <w:b w:val="1"/>
          <w:bCs w:val="1"/>
          <w:color w:val="auto"/>
        </w:rPr>
        <w:t>Item 4.</w:t>
        <w:tab/>
        <w:t>CONTROLS AND PROCEDURES</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Evaluation of Disclosure Controls and Procedures</w:t>
      </w:r>
    </w:p>
    <w:p>
      <w:pPr>
        <w:spacing w:after="0" w:line="247"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The Company has established disclosure controls and procedures (as defined in Rules 13a-15(e) and 15d-15(e) of the Securities Exchange Act of 1934, as amended (the Exchange Act)). The Company’s management carried out an evaluation, under the supervision and with the participation of its Chief Executive and Chief Financial Officers, of the effectiveness of the design and operation of the Company’s disclosure controls and procedures as of September 30, 2024. Based on this evaluation, the Company’s Chief Executive and Chief Financial Officers have concluded that, due to the material weaknesses in internal control over financial reporting described below, our disclosure controls and procedures were not effective as of September 30, 2024 to provide reasonable assurance that information required to be disclosed by the Company in reports that it files or submits under the Exchange Act is (i) recorded, processed, summarized and reported within the time periods specified in the SEC’s rules and forms and (ii) accumulated and communicated to the Company’s management, including its Chief Executive and Chief Financial Officers, as appropriate to allow timely decisions regarding required disclosure.</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Newly Reported Material Weakness</w:t>
      </w:r>
    </w:p>
    <w:p>
      <w:pPr>
        <w:spacing w:after="0" w:line="247"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7"/>
          <w:szCs w:val="17"/>
          <w:color w:val="auto"/>
        </w:rPr>
        <w:t>A material weakness is a deficiency, or a combination of deficiencies, in internal control over financial reporting, such that there is a reasonable possibility that a material misstatement of the Company's annual or interim financial statements will not be prevented or detected on a timely basis.</w:t>
      </w:r>
    </w:p>
    <w:p>
      <w:pPr>
        <w:spacing w:after="0" w:line="173"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During the third quarter of 2024, management concluded the Company did not maintain effective controls over the review of manual journal entries related to foreign currency transactions. This material weakness resulted in immaterial errors impacting foreign currency exchange gains and losses in the second quarter of 2024 which were corrected in the third quarter of 2024 with no impact to the year-to-date results of operations. Additionally, this material weakness could result in material misstatements to the Company’s consolidated financial statements that would not be prevented or detected on a timely basis.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Previously Reported Material Weaknesses</w:t>
      </w:r>
    </w:p>
    <w:p>
      <w:pPr>
        <w:spacing w:after="0" w:line="24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7"/>
          <w:szCs w:val="17"/>
          <w:color w:val="auto"/>
        </w:rPr>
        <w:t>As previously reported in Part II, Item 9A, “Controls and Procedures” in the Company’s Annual Report on Form 10-K for the year ended December 31, 2023, management identified the following material weaknesses in the Company’s internal control over financial reporting as of December 31, 2023:</w:t>
      </w:r>
    </w:p>
    <w:p>
      <w:pPr>
        <w:spacing w:after="0" w:line="1" w:lineRule="exact"/>
        <w:rPr>
          <w:sz w:val="20"/>
          <w:szCs w:val="20"/>
          <w:color w:val="auto"/>
        </w:rPr>
      </w:pPr>
    </w:p>
    <w:p>
      <w:pPr>
        <w:ind w:left="620" w:hanging="305"/>
        <w:spacing w:after="0" w:line="286" w:lineRule="auto"/>
        <w:tabs>
          <w:tab w:leader="none" w:pos="616"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did not design and maintain effective controls to prevent or timely detect unauthorized Automated Clearing House (“ACH”) disbursements; and</w:t>
      </w:r>
    </w:p>
    <w:p>
      <w:pPr>
        <w:jc w:val="both"/>
        <w:ind w:left="620" w:hanging="305"/>
        <w:spacing w:after="0" w:line="273" w:lineRule="auto"/>
        <w:tabs>
          <w:tab w:leader="none" w:pos="616"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did not design and maintain effective controls related to accounts receivable and accounts payable clearing accounts. Specifically, controls were not designed at a sufficient level of precision to timely reconcile and review the reasonableness and supportability of clearing account balances, including review of the nature and aging of the individual clearing account balances.</w:t>
      </w:r>
    </w:p>
    <w:p>
      <w:pPr>
        <w:spacing w:after="0" w:line="189"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7"/>
          <w:szCs w:val="17"/>
          <w:color w:val="auto"/>
        </w:rPr>
        <w:t>Although not materially impacting any previously reported periods, these material weaknesses resulted in errors in the Company’s historical 2022 and 2021 financial statements and the revision of interim periods in 2023. Additionally, these material weaknesses could result in material misstatements to the Company’s consolidated financial statements that would not be prevented or detected on a timely basis.</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3435" cy="4191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Status of Remediation Plans and Actions</w:t>
      </w:r>
    </w:p>
    <w:p>
      <w:pPr>
        <w:spacing w:after="0" w:line="247"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The Company has implemented measures designed to ensure that the control deficiencies contributing to the previously reported material weaknesses described above are remediated. The design of these measures implemented has been determined to be effective. While we have implemented the remedial measures described below, we are still in the process of testing the applicable remediated controls. Accordingly, the material weaknesses have not yet been fully remediated as of September 30, 2024. The remediation actions implemented to date are as follows:</w:t>
      </w:r>
    </w:p>
    <w:p>
      <w:pPr>
        <w:spacing w:after="0" w:line="12" w:lineRule="exact"/>
        <w:rPr>
          <w:sz w:val="20"/>
          <w:szCs w:val="20"/>
          <w:color w:val="auto"/>
        </w:rPr>
      </w:pPr>
    </w:p>
    <w:p>
      <w:pPr>
        <w:ind w:left="620" w:hanging="305"/>
        <w:spacing w:after="0" w:line="286" w:lineRule="auto"/>
        <w:tabs>
          <w:tab w:leader="none" w:pos="616"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have implemented a monitoring control to (i) perform at least an annual review of all Company bank account attributes and (ii) regularly review bank account activity for large and/or unusual transactions for all bank accounts permitting ACH direct debit transactions.</w:t>
      </w:r>
    </w:p>
    <w:p>
      <w:pPr>
        <w:jc w:val="both"/>
        <w:ind w:left="620" w:hanging="305"/>
        <w:spacing w:after="0" w:line="284" w:lineRule="auto"/>
        <w:tabs>
          <w:tab w:leader="none" w:pos="616"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have implemented a monthly control, with a sufficient level of precision, to timely reconcile and review the reasonableness and supportability of accounts receivable and accounts payable clearing account balances, including a review of the nature and aging of the individual clearing account balances.</w:t>
      </w:r>
    </w:p>
    <w:p>
      <w:pPr>
        <w:spacing w:after="0" w:line="211" w:lineRule="exact"/>
        <w:rPr>
          <w:rFonts w:ascii="Times New Roman" w:cs="Times New Roman" w:eastAsia="Times New Roman" w:hAnsi="Times New Roman"/>
          <w:sz w:val="17"/>
          <w:szCs w:val="17"/>
          <w:color w:val="auto"/>
        </w:rPr>
      </w:pPr>
    </w:p>
    <w:p>
      <w:pPr>
        <w:ind w:left="620" w:hanging="305"/>
        <w:spacing w:after="0" w:line="286" w:lineRule="auto"/>
        <w:tabs>
          <w:tab w:leader="none" w:pos="616"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have implemented enhanced review controls specific to accounts receivable and accounts payable clearing accounts to ensure clear and precise escalation protocols for unreconciled items and the timely resolution of any matters escalated.</w:t>
      </w:r>
    </w:p>
    <w:p>
      <w:pPr>
        <w:ind w:left="620" w:hanging="305"/>
        <w:spacing w:after="0"/>
        <w:tabs>
          <w:tab w:leader="none" w:pos="62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have supplemented our existing training materials regarding fraud prevention and detection and incident escalation and resolution procedures.</w:t>
      </w:r>
    </w:p>
    <w:p>
      <w:pPr>
        <w:spacing w:after="0" w:line="245"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As the Company continues to evaluate and work to improve its internal control over financial reporting, the Company may decide to take additional measures or modify the remediation plans described above. The Company believes that these actions taken will remediate the previously reported material weaknesses described above in the fourth quarter of 2024; however, the material weaknesses are not considered remediated until those controls operate for a sufficient period of time and management has concluded, through testing, that these controls are operating effectively. The Company will continue to monitor the design and effectiveness of these and other processes, procedures and controls and make any further changes management deems appropriate.</w:t>
      </w:r>
    </w:p>
    <w:p>
      <w:pPr>
        <w:spacing w:after="0" w:line="195"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7"/>
          <w:szCs w:val="17"/>
          <w:color w:val="auto"/>
        </w:rPr>
        <w:t>As it relates to the newly reported material weakness, the Company has developed a remediation plan, and has begun testing the effectiveness of the controls over the review of manual journal entries. The Company believes that this will remediate the newly reported material weakness.</w:t>
      </w:r>
    </w:p>
    <w:p>
      <w:pPr>
        <w:spacing w:after="0" w:line="173"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To address the material weaknesses referenced above, management has performed additional analyses and procedures in order to prepare the consolidated financial statements included in Item 1 of this Quarterly Report. Based on these analyses and procedures, management believes that the consolidated financial statements included in this Quarterly Report present, in all material respects, the Company’s financial condition, results of operations and cash flows at and for the periods presented.</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Changes in Internal Control over Financial Reporting</w:t>
      </w:r>
    </w:p>
    <w:p>
      <w:pPr>
        <w:spacing w:after="0" w:line="247"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7"/>
          <w:szCs w:val="17"/>
          <w:color w:val="auto"/>
        </w:rPr>
        <w:t>Other than the remediation efforts described above, there have been no changes in the Company’s internal control over financial reporting that occurred during the three months ended September 30, 2024 that have materially affected, or are reasonably likely to materially affect, the Company’s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3435" cy="4191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Part II. Other Information</w:t>
      </w:r>
    </w:p>
    <w:p>
      <w:pPr>
        <w:spacing w:after="0" w:line="245" w:lineRule="exact"/>
        <w:rPr>
          <w:sz w:val="20"/>
          <w:szCs w:val="20"/>
          <w:color w:val="auto"/>
        </w:rPr>
      </w:pPr>
    </w:p>
    <w:p>
      <w:pPr>
        <w:spacing w:after="0"/>
        <w:tabs>
          <w:tab w:leader="none" w:pos="680" w:val="left"/>
        </w:tabs>
        <w:rPr>
          <w:sz w:val="20"/>
          <w:szCs w:val="20"/>
          <w:color w:val="auto"/>
        </w:rPr>
      </w:pPr>
      <w:r>
        <w:rPr>
          <w:rFonts w:ascii="Times New Roman" w:cs="Times New Roman" w:eastAsia="Times New Roman" w:hAnsi="Times New Roman"/>
          <w:sz w:val="17"/>
          <w:szCs w:val="17"/>
          <w:b w:val="1"/>
          <w:bCs w:val="1"/>
          <w:color w:val="auto"/>
        </w:rPr>
        <w:t>Item 1.</w:t>
        <w:tab/>
        <w:t>LEGAL PROCEEDINGS</w:t>
      </w:r>
    </w:p>
    <w:p>
      <w:pPr>
        <w:spacing w:after="0" w:line="247"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7"/>
          <w:szCs w:val="17"/>
          <w:color w:val="auto"/>
        </w:rPr>
        <w:t>The information required by this item is included in Note 10, “Commitments and Contingencies”, of the Notes to Condensed Consolidated Financial Statements in this quarterly report and is incorporated herein by reference.</w:t>
      </w:r>
    </w:p>
    <w:p>
      <w:pPr>
        <w:spacing w:after="0" w:line="171"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7"/>
          <w:szCs w:val="17"/>
          <w:b w:val="1"/>
          <w:bCs w:val="1"/>
          <w:color w:val="auto"/>
        </w:rPr>
        <w:t>Item 1A.</w:t>
        <w:tab/>
        <w:t>RISK FACTORS</w:t>
      </w:r>
    </w:p>
    <w:p>
      <w:pPr>
        <w:spacing w:after="0" w:line="24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In addition to the other information set forth in this Quarterly Report, you should carefully consider the risk factors and other cautionary statements described under Part I, Item 1A. “Risk Factors” in the Company’s 2023 Annual Report on Form 10-K, which could materially affect our business, financial condition or future results. Additional risks and uncertainties not currently known to us or that we currently deem to be immaterial also may materially and adversely affect our business, financial condition or future results. Other than the risk factors below, there have been no material changes in our risk factors from those described in the 2023 Annual Report on Form 10-K.</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The sale of our Digital Banking business may not achieve some or all of the expected benefits and may adversely affect our business.</w:t>
      </w:r>
    </w:p>
    <w:p>
      <w:pPr>
        <w:spacing w:after="0" w:line="24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We may not be able to achieve the full strategic, financial, operational, and other benefits that are expected to result from the Digital Banking Sale, including any expected optimization of operations, cost savings, and other business opportunities that may be facilitated by the Digital Banking Sale. In addition, such benefits may be delayed or less significant than anticipated. We cannot predict with certainty when the benefits expected from the Digital Banking Sale will occur or the extent to which they will be achieved, or when they will be achieved, if at all. A failure to realize these and other anticipated benefits of the Digital Banking Sale or effectively utilize the proceeds from the Digital Banking Sale could have an adverse impact our business, financial condition and results of operations. See also “Item 1A. Risk Factors</w:t>
      </w:r>
      <w:r>
        <w:rPr>
          <w:rFonts w:ascii="Times New Roman" w:cs="Times New Roman" w:eastAsia="Times New Roman" w:hAnsi="Times New Roman"/>
          <w:sz w:val="17"/>
          <w:szCs w:val="17"/>
          <w:i w:val="1"/>
          <w:iCs w:val="1"/>
          <w:color w:val="auto"/>
        </w:rPr>
        <w:t>—Our acquisitions, divestitures and other strategic transactions may not produce anticipated results, which could have a material adverse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effect on our business, financial condition or results of operations</w:t>
      </w:r>
      <w:r>
        <w:rPr>
          <w:rFonts w:ascii="Times New Roman" w:cs="Times New Roman" w:eastAsia="Times New Roman" w:hAnsi="Times New Roman"/>
          <w:sz w:val="17"/>
          <w:szCs w:val="17"/>
          <w:color w:val="auto"/>
        </w:rPr>
        <w:t>” in our 2023 Annual Report on Form 10-K.</w:t>
      </w:r>
    </w:p>
    <w:p>
      <w:pPr>
        <w:spacing w:after="0" w:line="199"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7"/>
          <w:szCs w:val="17"/>
          <w:b w:val="1"/>
          <w:bCs w:val="1"/>
          <w:i w:val="1"/>
          <w:iCs w:val="1"/>
          <w:color w:val="auto"/>
        </w:rPr>
        <w:t>The Company may be held liable to the Buyer of its Digital Banking Business if it fails to perform under its agreements with the Buyer, and the performance of such services may negatively affect the Company’s business and operations</w:t>
      </w:r>
      <w:r>
        <w:rPr>
          <w:rFonts w:ascii="Times New Roman" w:cs="Times New Roman" w:eastAsia="Times New Roman" w:hAnsi="Times New Roman"/>
          <w:sz w:val="17"/>
          <w:szCs w:val="17"/>
          <w:color w:val="auto"/>
        </w:rPr>
        <w:t>.</w:t>
      </w:r>
    </w:p>
    <w:p>
      <w:pPr>
        <w:spacing w:after="0" w:line="168"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In connection with the Digital Banking Sale, the Company and the Buyer entered into certain agreements, including a transition services agreement, providing for the performance of certain services by the Company for the benefit of the Buyer for a period of time after the Digital Banking Sale. If the Company does not satisfactorily perform its obligations under these agreements, it may be held liable for certain losses incurred by the Buyer. In addition, during the transition services period, the Company’s management and employees may be required to divert their attention away from its business in order to provide services to the Buyer, which could adversely impact the Company’s business.</w:t>
      </w:r>
    </w:p>
    <w:p>
      <w:pPr>
        <w:spacing w:after="0" w:line="195"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Further, as a result of these transition services, our counterparty will have access to certain of the Company’s information technology systems during the transition services period, as well as shared information technology infrastructure. Any disruption, degradation, destruction or manipulation of the Company’s information technology systems as a result of such access, whether accidental or intentional, may cause cybersecurity, data protection or privacy incidents or failures, which could in turn interrupt or adversely impact our operations.</w:t>
      </w:r>
    </w:p>
    <w:p>
      <w:pPr>
        <w:spacing w:after="0" w:line="189"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7"/>
          <w:szCs w:val="17"/>
          <w:b w:val="1"/>
          <w:bCs w:val="1"/>
          <w:i w:val="1"/>
          <w:iCs w:val="1"/>
          <w:color w:val="auto"/>
        </w:rPr>
        <w:t>We may not realize the anticipated cost savings or other benefits related to the transition of our Hardware Business to an outsourced design and manufacturing (ODM) model on a timely basis or at all.</w:t>
      </w:r>
    </w:p>
    <w:p>
      <w:pPr>
        <w:spacing w:after="0" w:line="168"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On August 6, 2024, we announced our entry into a commercial agreement with Ennoconn Corp. (“Ennoconn”) to transition our point-of-sale and self-checkout hardware businesses to an outsourced design and manufacturing model (the “Hardware Business Transition”). While the Company and its counterparty are targeting January 1, 2025 to implement the Hardware Business Transition and the new hardware revenue model, this date is dependent upon various factors, including the migration of aspects of our international hardware business to Ennoconn that are not yet complete. As a result, there can be no guaranty that the Hardware Business Transition will be implemented successfully or within the anticipated timeline. The Company anticipates that, once the Hardware Business Transition is implemented, it will record revenue from point-of-sale and self-checkout hardware sales on a net basis, excluding the costs paid to Ennoconn. Prior to the implementation of the Hardware Business Transition, the substantial majority of the revenues from our hardware business are attributable to point-of-sale and self-checkout hardware. Under our new business model following the Hardware Business Transition, a substantial majority of the revenue related to the sale of hardware will no longer be recognized by the Company, and will instead be recognized by the</w:t>
      </w: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3435" cy="4191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82"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7"/>
          <w:szCs w:val="17"/>
          <w:color w:val="auto"/>
        </w:rPr>
        <w:t>hardware provider. This will result in a substantial decrease to our hardware-related revenues and could have an adverse impact on our business and results of operations.</w:t>
      </w:r>
    </w:p>
    <w:p>
      <w:pPr>
        <w:spacing w:after="0" w:line="173"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7"/>
          <w:szCs w:val="17"/>
          <w:color w:val="auto"/>
        </w:rPr>
        <w:t>The Company also expects to reduce hardware-related costs in connection with the Hardware Business Transition. If the Company is unable to reduce costs in connection with the Hardware Business Transition or if the Hardware Business Transition has an adverse impact on the Company’s hardware sales or customer relationships, this could have a material adverse impact on our future operating results and financial condition.</w:t>
      </w:r>
    </w:p>
    <w:p>
      <w:pPr>
        <w:spacing w:after="0" w:line="189"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In addition, as a result of the Hardware Business Transition, our counterparty will design, manufacture, warrant, supply, and ship self-checkout and point-of sale hardware directly to the Company’s customers. Third parties may fail to deliver on their commitments or otherwise breach obligations to our customers, which may in turn damage our reputation and relationship with our customers. As such, a failure of third parties to adequately serve our customers may materially adversely impact our results of operations and financial condition.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3435" cy="4191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80" w:lineRule="exact"/>
        <w:rPr>
          <w:sz w:val="20"/>
          <w:szCs w:val="20"/>
          <w:color w:val="auto"/>
        </w:rPr>
      </w:pPr>
    </w:p>
    <w:p>
      <w:pPr>
        <w:spacing w:after="0"/>
        <w:tabs>
          <w:tab w:leader="none" w:pos="680" w:val="left"/>
        </w:tabs>
        <w:rPr>
          <w:sz w:val="20"/>
          <w:szCs w:val="20"/>
          <w:color w:val="auto"/>
        </w:rPr>
      </w:pPr>
      <w:r>
        <w:rPr>
          <w:rFonts w:ascii="Times New Roman" w:cs="Times New Roman" w:eastAsia="Times New Roman" w:hAnsi="Times New Roman"/>
          <w:sz w:val="17"/>
          <w:szCs w:val="17"/>
          <w:b w:val="1"/>
          <w:bCs w:val="1"/>
          <w:color w:val="auto"/>
        </w:rPr>
        <w:t>Item 2.</w:t>
        <w:tab/>
        <w:t>UNREGISTERED SALES OF EQUITY SECURITIES AND USE OF PROCEEDS</w:t>
      </w:r>
    </w:p>
    <w:p>
      <w:pPr>
        <w:spacing w:after="0" w:line="247"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7"/>
          <w:szCs w:val="17"/>
          <w:color w:val="auto"/>
        </w:rPr>
        <w:t>In March 2017, the Board approved a share repurchase program, with no expiration from the date of authorization, that provided for the repurchase of up to $300 million of the Company’s common stock (the “Repurchase Program”). In July 2018, the Board authorized an incremental $200 million of share repurchases under the Repurchase Program. As of September 30, 2024, the Repurchase Program had an existing aggregate remaining repurchase authority of $153 million.</w:t>
      </w:r>
    </w:p>
    <w:p>
      <w:pPr>
        <w:spacing w:after="0" w:line="189"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7"/>
          <w:szCs w:val="17"/>
          <w:color w:val="auto"/>
        </w:rPr>
        <w:t>The timing and amount of repurchases under the Repurchase Program will depend upon market conditions, and may be made from time to time in open market purchases, privately negotiated transactions, accelerated stock repurchase programs, issuer self-tender offers or otherwise. The repurchases will be made in compliance with applicable securities laws and may be discontinued at any time.</w:t>
      </w:r>
    </w:p>
    <w:p>
      <w:pPr>
        <w:spacing w:after="0" w:line="189"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7"/>
          <w:szCs w:val="17"/>
          <w:color w:val="auto"/>
        </w:rPr>
        <w:t>In October 2016, the Board approved a share repurchase program, with no expiration from the date of authorization, for the repurchase of the Company’s common stock to offset the dilutive effects of the Company’s employee stock purchase plan, equity awards and in-kind dividends on the Company’s Series A Convertible Preferred Stock (the “Dilution Offset Program”). In November 2024, the Board terminated the Dilution Offset Program.</w:t>
      </w:r>
    </w:p>
    <w:p>
      <w:pPr>
        <w:spacing w:after="0" w:line="189"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7"/>
          <w:szCs w:val="17"/>
          <w:color w:val="auto"/>
        </w:rPr>
        <w:t>The Company’s 2017 Stock Incentive Plan allows shares to be surrendered to the Company to satisfy tax withholding obligations associated with the vesting of restricted stock units. The following table sets forth information with respect to our repurchases of shares of common stock (including shares surrendered to satisfy tax withholding) during the three months ended September 30, 2024.</w:t>
      </w:r>
    </w:p>
    <w:tbl>
      <w:tblPr>
        <w:tblLayout w:type="fixed"/>
        <w:tblInd w:w="0" w:type="dxa"/>
        <w:tblCellMar>
          <w:top w:w="0" w:type="dxa"/>
          <w:left w:w="0" w:type="dxa"/>
          <w:bottom w:w="0" w:type="dxa"/>
          <w:right w:w="0" w:type="dxa"/>
        </w:tblCellMar>
      </w:tblPr>
      <w:tr>
        <w:trPr>
          <w:trHeight w:val="160"/>
        </w:trPr>
        <w:tc>
          <w:tcPr>
            <w:tcW w:w="1940" w:type="dxa"/>
            <w:vAlign w:val="bottom"/>
          </w:tcPr>
          <w:p>
            <w:pPr>
              <w:spacing w:after="0"/>
              <w:rPr>
                <w:sz w:val="13"/>
                <w:szCs w:val="13"/>
                <w:color w:val="auto"/>
              </w:rPr>
            </w:pPr>
          </w:p>
        </w:tc>
        <w:tc>
          <w:tcPr>
            <w:tcW w:w="2160" w:type="dxa"/>
            <w:vAlign w:val="bottom"/>
            <w:vMerge w:val="restart"/>
          </w:tcPr>
          <w:p>
            <w:pPr>
              <w:jc w:val="right"/>
              <w:ind w:right="97"/>
              <w:spacing w:after="0"/>
              <w:rPr>
                <w:sz w:val="20"/>
                <w:szCs w:val="20"/>
                <w:color w:val="auto"/>
              </w:rPr>
            </w:pPr>
            <w:r>
              <w:rPr>
                <w:rFonts w:ascii="Times New Roman" w:cs="Times New Roman" w:eastAsia="Times New Roman" w:hAnsi="Times New Roman"/>
                <w:sz w:val="16"/>
                <w:szCs w:val="16"/>
                <w:b w:val="1"/>
                <w:bCs w:val="1"/>
                <w:color w:val="auto"/>
              </w:rPr>
              <w:t>Total number of shares</w:t>
            </w:r>
          </w:p>
        </w:tc>
        <w:tc>
          <w:tcPr>
            <w:tcW w:w="16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Average price paid per</w:t>
            </w:r>
          </w:p>
        </w:tc>
        <w:tc>
          <w:tcPr>
            <w:tcW w:w="3040" w:type="dxa"/>
            <w:vAlign w:val="bottom"/>
          </w:tcPr>
          <w:p>
            <w:pPr>
              <w:spacing w:after="0"/>
              <w:rPr>
                <w:sz w:val="13"/>
                <w:szCs w:val="13"/>
                <w:color w:val="auto"/>
              </w:rPr>
            </w:pPr>
          </w:p>
        </w:tc>
        <w:tc>
          <w:tcPr>
            <w:tcW w:w="2440" w:type="dxa"/>
            <w:vAlign w:val="bottom"/>
          </w:tcPr>
          <w:p>
            <w:pPr>
              <w:jc w:val="right"/>
              <w:ind w:right="17"/>
              <w:spacing w:after="0" w:line="160" w:lineRule="exact"/>
              <w:rPr>
                <w:sz w:val="20"/>
                <w:szCs w:val="20"/>
                <w:color w:val="auto"/>
              </w:rPr>
            </w:pPr>
            <w:r>
              <w:rPr>
                <w:rFonts w:ascii="Times New Roman" w:cs="Times New Roman" w:eastAsia="Times New Roman" w:hAnsi="Times New Roman"/>
                <w:sz w:val="16"/>
                <w:szCs w:val="16"/>
                <w:b w:val="1"/>
                <w:bCs w:val="1"/>
                <w:color w:val="auto"/>
                <w:w w:val="96"/>
              </w:rPr>
              <w:t>Approximate dollar value of shares</w:t>
            </w:r>
          </w:p>
        </w:tc>
        <w:tc>
          <w:tcPr>
            <w:tcW w:w="0" w:type="dxa"/>
            <w:vAlign w:val="bottom"/>
          </w:tcPr>
          <w:p>
            <w:pPr>
              <w:spacing w:after="0"/>
              <w:rPr>
                <w:sz w:val="1"/>
                <w:szCs w:val="1"/>
                <w:color w:val="auto"/>
              </w:rPr>
            </w:pPr>
          </w:p>
        </w:tc>
      </w:tr>
      <w:tr>
        <w:trPr>
          <w:trHeight w:val="156"/>
        </w:trPr>
        <w:tc>
          <w:tcPr>
            <w:tcW w:w="1940" w:type="dxa"/>
            <w:vAlign w:val="bottom"/>
            <w:vMerge w:val="restart"/>
          </w:tcPr>
          <w:p>
            <w:pPr>
              <w:jc w:val="right"/>
              <w:ind w:right="556"/>
              <w:spacing w:after="0"/>
              <w:rPr>
                <w:sz w:val="20"/>
                <w:szCs w:val="20"/>
                <w:color w:val="auto"/>
              </w:rPr>
            </w:pPr>
            <w:r>
              <w:rPr>
                <w:rFonts w:ascii="Times New Roman" w:cs="Times New Roman" w:eastAsia="Times New Roman" w:hAnsi="Times New Roman"/>
                <w:sz w:val="16"/>
                <w:szCs w:val="16"/>
                <w:b w:val="1"/>
                <w:bCs w:val="1"/>
                <w:color w:val="auto"/>
              </w:rPr>
              <w:t>Period</w:t>
            </w:r>
          </w:p>
        </w:tc>
        <w:tc>
          <w:tcPr>
            <w:tcW w:w="2160" w:type="dxa"/>
            <w:vAlign w:val="bottom"/>
            <w:vMerge w:val="continue"/>
          </w:tcPr>
          <w:p>
            <w:pPr>
              <w:spacing w:after="0"/>
              <w:rPr>
                <w:sz w:val="13"/>
                <w:szCs w:val="13"/>
                <w:color w:val="auto"/>
              </w:rPr>
            </w:pPr>
          </w:p>
        </w:tc>
        <w:tc>
          <w:tcPr>
            <w:tcW w:w="1660" w:type="dxa"/>
            <w:vAlign w:val="bottom"/>
            <w:gridSpan w:val="2"/>
            <w:vMerge w:val="continue"/>
          </w:tcPr>
          <w:p>
            <w:pPr>
              <w:spacing w:after="0"/>
              <w:rPr>
                <w:sz w:val="13"/>
                <w:szCs w:val="13"/>
                <w:color w:val="auto"/>
              </w:rPr>
            </w:pPr>
          </w:p>
        </w:tc>
        <w:tc>
          <w:tcPr>
            <w:tcW w:w="5480" w:type="dxa"/>
            <w:vAlign w:val="bottom"/>
            <w:gridSpan w:val="2"/>
          </w:tcPr>
          <w:p>
            <w:pPr>
              <w:ind w:left="80"/>
              <w:spacing w:after="0" w:line="155" w:lineRule="exact"/>
              <w:rPr>
                <w:sz w:val="20"/>
                <w:szCs w:val="20"/>
                <w:color w:val="auto"/>
              </w:rPr>
            </w:pPr>
            <w:r>
              <w:rPr>
                <w:rFonts w:ascii="Times New Roman" w:cs="Times New Roman" w:eastAsia="Times New Roman" w:hAnsi="Times New Roman"/>
                <w:sz w:val="16"/>
                <w:szCs w:val="16"/>
                <w:b w:val="1"/>
                <w:bCs w:val="1"/>
                <w:color w:val="auto"/>
                <w:w w:val="98"/>
              </w:rPr>
              <w:t>Total number of shares purchased as part  that may yet be purchased under the</w:t>
            </w:r>
          </w:p>
        </w:tc>
        <w:tc>
          <w:tcPr>
            <w:tcW w:w="0" w:type="dxa"/>
            <w:vAlign w:val="bottom"/>
          </w:tcPr>
          <w:p>
            <w:pPr>
              <w:spacing w:after="0"/>
              <w:rPr>
                <w:sz w:val="1"/>
                <w:szCs w:val="1"/>
                <w:color w:val="auto"/>
              </w:rPr>
            </w:pPr>
          </w:p>
        </w:tc>
      </w:tr>
      <w:tr>
        <w:trPr>
          <w:trHeight w:val="207"/>
        </w:trPr>
        <w:tc>
          <w:tcPr>
            <w:tcW w:w="1940" w:type="dxa"/>
            <w:vAlign w:val="bottom"/>
            <w:tcBorders>
              <w:bottom w:val="single" w:sz="8" w:color="auto"/>
            </w:tcBorders>
            <w:vMerge w:val="continue"/>
          </w:tcPr>
          <w:p>
            <w:pPr>
              <w:spacing w:after="0"/>
              <w:rPr>
                <w:sz w:val="18"/>
                <w:szCs w:val="18"/>
                <w:color w:val="auto"/>
              </w:rPr>
            </w:pPr>
          </w:p>
        </w:tc>
        <w:tc>
          <w:tcPr>
            <w:tcW w:w="2160" w:type="dxa"/>
            <w:vAlign w:val="bottom"/>
            <w:tcBorders>
              <w:bottom w:val="single" w:sz="8" w:color="auto"/>
            </w:tcBorders>
          </w:tcPr>
          <w:p>
            <w:pPr>
              <w:jc w:val="right"/>
              <w:ind w:right="457"/>
              <w:spacing w:after="0" w:line="207" w:lineRule="exact"/>
              <w:rPr>
                <w:sz w:val="20"/>
                <w:szCs w:val="20"/>
                <w:color w:val="auto"/>
              </w:rPr>
            </w:pPr>
            <w:r>
              <w:rPr>
                <w:rFonts w:ascii="Times New Roman" w:cs="Times New Roman" w:eastAsia="Times New Roman" w:hAnsi="Times New Roman"/>
                <w:sz w:val="16"/>
                <w:szCs w:val="16"/>
                <w:b w:val="1"/>
                <w:bCs w:val="1"/>
                <w:color w:val="auto"/>
              </w:rPr>
              <w:t>purchased</w:t>
            </w:r>
            <w:r>
              <w:rPr>
                <w:rFonts w:ascii="Times New Roman" w:cs="Times New Roman" w:eastAsia="Times New Roman" w:hAnsi="Times New Roman"/>
                <w:sz w:val="20"/>
                <w:szCs w:val="20"/>
                <w:b w:val="1"/>
                <w:bCs w:val="1"/>
                <w:color w:val="auto"/>
                <w:vertAlign w:val="superscript"/>
              </w:rPr>
              <w:t>(1)</w:t>
            </w:r>
          </w:p>
        </w:tc>
        <w:tc>
          <w:tcPr>
            <w:tcW w:w="4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56"/>
              <w:spacing w:after="0"/>
              <w:rPr>
                <w:sz w:val="20"/>
                <w:szCs w:val="20"/>
                <w:color w:val="auto"/>
              </w:rPr>
            </w:pPr>
            <w:r>
              <w:rPr>
                <w:rFonts w:ascii="Times New Roman" w:cs="Times New Roman" w:eastAsia="Times New Roman" w:hAnsi="Times New Roman"/>
                <w:sz w:val="16"/>
                <w:szCs w:val="16"/>
                <w:b w:val="1"/>
                <w:bCs w:val="1"/>
                <w:color w:val="auto"/>
              </w:rPr>
              <w:t>share</w:t>
            </w:r>
          </w:p>
        </w:tc>
        <w:tc>
          <w:tcPr>
            <w:tcW w:w="304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6"/>
                <w:szCs w:val="16"/>
                <w:b w:val="1"/>
                <w:bCs w:val="1"/>
                <w:color w:val="auto"/>
              </w:rPr>
              <w:t>of publicly announced plans or programs</w:t>
            </w:r>
          </w:p>
        </w:tc>
        <w:tc>
          <w:tcPr>
            <w:tcW w:w="2440" w:type="dxa"/>
            <w:vAlign w:val="bottom"/>
            <w:tcBorders>
              <w:bottom w:val="single" w:sz="8" w:color="auto"/>
            </w:tcBorders>
          </w:tcPr>
          <w:p>
            <w:pPr>
              <w:jc w:val="right"/>
              <w:ind w:right="97"/>
              <w:spacing w:after="0" w:line="207" w:lineRule="exact"/>
              <w:rPr>
                <w:sz w:val="20"/>
                <w:szCs w:val="20"/>
                <w:color w:val="auto"/>
              </w:rPr>
            </w:pPr>
            <w:r>
              <w:rPr>
                <w:rFonts w:ascii="Times New Roman" w:cs="Times New Roman" w:eastAsia="Times New Roman" w:hAnsi="Times New Roman"/>
                <w:sz w:val="16"/>
                <w:szCs w:val="16"/>
                <w:b w:val="1"/>
                <w:bCs w:val="1"/>
                <w:color w:val="auto"/>
                <w:w w:val="98"/>
              </w:rPr>
              <w:t>plans or programs (in millions)</w:t>
            </w:r>
            <w:r>
              <w:rPr>
                <w:rFonts w:ascii="Times New Roman" w:cs="Times New Roman" w:eastAsia="Times New Roman" w:hAnsi="Times New Roman"/>
                <w:sz w:val="20"/>
                <w:szCs w:val="20"/>
                <w:b w:val="1"/>
                <w:bCs w:val="1"/>
                <w:color w:val="auto"/>
                <w:w w:val="98"/>
                <w:vertAlign w:val="superscript"/>
              </w:rPr>
              <w:t>(2)</w:t>
            </w:r>
          </w:p>
        </w:tc>
        <w:tc>
          <w:tcPr>
            <w:tcW w:w="0" w:type="dxa"/>
            <w:vAlign w:val="bottom"/>
          </w:tcPr>
          <w:p>
            <w:pPr>
              <w:spacing w:after="0"/>
              <w:rPr>
                <w:sz w:val="1"/>
                <w:szCs w:val="1"/>
                <w:color w:val="auto"/>
              </w:rPr>
            </w:pPr>
          </w:p>
        </w:tc>
      </w:tr>
      <w:tr>
        <w:trPr>
          <w:trHeight w:val="213"/>
        </w:trPr>
        <w:tc>
          <w:tcPr>
            <w:tcW w:w="1940" w:type="dxa"/>
            <w:vAlign w:val="bottom"/>
            <w:shd w:val="clear" w:color="auto" w:fill="CCEEFF"/>
          </w:tcPr>
          <w:p>
            <w:pPr>
              <w:jc w:val="right"/>
              <w:ind w:right="376"/>
              <w:spacing w:after="0"/>
              <w:rPr>
                <w:sz w:val="20"/>
                <w:szCs w:val="20"/>
                <w:color w:val="auto"/>
              </w:rPr>
            </w:pPr>
            <w:r>
              <w:rPr>
                <w:rFonts w:ascii="Times New Roman" w:cs="Times New Roman" w:eastAsia="Times New Roman" w:hAnsi="Times New Roman"/>
                <w:sz w:val="17"/>
                <w:szCs w:val="17"/>
                <w:color w:val="auto"/>
              </w:rPr>
              <w:t>7/1/2024 - 7/31/2024</w:t>
            </w:r>
          </w:p>
        </w:tc>
        <w:tc>
          <w:tcPr>
            <w:tcW w:w="2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3,678</w:t>
            </w:r>
          </w:p>
        </w:tc>
        <w:tc>
          <w:tcPr>
            <w:tcW w:w="400" w:type="dxa"/>
            <w:vAlign w:val="bottom"/>
            <w:shd w:val="clear" w:color="auto" w:fill="CCEEFF"/>
          </w:tcPr>
          <w:p>
            <w:pPr>
              <w:jc w:val="right"/>
              <w:ind w:right="176"/>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13.50</w:t>
            </w:r>
          </w:p>
        </w:tc>
        <w:tc>
          <w:tcPr>
            <w:tcW w:w="3040" w:type="dxa"/>
            <w:vAlign w:val="bottom"/>
            <w:shd w:val="clear" w:color="auto" w:fill="CCEEFF"/>
          </w:tcPr>
          <w:p>
            <w:pPr>
              <w:ind w:left="2680"/>
              <w:spacing w:after="0"/>
              <w:rPr>
                <w:sz w:val="20"/>
                <w:szCs w:val="20"/>
                <w:color w:val="auto"/>
              </w:rPr>
            </w:pPr>
            <w:r>
              <w:rPr>
                <w:rFonts w:ascii="Times New Roman" w:cs="Times New Roman" w:eastAsia="Times New Roman" w:hAnsi="Times New Roman"/>
                <w:sz w:val="17"/>
                <w:szCs w:val="17"/>
                <w:color w:val="auto"/>
              </w:rPr>
              <w:t>— $</w:t>
            </w:r>
          </w:p>
        </w:tc>
        <w:tc>
          <w:tcPr>
            <w:tcW w:w="2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153</w:t>
            </w:r>
          </w:p>
        </w:tc>
        <w:tc>
          <w:tcPr>
            <w:tcW w:w="0" w:type="dxa"/>
            <w:vAlign w:val="bottom"/>
          </w:tcPr>
          <w:p>
            <w:pPr>
              <w:spacing w:after="0"/>
              <w:rPr>
                <w:sz w:val="1"/>
                <w:szCs w:val="1"/>
                <w:color w:val="auto"/>
              </w:rPr>
            </w:pPr>
          </w:p>
        </w:tc>
      </w:tr>
      <w:tr>
        <w:trPr>
          <w:trHeight w:val="220"/>
        </w:trPr>
        <w:tc>
          <w:tcPr>
            <w:tcW w:w="1940" w:type="dxa"/>
            <w:vAlign w:val="bottom"/>
          </w:tcPr>
          <w:p>
            <w:pPr>
              <w:jc w:val="right"/>
              <w:ind w:right="376"/>
              <w:spacing w:after="0"/>
              <w:rPr>
                <w:sz w:val="20"/>
                <w:szCs w:val="20"/>
                <w:color w:val="auto"/>
              </w:rPr>
            </w:pPr>
            <w:r>
              <w:rPr>
                <w:rFonts w:ascii="Times New Roman" w:cs="Times New Roman" w:eastAsia="Times New Roman" w:hAnsi="Times New Roman"/>
                <w:sz w:val="17"/>
                <w:szCs w:val="17"/>
                <w:color w:val="auto"/>
              </w:rPr>
              <w:t>8/1/2024 - 8/31/2024</w:t>
            </w:r>
          </w:p>
        </w:tc>
        <w:tc>
          <w:tcPr>
            <w:tcW w:w="2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45,271</w:t>
            </w:r>
          </w:p>
        </w:tc>
        <w:tc>
          <w:tcPr>
            <w:tcW w:w="4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13.00</w:t>
            </w:r>
          </w:p>
        </w:tc>
        <w:tc>
          <w:tcPr>
            <w:tcW w:w="3040" w:type="dxa"/>
            <w:vAlign w:val="bottom"/>
          </w:tcPr>
          <w:p>
            <w:pPr>
              <w:ind w:left="2680"/>
              <w:spacing w:after="0"/>
              <w:rPr>
                <w:sz w:val="20"/>
                <w:szCs w:val="20"/>
                <w:color w:val="auto"/>
              </w:rPr>
            </w:pPr>
            <w:r>
              <w:rPr>
                <w:rFonts w:ascii="Times New Roman" w:cs="Times New Roman" w:eastAsia="Times New Roman" w:hAnsi="Times New Roman"/>
                <w:sz w:val="17"/>
                <w:szCs w:val="17"/>
                <w:color w:val="auto"/>
              </w:rPr>
              <w:t>— $</w:t>
            </w:r>
          </w:p>
        </w:tc>
        <w:tc>
          <w:tcPr>
            <w:tcW w:w="2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153</w:t>
            </w:r>
          </w:p>
        </w:tc>
        <w:tc>
          <w:tcPr>
            <w:tcW w:w="0" w:type="dxa"/>
            <w:vAlign w:val="bottom"/>
          </w:tcPr>
          <w:p>
            <w:pPr>
              <w:spacing w:after="0"/>
              <w:rPr>
                <w:sz w:val="1"/>
                <w:szCs w:val="1"/>
                <w:color w:val="auto"/>
              </w:rPr>
            </w:pPr>
          </w:p>
        </w:tc>
      </w:tr>
      <w:tr>
        <w:trPr>
          <w:trHeight w:val="220"/>
        </w:trPr>
        <w:tc>
          <w:tcPr>
            <w:tcW w:w="1940" w:type="dxa"/>
            <w:vAlign w:val="bottom"/>
            <w:shd w:val="clear" w:color="auto" w:fill="CCEEFF"/>
          </w:tcPr>
          <w:p>
            <w:pPr>
              <w:jc w:val="right"/>
              <w:ind w:right="376"/>
              <w:spacing w:after="0"/>
              <w:rPr>
                <w:sz w:val="20"/>
                <w:szCs w:val="20"/>
                <w:color w:val="auto"/>
              </w:rPr>
            </w:pPr>
            <w:r>
              <w:rPr>
                <w:rFonts w:ascii="Times New Roman" w:cs="Times New Roman" w:eastAsia="Times New Roman" w:hAnsi="Times New Roman"/>
                <w:sz w:val="17"/>
                <w:szCs w:val="17"/>
                <w:color w:val="auto"/>
              </w:rPr>
              <w:t>9/1/2024 - 9/30/2024</w:t>
            </w:r>
          </w:p>
        </w:tc>
        <w:tc>
          <w:tcPr>
            <w:tcW w:w="2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147,149</w:t>
            </w:r>
          </w:p>
        </w:tc>
        <w:tc>
          <w:tcPr>
            <w:tcW w:w="400" w:type="dxa"/>
            <w:vAlign w:val="bottom"/>
            <w:shd w:val="clear" w:color="auto" w:fill="CCEEFF"/>
          </w:tcPr>
          <w:p>
            <w:pPr>
              <w:jc w:val="right"/>
              <w:ind w:right="176"/>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13.56</w:t>
            </w:r>
          </w:p>
        </w:tc>
        <w:tc>
          <w:tcPr>
            <w:tcW w:w="3040" w:type="dxa"/>
            <w:vAlign w:val="bottom"/>
            <w:shd w:val="clear" w:color="auto" w:fill="CCEEFF"/>
          </w:tcPr>
          <w:p>
            <w:pPr>
              <w:ind w:left="2680"/>
              <w:spacing w:after="0"/>
              <w:rPr>
                <w:sz w:val="20"/>
                <w:szCs w:val="20"/>
                <w:color w:val="auto"/>
              </w:rPr>
            </w:pPr>
            <w:r>
              <w:rPr>
                <w:rFonts w:ascii="Times New Roman" w:cs="Times New Roman" w:eastAsia="Times New Roman" w:hAnsi="Times New Roman"/>
                <w:sz w:val="17"/>
                <w:szCs w:val="17"/>
                <w:color w:val="auto"/>
              </w:rPr>
              <w:t>— $</w:t>
            </w:r>
          </w:p>
        </w:tc>
        <w:tc>
          <w:tcPr>
            <w:tcW w:w="2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153</w:t>
            </w:r>
          </w:p>
        </w:tc>
        <w:tc>
          <w:tcPr>
            <w:tcW w:w="0" w:type="dxa"/>
            <w:vAlign w:val="bottom"/>
          </w:tcPr>
          <w:p>
            <w:pPr>
              <w:spacing w:after="0"/>
              <w:rPr>
                <w:sz w:val="1"/>
                <w:szCs w:val="1"/>
                <w:color w:val="auto"/>
              </w:rPr>
            </w:pPr>
          </w:p>
        </w:tc>
      </w:tr>
    </w:tbl>
    <w:p>
      <w:pPr>
        <w:spacing w:after="0" w:line="155" w:lineRule="exact"/>
        <w:rPr>
          <w:sz w:val="20"/>
          <w:szCs w:val="20"/>
          <w:color w:val="auto"/>
        </w:rPr>
      </w:pPr>
    </w:p>
    <w:p>
      <w:pPr>
        <w:jc w:val="both"/>
        <w:ind w:firstLine="4"/>
        <w:spacing w:after="0" w:line="234" w:lineRule="auto"/>
        <w:tabs>
          <w:tab w:leader="none" w:pos="156" w:val="left"/>
        </w:tabs>
        <w:numPr>
          <w:ilvl w:val="0"/>
          <w:numId w:val="19"/>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For the three months ended September 30, 2024, approximately 196,098 shares were surrendered to the Company to satisfy tax withholding obligations associated with the vesting of restricted stock units issued to employees under the 2017 Stock Incentive Plan. With respect to these surrendered shares, the price paid per share is based on the fair value at the time of surrender.</w:t>
      </w:r>
    </w:p>
    <w:p>
      <w:pPr>
        <w:ind w:firstLine="4"/>
        <w:spacing w:after="0" w:line="212" w:lineRule="auto"/>
        <w:tabs>
          <w:tab w:leader="none" w:pos="160" w:val="left"/>
        </w:tabs>
        <w:numPr>
          <w:ilvl w:val="0"/>
          <w:numId w:val="19"/>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6"/>
          <w:szCs w:val="16"/>
          <w:color w:val="auto"/>
        </w:rPr>
        <w:t>Represents amounts available for repurchases under the Repurchase Program. The Company’s Dilution Offset Program was terminated in November 2024. Accordingly, historic accrued availability under the Dilution Offset Program of approximately $959 million prior to the program’s termination has been omitted from the table.</w:t>
      </w:r>
    </w:p>
    <w:p>
      <w:pPr>
        <w:spacing w:after="0" w:line="221" w:lineRule="exact"/>
        <w:rPr>
          <w:sz w:val="20"/>
          <w:szCs w:val="20"/>
          <w:color w:val="auto"/>
        </w:rPr>
      </w:pPr>
    </w:p>
    <w:p>
      <w:pPr>
        <w:spacing w:after="0" w:line="292" w:lineRule="auto"/>
        <w:rPr>
          <w:sz w:val="20"/>
          <w:szCs w:val="20"/>
          <w:color w:val="auto"/>
        </w:rPr>
      </w:pPr>
      <w:r>
        <w:rPr>
          <w:rFonts w:ascii="Times New Roman" w:cs="Times New Roman" w:eastAsia="Times New Roman" w:hAnsi="Times New Roman"/>
          <w:sz w:val="17"/>
          <w:szCs w:val="17"/>
          <w:color w:val="auto"/>
        </w:rPr>
        <w:t>The Company’s ability to repurchase its common stock is subject to (i) certain restrictions under the terms of the Company’s senior secured credit facilities and the indentures governing its senior unsecured notes and (ii) the discretion of the Company’s Board of Directors.</w:t>
      </w:r>
    </w:p>
    <w:p>
      <w:pPr>
        <w:spacing w:after="0" w:line="171" w:lineRule="exact"/>
        <w:rPr>
          <w:sz w:val="20"/>
          <w:szCs w:val="20"/>
          <w:color w:val="auto"/>
        </w:rPr>
      </w:pPr>
    </w:p>
    <w:p>
      <w:pPr>
        <w:spacing w:after="0"/>
        <w:tabs>
          <w:tab w:leader="none" w:pos="680" w:val="left"/>
        </w:tabs>
        <w:rPr>
          <w:sz w:val="20"/>
          <w:szCs w:val="20"/>
          <w:color w:val="auto"/>
        </w:rPr>
      </w:pPr>
      <w:r>
        <w:rPr>
          <w:rFonts w:ascii="Times New Roman" w:cs="Times New Roman" w:eastAsia="Times New Roman" w:hAnsi="Times New Roman"/>
          <w:sz w:val="17"/>
          <w:szCs w:val="17"/>
          <w:b w:val="1"/>
          <w:bCs w:val="1"/>
          <w:color w:val="auto"/>
        </w:rPr>
        <w:t>Item 5.</w:t>
        <w:tab/>
        <w:t>OTHER INFORMATION</w:t>
      </w:r>
    </w:p>
    <w:p>
      <w:pPr>
        <w:spacing w:after="0" w:line="247" w:lineRule="exact"/>
        <w:rPr>
          <w:sz w:val="20"/>
          <w:szCs w:val="20"/>
          <w:color w:val="auto"/>
        </w:rPr>
      </w:pPr>
    </w:p>
    <w:p>
      <w:pPr>
        <w:spacing w:after="0" w:line="292" w:lineRule="auto"/>
        <w:rPr>
          <w:sz w:val="20"/>
          <w:szCs w:val="20"/>
          <w:color w:val="auto"/>
        </w:rPr>
      </w:pPr>
      <w:r>
        <w:rPr>
          <w:rFonts w:ascii="Times New Roman" w:cs="Times New Roman" w:eastAsia="Times New Roman" w:hAnsi="Times New Roman"/>
          <w:sz w:val="17"/>
          <w:szCs w:val="17"/>
          <w:color w:val="auto"/>
        </w:rPr>
        <w:t>During the fiscal quarter ended September 30, 2024, no director or officer of the Company adopted or terminated a “Rule 10b5-1 trading arrangement” or “non-Rule 10b5-1 trading arrangement,” as each term is defined in Item 408(a) of the SEC’s Regulation S-K.</w:t>
      </w: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3435" cy="4191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8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640" w:type="dxa"/>
            <w:vAlign w:val="bottom"/>
            <w:gridSpan w:val="3"/>
          </w:tcPr>
          <w:p>
            <w:pPr>
              <w:spacing w:after="0"/>
              <w:rPr>
                <w:sz w:val="20"/>
                <w:szCs w:val="20"/>
                <w:color w:val="auto"/>
              </w:rPr>
            </w:pPr>
            <w:r>
              <w:rPr>
                <w:rFonts w:ascii="Times New Roman" w:cs="Times New Roman" w:eastAsia="Times New Roman" w:hAnsi="Times New Roman"/>
                <w:sz w:val="17"/>
                <w:szCs w:val="17"/>
                <w:b w:val="1"/>
                <w:bCs w:val="1"/>
                <w:color w:val="auto"/>
              </w:rPr>
              <w:t>Item 6.</w:t>
            </w:r>
          </w:p>
        </w:tc>
        <w:tc>
          <w:tcPr>
            <w:tcW w:w="10020" w:type="dxa"/>
            <w:vAlign w:val="bottom"/>
          </w:tcPr>
          <w:p>
            <w:pPr>
              <w:ind w:left="100"/>
              <w:spacing w:after="0"/>
              <w:rPr>
                <w:sz w:val="20"/>
                <w:szCs w:val="20"/>
                <w:color w:val="auto"/>
              </w:rPr>
            </w:pPr>
            <w:r>
              <w:rPr>
                <w:rFonts w:ascii="Times New Roman" w:cs="Times New Roman" w:eastAsia="Times New Roman" w:hAnsi="Times New Roman"/>
                <w:sz w:val="17"/>
                <w:szCs w:val="17"/>
                <w:b w:val="1"/>
                <w:bCs w:val="1"/>
                <w:color w:val="auto"/>
              </w:rPr>
              <w:t>EXHIBITS</w:t>
            </w:r>
          </w:p>
        </w:tc>
      </w:tr>
      <w:tr>
        <w:trPr>
          <w:trHeight w:val="350"/>
        </w:trPr>
        <w:tc>
          <w:tcPr>
            <w:tcW w:w="320" w:type="dxa"/>
            <w:vAlign w:val="bottom"/>
            <w:gridSpan w:val="2"/>
          </w:tcPr>
          <w:p>
            <w:pPr>
              <w:ind w:left="20"/>
              <w:spacing w:after="0"/>
              <w:rPr>
                <w:rFonts w:ascii="Times New Roman" w:cs="Times New Roman" w:eastAsia="Times New Roman" w:hAnsi="Times New Roman"/>
                <w:sz w:val="17"/>
                <w:szCs w:val="17"/>
                <w:color w:val="0000FF"/>
                <w:w w:val="93"/>
              </w:rPr>
            </w:pPr>
            <w:hyperlink r:id="rId82">
              <w:r>
                <w:rPr>
                  <w:rFonts w:ascii="Times New Roman" w:cs="Times New Roman" w:eastAsia="Times New Roman" w:hAnsi="Times New Roman"/>
                  <w:sz w:val="17"/>
                  <w:szCs w:val="17"/>
                  <w:color w:val="0000FF"/>
                  <w:w w:val="93"/>
                </w:rPr>
                <w:t>10.</w:t>
              </w:r>
              <w:r>
                <w:rPr>
                  <w:rFonts w:ascii="Times New Roman" w:cs="Times New Roman" w:eastAsia="Times New Roman" w:hAnsi="Times New Roman"/>
                  <w:sz w:val="17"/>
                  <w:szCs w:val="17"/>
                  <w:u w:val="single" w:color="auto"/>
                  <w:color w:val="0000FF"/>
                  <w:w w:val="93"/>
                </w:rPr>
                <w:t>1</w:t>
              </w:r>
            </w:hyperlink>
          </w:p>
        </w:tc>
        <w:tc>
          <w:tcPr>
            <w:tcW w:w="320" w:type="dxa"/>
            <w:vAlign w:val="bottom"/>
          </w:tcPr>
          <w:p>
            <w:pPr>
              <w:spacing w:after="0"/>
              <w:rPr>
                <w:sz w:val="24"/>
                <w:szCs w:val="24"/>
                <w:color w:val="auto"/>
              </w:rPr>
            </w:pPr>
          </w:p>
        </w:tc>
        <w:tc>
          <w:tcPr>
            <w:tcW w:w="10020" w:type="dxa"/>
            <w:vAlign w:val="bottom"/>
          </w:tcPr>
          <w:p>
            <w:pPr>
              <w:ind w:left="520"/>
              <w:spacing w:after="0"/>
              <w:rPr>
                <w:sz w:val="20"/>
                <w:szCs w:val="20"/>
                <w:color w:val="auto"/>
              </w:rPr>
            </w:pPr>
            <w:r>
              <w:rPr>
                <w:rFonts w:ascii="Times New Roman" w:cs="Times New Roman" w:eastAsia="Times New Roman" w:hAnsi="Times New Roman"/>
                <w:sz w:val="17"/>
                <w:szCs w:val="17"/>
                <w:color w:val="auto"/>
              </w:rPr>
              <w:t>Purchase Agreement, dated August 5, 2024, by and between NCR Voyix Corporation, Digital First Holdings II LLC and Dragon Buyer,</w:t>
            </w:r>
          </w:p>
        </w:tc>
      </w:tr>
      <w:tr>
        <w:trPr>
          <w:trHeight w:val="195"/>
        </w:trPr>
        <w:tc>
          <w:tcPr>
            <w:tcW w:w="20" w:type="dxa"/>
            <w:vAlign w:val="bottom"/>
          </w:tcPr>
          <w:p>
            <w:pPr>
              <w:spacing w:after="0"/>
              <w:rPr>
                <w:sz w:val="16"/>
                <w:szCs w:val="16"/>
                <w:color w:val="auto"/>
              </w:rPr>
            </w:pPr>
          </w:p>
        </w:tc>
        <w:tc>
          <w:tcPr>
            <w:tcW w:w="300" w:type="dxa"/>
            <w:vAlign w:val="bottom"/>
            <w:tcBorders>
              <w:top w:val="single" w:sz="8" w:color="0000FF"/>
            </w:tcBorders>
          </w:tcPr>
          <w:p>
            <w:pPr>
              <w:spacing w:after="0"/>
              <w:rPr>
                <w:sz w:val="16"/>
                <w:szCs w:val="16"/>
                <w:color w:val="auto"/>
              </w:rPr>
            </w:pPr>
          </w:p>
        </w:tc>
        <w:tc>
          <w:tcPr>
            <w:tcW w:w="320" w:type="dxa"/>
            <w:vAlign w:val="bottom"/>
          </w:tcPr>
          <w:p>
            <w:pPr>
              <w:spacing w:after="0"/>
              <w:rPr>
                <w:sz w:val="16"/>
                <w:szCs w:val="16"/>
                <w:color w:val="auto"/>
              </w:rPr>
            </w:pPr>
          </w:p>
        </w:tc>
        <w:tc>
          <w:tcPr>
            <w:tcW w:w="10020" w:type="dxa"/>
            <w:vAlign w:val="bottom"/>
          </w:tcPr>
          <w:p>
            <w:pPr>
              <w:ind w:left="520"/>
              <w:spacing w:after="0"/>
              <w:rPr>
                <w:sz w:val="20"/>
                <w:szCs w:val="20"/>
                <w:color w:val="auto"/>
              </w:rPr>
            </w:pPr>
            <w:r>
              <w:rPr>
                <w:rFonts w:ascii="Times New Roman" w:cs="Times New Roman" w:eastAsia="Times New Roman" w:hAnsi="Times New Roman"/>
                <w:sz w:val="17"/>
                <w:szCs w:val="17"/>
                <w:color w:val="auto"/>
              </w:rPr>
              <w:t>Inc. (incorporated by reference to Exhibit 10.1 to the Company’s Current Report on Form 8-K filed with the SEC on August 6, 2024).</w:t>
            </w:r>
          </w:p>
        </w:tc>
      </w:tr>
      <w:tr>
        <w:trPr>
          <w:trHeight w:val="187"/>
        </w:trPr>
        <w:tc>
          <w:tcPr>
            <w:tcW w:w="20" w:type="dxa"/>
            <w:vAlign w:val="bottom"/>
          </w:tcPr>
          <w:p>
            <w:pPr>
              <w:spacing w:after="0"/>
              <w:rPr>
                <w:sz w:val="16"/>
                <w:szCs w:val="16"/>
                <w:color w:val="auto"/>
              </w:rPr>
            </w:pPr>
          </w:p>
        </w:tc>
        <w:tc>
          <w:tcPr>
            <w:tcW w:w="300" w:type="dxa"/>
            <w:vAlign w:val="bottom"/>
            <w:tcBorders>
              <w:bottom w:val="single" w:sz="8" w:color="0000FF"/>
            </w:tcBorders>
          </w:tcPr>
          <w:p>
            <w:pPr>
              <w:spacing w:after="0" w:line="187" w:lineRule="exact"/>
              <w:rPr>
                <w:sz w:val="20"/>
                <w:szCs w:val="20"/>
                <w:color w:val="auto"/>
              </w:rPr>
            </w:pPr>
            <w:r>
              <w:rPr>
                <w:rFonts w:ascii="Times New Roman" w:cs="Times New Roman" w:eastAsia="Times New Roman" w:hAnsi="Times New Roman"/>
                <w:sz w:val="17"/>
                <w:szCs w:val="17"/>
                <w:color w:val="0000FF"/>
                <w:w w:val="93"/>
              </w:rPr>
              <w:t>31.</w:t>
            </w:r>
            <w:r>
              <w:rPr>
                <w:rFonts w:ascii="Times New Roman" w:cs="Times New Roman" w:eastAsia="Times New Roman" w:hAnsi="Times New Roman"/>
                <w:sz w:val="17"/>
                <w:szCs w:val="17"/>
                <w:u w:val="single" w:color="auto"/>
                <w:color w:val="0000FF"/>
                <w:w w:val="93"/>
              </w:rPr>
              <w:t>1</w:t>
            </w:r>
          </w:p>
        </w:tc>
        <w:tc>
          <w:tcPr>
            <w:tcW w:w="320" w:type="dxa"/>
            <w:vAlign w:val="bottom"/>
          </w:tcPr>
          <w:p>
            <w:pPr>
              <w:spacing w:after="0"/>
              <w:rPr>
                <w:sz w:val="16"/>
                <w:szCs w:val="16"/>
                <w:color w:val="auto"/>
              </w:rPr>
            </w:pPr>
          </w:p>
        </w:tc>
        <w:tc>
          <w:tcPr>
            <w:tcW w:w="10020" w:type="dxa"/>
            <w:vAlign w:val="bottom"/>
          </w:tcPr>
          <w:p>
            <w:pPr>
              <w:ind w:left="520"/>
              <w:spacing w:after="0" w:line="187" w:lineRule="exact"/>
              <w:rPr>
                <w:sz w:val="20"/>
                <w:szCs w:val="20"/>
                <w:color w:val="auto"/>
              </w:rPr>
            </w:pPr>
            <w:r>
              <w:rPr>
                <w:rFonts w:ascii="Times New Roman" w:cs="Times New Roman" w:eastAsia="Times New Roman" w:hAnsi="Times New Roman"/>
                <w:sz w:val="17"/>
                <w:szCs w:val="17"/>
                <w:color w:val="auto"/>
              </w:rPr>
              <w:t>Certification pursuant to Rule 13a-14(a) and Rule 15d-14(a) of the Securities Exchange Act of 1934.</w:t>
            </w:r>
          </w:p>
        </w:tc>
      </w:tr>
      <w:tr>
        <w:trPr>
          <w:trHeight w:val="252"/>
        </w:trPr>
        <w:tc>
          <w:tcPr>
            <w:tcW w:w="20" w:type="dxa"/>
            <w:vAlign w:val="bottom"/>
          </w:tcPr>
          <w:p>
            <w:pPr>
              <w:spacing w:after="0"/>
              <w:rPr>
                <w:sz w:val="21"/>
                <w:szCs w:val="21"/>
                <w:color w:val="auto"/>
              </w:rPr>
            </w:pPr>
          </w:p>
        </w:tc>
        <w:tc>
          <w:tcPr>
            <w:tcW w:w="30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7"/>
                <w:szCs w:val="17"/>
                <w:color w:val="0000FF"/>
                <w:w w:val="93"/>
              </w:rPr>
              <w:t>31.</w:t>
            </w:r>
            <w:r>
              <w:rPr>
                <w:rFonts w:ascii="Times New Roman" w:cs="Times New Roman" w:eastAsia="Times New Roman" w:hAnsi="Times New Roman"/>
                <w:sz w:val="17"/>
                <w:szCs w:val="17"/>
                <w:u w:val="single" w:color="auto"/>
                <w:color w:val="0000FF"/>
                <w:w w:val="93"/>
              </w:rPr>
              <w:t>2</w:t>
            </w:r>
          </w:p>
        </w:tc>
        <w:tc>
          <w:tcPr>
            <w:tcW w:w="320" w:type="dxa"/>
            <w:vAlign w:val="bottom"/>
          </w:tcPr>
          <w:p>
            <w:pPr>
              <w:spacing w:after="0"/>
              <w:rPr>
                <w:sz w:val="21"/>
                <w:szCs w:val="21"/>
                <w:color w:val="auto"/>
              </w:rPr>
            </w:pPr>
          </w:p>
        </w:tc>
        <w:tc>
          <w:tcPr>
            <w:tcW w:w="10020" w:type="dxa"/>
            <w:vAlign w:val="bottom"/>
          </w:tcPr>
          <w:p>
            <w:pPr>
              <w:ind w:left="520"/>
              <w:spacing w:after="0"/>
              <w:rPr>
                <w:sz w:val="20"/>
                <w:szCs w:val="20"/>
                <w:color w:val="auto"/>
              </w:rPr>
            </w:pPr>
            <w:r>
              <w:rPr>
                <w:rFonts w:ascii="Times New Roman" w:cs="Times New Roman" w:eastAsia="Times New Roman" w:hAnsi="Times New Roman"/>
                <w:sz w:val="17"/>
                <w:szCs w:val="17"/>
                <w:color w:val="auto"/>
              </w:rPr>
              <w:t>Certification pursuant to Rule 13a-14(a) and Rule 15d-14(a) of the Securities Exchange Act of 1934.</w:t>
            </w:r>
          </w:p>
        </w:tc>
      </w:tr>
    </w:tbl>
    <w:p>
      <w:pPr>
        <w:spacing w:after="0" w:line="72" w:lineRule="exact"/>
        <w:rPr>
          <w:sz w:val="20"/>
          <w:szCs w:val="20"/>
          <w:color w:val="auto"/>
        </w:rPr>
      </w:pPr>
    </w:p>
    <w:p>
      <w:pPr>
        <w:ind w:left="1160" w:hanging="1139"/>
        <w:spacing w:after="0"/>
        <w:tabs>
          <w:tab w:leader="none" w:pos="1160" w:val="left"/>
        </w:tabs>
        <w:numPr>
          <w:ilvl w:val="0"/>
          <w:numId w:val="20"/>
        </w:numPr>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7"/>
          <w:szCs w:val="17"/>
          <w:color w:val="auto"/>
        </w:rPr>
        <w:t>Certification pursuant to 18 U.S.C. Section 1350 as adopted pursuant to Section 906 of the Sarbanes-Oxley Act of 2002.</w:t>
      </w:r>
    </w:p>
    <w:p>
      <w:pPr>
        <w:spacing w:after="0" w:line="77" w:lineRule="exact"/>
        <w:rPr>
          <w:sz w:val="20"/>
          <w:szCs w:val="20"/>
          <w:color w:val="auto"/>
        </w:rPr>
      </w:pPr>
    </w:p>
    <w:p>
      <w:pPr>
        <w:jc w:val="both"/>
        <w:ind w:left="1160" w:hanging="1139"/>
        <w:spacing w:after="0" w:line="242" w:lineRule="auto"/>
        <w:tabs>
          <w:tab w:leader="none" w:pos="116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following materials from NCR Voyix Corporation’s Quarterly Report on Form 10-Q for the quarter ended September 30, 2024, formatted in iXBRL (Inline Extensible Business Reporting Language): (i) our condensed consolidated statements of operations for the three and nine months ended September 30, 2024 and 2023; (ii) our condensed consolidated statements of comprehensive income for the three and nine months ended September 30, 2024 and 2023; (iii) our condensed consolidated balance sheets as of September 30, 2024 and December 31, 2023; (iv) our condensed consolidated statements of cash flows for the nine months ended September 30, 2024 and 2023; (v) our condensed consolidated statements of changes in stockholder's equity for the three and nine months ended September 30, 2024 and 2023; and (vi) the notes to our condensed consolidated financial statements.</w:t>
      </w:r>
    </w:p>
    <w:p>
      <w:pPr>
        <w:spacing w:after="0" w:line="72" w:lineRule="exact"/>
        <w:rPr>
          <w:sz w:val="20"/>
          <w:szCs w:val="20"/>
          <w:color w:val="auto"/>
        </w:rPr>
      </w:pPr>
    </w:p>
    <w:p>
      <w:pPr>
        <w:ind w:left="1160" w:hanging="1139"/>
        <w:spacing w:after="0"/>
        <w:tabs>
          <w:tab w:leader="none" w:pos="1160" w:val="left"/>
        </w:tabs>
        <w:numPr>
          <w:ilvl w:val="1"/>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Cover Page Interactive Data File, formatted in Inline XBRL and contained in Exhibit 101.</w:t>
      </w:r>
    </w:p>
    <w:p>
      <w:pPr>
        <w:spacing w:after="0" w:line="94" w:lineRule="exact"/>
        <w:rPr>
          <w:rFonts w:ascii="Times New Roman" w:cs="Times New Roman" w:eastAsia="Times New Roman" w:hAnsi="Times New Roman"/>
          <w:sz w:val="17"/>
          <w:szCs w:val="17"/>
          <w:color w:val="auto"/>
        </w:rPr>
      </w:pP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6"/>
          <w:szCs w:val="16"/>
          <w:color w:val="auto"/>
        </w:rPr>
        <w:t>* Management contracts or compensatory plans/arrangements.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7"/>
          <w:szCs w:val="17"/>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3435" cy="4191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3">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0660"/>
          </w:cols>
          <w:pgMar w:left="320" w:top="118" w:right="91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7"/>
          <w:szCs w:val="17"/>
          <w:b w:val="1"/>
          <w:bCs w:val="1"/>
          <w:color w:val="auto"/>
        </w:rPr>
        <w:t>SIGNATURES</w:t>
      </w:r>
    </w:p>
    <w:p>
      <w:pPr>
        <w:spacing w:after="0" w:line="170" w:lineRule="exact"/>
        <w:rPr>
          <w:sz w:val="20"/>
          <w:szCs w:val="20"/>
          <w:color w:val="auto"/>
        </w:rPr>
      </w:pPr>
    </w:p>
    <w:p>
      <w:pPr>
        <w:spacing w:after="0" w:line="292" w:lineRule="auto"/>
        <w:rPr>
          <w:sz w:val="20"/>
          <w:szCs w:val="20"/>
          <w:color w:val="auto"/>
        </w:rPr>
      </w:pPr>
      <w:r>
        <w:rPr>
          <w:rFonts w:ascii="Times New Roman" w:cs="Times New Roman" w:eastAsia="Times New Roman" w:hAnsi="Times New Roman"/>
          <w:sz w:val="17"/>
          <w:szCs w:val="17"/>
          <w:color w:val="auto"/>
        </w:rPr>
        <w:t>Pursuant to the requirements of the Securities Exchange Act of 1934, the registrant has duly caused this report to be signed on its behalf by the undersigned, thereunto duly authorized.</w:t>
      </w:r>
    </w:p>
    <w:p>
      <w:pPr>
        <w:spacing w:after="0" w:line="250"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7"/>
          <w:szCs w:val="17"/>
          <w:color w:val="auto"/>
        </w:rPr>
        <w:t>NCR VOYIX CORPORATION</w:t>
      </w:r>
    </w:p>
    <w:p>
      <w:pPr>
        <w:spacing w:after="0" w:line="284" w:lineRule="exact"/>
        <w:rPr>
          <w:sz w:val="20"/>
          <w:szCs w:val="20"/>
          <w:color w:val="auto"/>
        </w:rPr>
      </w:pPr>
    </w:p>
    <w:p>
      <w:pPr>
        <w:ind w:left="260"/>
        <w:spacing w:after="0"/>
        <w:tabs>
          <w:tab w:leader="none" w:pos="5600" w:val="left"/>
          <w:tab w:leader="none" w:pos="7960" w:val="left"/>
        </w:tabs>
        <w:rPr>
          <w:sz w:val="20"/>
          <w:szCs w:val="20"/>
          <w:color w:val="auto"/>
        </w:rPr>
      </w:pPr>
      <w:r>
        <w:rPr>
          <w:rFonts w:ascii="Times New Roman" w:cs="Times New Roman" w:eastAsia="Times New Roman" w:hAnsi="Times New Roman"/>
          <w:sz w:val="17"/>
          <w:szCs w:val="17"/>
          <w:color w:val="auto"/>
        </w:rPr>
        <w:t>Date: November 7, 2024</w:t>
      </w:r>
      <w:r>
        <w:rPr>
          <w:sz w:val="20"/>
          <w:szCs w:val="20"/>
          <w:color w:val="auto"/>
        </w:rPr>
        <w:tab/>
      </w:r>
      <w:r>
        <w:rPr>
          <w:rFonts w:ascii="Times New Roman" w:cs="Times New Roman" w:eastAsia="Times New Roman" w:hAnsi="Times New Roman"/>
          <w:sz w:val="17"/>
          <w:szCs w:val="17"/>
          <w:color w:val="auto"/>
        </w:rPr>
        <w:t>By:</w:t>
      </w:r>
      <w:r>
        <w:rPr>
          <w:sz w:val="20"/>
          <w:szCs w:val="20"/>
          <w:color w:val="auto"/>
        </w:rPr>
        <w:tab/>
      </w:r>
      <w:r>
        <w:rPr>
          <w:rFonts w:ascii="Times New Roman" w:cs="Times New Roman" w:eastAsia="Times New Roman" w:hAnsi="Times New Roman"/>
          <w:sz w:val="17"/>
          <w:szCs w:val="17"/>
          <w:color w:val="auto"/>
        </w:rPr>
        <w:t>/s/ Anthony Radesca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3740150</wp:posOffset>
            </wp:positionH>
            <wp:positionV relativeFrom="paragraph">
              <wp:posOffset>19050</wp:posOffset>
            </wp:positionV>
            <wp:extent cx="3383915"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4">
                      <a:extLst>
                        <a:ext uri="{28A0092B-C50C-407E-A947-70E740481C1C}"/>
                      </a:extLst>
                    </a:blip>
                    <a:srcRect/>
                    <a:stretch>
                      <a:fillRect/>
                    </a:stretch>
                  </pic:blipFill>
                  <pic:spPr bwMode="auto">
                    <a:xfrm>
                      <a:off x="0" y="0"/>
                      <a:ext cx="3383915" cy="8255"/>
                    </a:xfrm>
                    <a:prstGeom prst="rect">
                      <a:avLst/>
                    </a:prstGeom>
                    <a:noFill/>
                  </pic:spPr>
                </pic:pic>
              </a:graphicData>
            </a:graphic>
          </wp:anchor>
        </w:drawing>
      </w:r>
    </w:p>
    <w:p>
      <w:pPr>
        <w:spacing w:after="0" w:line="11" w:lineRule="exact"/>
        <w:rPr>
          <w:sz w:val="20"/>
          <w:szCs w:val="20"/>
          <w:color w:val="auto"/>
        </w:rPr>
      </w:pPr>
    </w:p>
    <w:p>
      <w:pPr>
        <w:ind w:left="8180"/>
        <w:spacing w:after="0"/>
        <w:rPr>
          <w:sz w:val="20"/>
          <w:szCs w:val="20"/>
          <w:color w:val="auto"/>
        </w:rPr>
      </w:pPr>
      <w:r>
        <w:rPr>
          <w:rFonts w:ascii="Times New Roman" w:cs="Times New Roman" w:eastAsia="Times New Roman" w:hAnsi="Times New Roman"/>
          <w:sz w:val="14"/>
          <w:szCs w:val="14"/>
          <w:b w:val="1"/>
          <w:bCs w:val="1"/>
          <w:color w:val="auto"/>
        </w:rPr>
        <w:t>Anthony Radesca</w:t>
      </w:r>
    </w:p>
    <w:p>
      <w:pPr>
        <w:ind w:left="7280"/>
        <w:spacing w:after="0" w:line="193" w:lineRule="auto"/>
        <w:rPr>
          <w:sz w:val="20"/>
          <w:szCs w:val="20"/>
          <w:color w:val="auto"/>
        </w:rPr>
      </w:pPr>
      <w:r>
        <w:rPr>
          <w:rFonts w:ascii="Times New Roman" w:cs="Times New Roman" w:eastAsia="Times New Roman" w:hAnsi="Times New Roman"/>
          <w:sz w:val="14"/>
          <w:szCs w:val="14"/>
          <w:b w:val="1"/>
          <w:bCs w:val="1"/>
          <w:color w:val="auto"/>
        </w:rPr>
        <w:t>Senior Vice President, Chief Accounting Officer</w:t>
      </w:r>
    </w:p>
    <w:p>
      <w:pPr>
        <w:ind w:left="7780"/>
        <w:spacing w:after="0"/>
        <w:rPr>
          <w:sz w:val="20"/>
          <w:szCs w:val="20"/>
          <w:color w:val="auto"/>
        </w:rPr>
      </w:pPr>
      <w:r>
        <w:rPr>
          <w:rFonts w:ascii="Times New Roman" w:cs="Times New Roman" w:eastAsia="Times New Roman" w:hAnsi="Times New Roman"/>
          <w:sz w:val="14"/>
          <w:szCs w:val="14"/>
          <w:b w:val="1"/>
          <w:bCs w:val="1"/>
          <w:color w:val="auto"/>
        </w:rPr>
        <w:t>(Principal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7"/>
          <w:szCs w:val="17"/>
          <w:color w:val="auto"/>
        </w:rPr>
        <w:t>63</w:t>
      </w:r>
    </w:p>
    <w:p>
      <w:pPr>
        <w:sectPr>
          <w:pgSz w:w="11900" w:h="16838" w:orient="portrait"/>
          <w:cols w:equalWidth="0" w:num="1">
            <w:col w:w="10800"/>
          </w:cols>
          <w:pgMar w:left="320" w:top="118" w:right="779" w:bottom="1440" w:gutter="0" w:footer="0" w:header="0"/>
        </w:sectPr>
      </w:pPr>
    </w:p>
    <w:bookmarkStart w:id="64" w:name="page65"/>
    <w:bookmarkEnd w:id="64"/>
    <w:p>
      <w:pPr>
        <w:jc w:val="right"/>
        <w:spacing w:after="0"/>
        <w:rPr>
          <w:sz w:val="20"/>
          <w:szCs w:val="20"/>
          <w:color w:val="auto"/>
        </w:rPr>
      </w:pPr>
      <w:r>
        <w:rPr>
          <w:rFonts w:ascii="Times New Roman" w:cs="Times New Roman" w:eastAsia="Times New Roman" w:hAnsi="Times New Roman"/>
          <w:sz w:val="17"/>
          <w:szCs w:val="17"/>
          <w:b w:val="1"/>
          <w:bCs w:val="1"/>
          <w:color w:val="auto"/>
        </w:rPr>
        <w:t>Exhibit 31.1</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CERTIFICATION</w:t>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 David Wilkinson, certify that:</w:t>
      </w:r>
    </w:p>
    <w:p>
      <w:pPr>
        <w:spacing w:after="0" w:line="90" w:lineRule="exact"/>
        <w:rPr>
          <w:sz w:val="20"/>
          <w:szCs w:val="20"/>
          <w:color w:val="auto"/>
        </w:rPr>
      </w:pPr>
    </w:p>
    <w:p>
      <w:pPr>
        <w:ind w:left="180" w:hanging="176"/>
        <w:spacing w:after="0"/>
        <w:tabs>
          <w:tab w:leader="none" w:pos="18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have reviewed this Quarterly Report on Form 10-Q of NCR Voyix Corporation;</w:t>
      </w:r>
    </w:p>
    <w:p>
      <w:pPr>
        <w:spacing w:after="0" w:line="102" w:lineRule="exact"/>
        <w:rPr>
          <w:rFonts w:ascii="Times New Roman" w:cs="Times New Roman" w:eastAsia="Times New Roman" w:hAnsi="Times New Roman"/>
          <w:sz w:val="17"/>
          <w:szCs w:val="17"/>
          <w:color w:val="auto"/>
        </w:rPr>
      </w:pPr>
    </w:p>
    <w:p>
      <w:pPr>
        <w:ind w:right="240" w:firstLine="4"/>
        <w:spacing w:after="0" w:line="292" w:lineRule="auto"/>
        <w:tabs>
          <w:tab w:leader="none" w:pos="173"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9" w:lineRule="exact"/>
        <w:rPr>
          <w:rFonts w:ascii="Times New Roman" w:cs="Times New Roman" w:eastAsia="Times New Roman" w:hAnsi="Times New Roman"/>
          <w:sz w:val="17"/>
          <w:szCs w:val="17"/>
          <w:color w:val="auto"/>
        </w:rPr>
      </w:pPr>
    </w:p>
    <w:p>
      <w:pPr>
        <w:ind w:right="320" w:firstLine="4"/>
        <w:spacing w:after="0" w:line="292" w:lineRule="auto"/>
        <w:tabs>
          <w:tab w:leader="none" w:pos="173"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 w:lineRule="exact"/>
        <w:rPr>
          <w:rFonts w:ascii="Times New Roman" w:cs="Times New Roman" w:eastAsia="Times New Roman" w:hAnsi="Times New Roman"/>
          <w:sz w:val="17"/>
          <w:szCs w:val="17"/>
          <w:color w:val="auto"/>
        </w:rPr>
      </w:pPr>
    </w:p>
    <w:p>
      <w:pPr>
        <w:ind w:firstLine="4"/>
        <w:spacing w:after="0" w:line="284" w:lineRule="auto"/>
        <w:tabs>
          <w:tab w:leader="none" w:pos="173"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50" w:lineRule="exact"/>
        <w:rPr>
          <w:rFonts w:ascii="Times New Roman" w:cs="Times New Roman" w:eastAsia="Times New Roman" w:hAnsi="Times New Roman"/>
          <w:sz w:val="17"/>
          <w:szCs w:val="17"/>
          <w:color w:val="auto"/>
        </w:rPr>
      </w:pPr>
    </w:p>
    <w:p>
      <w:pPr>
        <w:ind w:left="320" w:right="80" w:hanging="5"/>
        <w:spacing w:after="0" w:line="273" w:lineRule="auto"/>
        <w:tabs>
          <w:tab w:leader="none" w:pos="498" w:val="left"/>
        </w:tabs>
        <w:numPr>
          <w:ilvl w:val="1"/>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5" w:lineRule="exact"/>
        <w:rPr>
          <w:rFonts w:ascii="Times New Roman" w:cs="Times New Roman" w:eastAsia="Times New Roman" w:hAnsi="Times New Roman"/>
          <w:sz w:val="17"/>
          <w:szCs w:val="17"/>
          <w:color w:val="auto"/>
        </w:rPr>
      </w:pPr>
    </w:p>
    <w:p>
      <w:pPr>
        <w:jc w:val="both"/>
        <w:ind w:left="320" w:right="240" w:hanging="5"/>
        <w:spacing w:after="0" w:line="273" w:lineRule="auto"/>
        <w:tabs>
          <w:tab w:leader="none" w:pos="507" w:val="left"/>
        </w:tabs>
        <w:numPr>
          <w:ilvl w:val="1"/>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33" w:lineRule="exact"/>
        <w:rPr>
          <w:rFonts w:ascii="Times New Roman" w:cs="Times New Roman" w:eastAsia="Times New Roman" w:hAnsi="Times New Roman"/>
          <w:sz w:val="17"/>
          <w:szCs w:val="17"/>
          <w:color w:val="auto"/>
        </w:rPr>
      </w:pPr>
    </w:p>
    <w:p>
      <w:pPr>
        <w:ind w:left="320" w:right="40" w:hanging="5"/>
        <w:spacing w:after="0" w:line="292" w:lineRule="auto"/>
        <w:tabs>
          <w:tab w:leader="none" w:pos="498" w:val="left"/>
        </w:tabs>
        <w:numPr>
          <w:ilvl w:val="1"/>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9" w:lineRule="exact"/>
        <w:rPr>
          <w:rFonts w:ascii="Times New Roman" w:cs="Times New Roman" w:eastAsia="Times New Roman" w:hAnsi="Times New Roman"/>
          <w:sz w:val="17"/>
          <w:szCs w:val="17"/>
          <w:color w:val="auto"/>
        </w:rPr>
      </w:pPr>
    </w:p>
    <w:p>
      <w:pPr>
        <w:jc w:val="both"/>
        <w:ind w:left="320" w:right="520" w:hanging="5"/>
        <w:spacing w:after="0" w:line="273" w:lineRule="auto"/>
        <w:tabs>
          <w:tab w:leader="none" w:pos="507" w:val="left"/>
        </w:tabs>
        <w:numPr>
          <w:ilvl w:val="1"/>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5" w:lineRule="exact"/>
        <w:rPr>
          <w:rFonts w:ascii="Times New Roman" w:cs="Times New Roman" w:eastAsia="Times New Roman" w:hAnsi="Times New Roman"/>
          <w:sz w:val="17"/>
          <w:szCs w:val="17"/>
          <w:color w:val="auto"/>
        </w:rPr>
      </w:pPr>
    </w:p>
    <w:p>
      <w:pPr>
        <w:ind w:right="720" w:firstLine="4"/>
        <w:spacing w:after="0" w:line="292" w:lineRule="auto"/>
        <w:tabs>
          <w:tab w:leader="none" w:pos="173"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 w:lineRule="exact"/>
        <w:rPr>
          <w:rFonts w:ascii="Times New Roman" w:cs="Times New Roman" w:eastAsia="Times New Roman" w:hAnsi="Times New Roman"/>
          <w:sz w:val="17"/>
          <w:szCs w:val="17"/>
          <w:color w:val="auto"/>
        </w:rPr>
      </w:pPr>
    </w:p>
    <w:p>
      <w:pPr>
        <w:ind w:left="320" w:right="240" w:hanging="5"/>
        <w:spacing w:after="0" w:line="292" w:lineRule="auto"/>
        <w:tabs>
          <w:tab w:leader="none" w:pos="498" w:val="left"/>
        </w:tabs>
        <w:numPr>
          <w:ilvl w:val="1"/>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9" w:lineRule="exact"/>
        <w:rPr>
          <w:rFonts w:ascii="Times New Roman" w:cs="Times New Roman" w:eastAsia="Times New Roman" w:hAnsi="Times New Roman"/>
          <w:sz w:val="17"/>
          <w:szCs w:val="17"/>
          <w:color w:val="auto"/>
        </w:rPr>
      </w:pPr>
    </w:p>
    <w:p>
      <w:pPr>
        <w:ind w:left="320" w:right="460" w:hanging="5"/>
        <w:spacing w:after="0" w:line="292" w:lineRule="auto"/>
        <w:tabs>
          <w:tab w:leader="none" w:pos="507" w:val="left"/>
        </w:tabs>
        <w:numPr>
          <w:ilvl w:val="1"/>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fraud, whether or not material, that involves management or other employees who have a significant role in the registrant’s internal control over financial reporting.</w:t>
      </w:r>
    </w:p>
    <w:p>
      <w:pPr>
        <w:spacing w:after="0" w:line="69" w:lineRule="exact"/>
        <w:rPr>
          <w:sz w:val="20"/>
          <w:szCs w:val="20"/>
          <w:color w:val="auto"/>
        </w:rPr>
      </w:pPr>
    </w:p>
    <w:p>
      <w:pPr>
        <w:ind w:left="280"/>
        <w:spacing w:after="0"/>
        <w:tabs>
          <w:tab w:leader="none" w:pos="7720" w:val="left"/>
        </w:tabs>
        <w:rPr>
          <w:sz w:val="20"/>
          <w:szCs w:val="20"/>
          <w:color w:val="auto"/>
        </w:rPr>
      </w:pPr>
      <w:r>
        <w:rPr>
          <w:rFonts w:ascii="Times New Roman" w:cs="Times New Roman" w:eastAsia="Times New Roman" w:hAnsi="Times New Roman"/>
          <w:sz w:val="17"/>
          <w:szCs w:val="17"/>
          <w:color w:val="auto"/>
        </w:rPr>
        <w:t>Date: November 7, 2024</w:t>
      </w:r>
      <w:r>
        <w:rPr>
          <w:sz w:val="20"/>
          <w:szCs w:val="20"/>
          <w:color w:val="auto"/>
        </w:rPr>
        <w:tab/>
      </w:r>
      <w:r>
        <w:rPr>
          <w:rFonts w:ascii="Times New Roman" w:cs="Times New Roman" w:eastAsia="Times New Roman" w:hAnsi="Times New Roman"/>
          <w:sz w:val="17"/>
          <w:szCs w:val="17"/>
          <w:color w:val="auto"/>
        </w:rPr>
        <w:t>/s/ David Wilkinson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3575050</wp:posOffset>
            </wp:positionH>
            <wp:positionV relativeFrom="paragraph">
              <wp:posOffset>19050</wp:posOffset>
            </wp:positionV>
            <wp:extent cx="3556635"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5">
                      <a:extLst>
                        <a:ext uri="{28A0092B-C50C-407E-A947-70E740481C1C}"/>
                      </a:extLst>
                    </a:blip>
                    <a:srcRect/>
                    <a:stretch>
                      <a:fillRect/>
                    </a:stretch>
                  </pic:blipFill>
                  <pic:spPr bwMode="auto">
                    <a:xfrm>
                      <a:off x="0" y="0"/>
                      <a:ext cx="3556635" cy="8255"/>
                    </a:xfrm>
                    <a:prstGeom prst="rect">
                      <a:avLst/>
                    </a:prstGeom>
                    <a:noFill/>
                  </pic:spPr>
                </pic:pic>
              </a:graphicData>
            </a:graphic>
          </wp:anchor>
        </w:drawing>
      </w:r>
    </w:p>
    <w:p>
      <w:pPr>
        <w:spacing w:after="0" w:line="1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7"/>
          <w:szCs w:val="17"/>
          <w:color w:val="auto"/>
        </w:rPr>
        <w:t>David Wilkinson</w:t>
      </w:r>
    </w:p>
    <w:p>
      <w:pPr>
        <w:spacing w:after="0" w:line="3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7"/>
          <w:szCs w:val="17"/>
          <w:color w:val="auto"/>
        </w:rPr>
        <w:t>Chief Executive Officer</w:t>
      </w:r>
    </w:p>
    <w:p>
      <w:pPr>
        <w:sectPr>
          <w:pgSz w:w="11900" w:h="16838" w:orient="portrait"/>
          <w:cols w:equalWidth="0" w:num="1">
            <w:col w:w="11240"/>
          </w:cols>
          <w:pgMar w:left="320" w:top="949" w:right="339" w:bottom="1440" w:gutter="0" w:footer="0" w:header="0"/>
        </w:sectPr>
      </w:pPr>
    </w:p>
    <w:bookmarkStart w:id="65" w:name="page66"/>
    <w:bookmarkEnd w:id="65"/>
    <w:p>
      <w:pPr>
        <w:jc w:val="right"/>
        <w:spacing w:after="0"/>
        <w:rPr>
          <w:sz w:val="20"/>
          <w:szCs w:val="20"/>
          <w:color w:val="auto"/>
        </w:rPr>
      </w:pPr>
      <w:r>
        <w:rPr>
          <w:rFonts w:ascii="Times New Roman" w:cs="Times New Roman" w:eastAsia="Times New Roman" w:hAnsi="Times New Roman"/>
          <w:sz w:val="17"/>
          <w:szCs w:val="17"/>
          <w:b w:val="1"/>
          <w:bCs w:val="1"/>
          <w:color w:val="auto"/>
        </w:rPr>
        <w:t>Exhibit 31.2</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CERTIFICATION</w:t>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 Brian Webb-Walsh, certify that:</w:t>
      </w:r>
    </w:p>
    <w:p>
      <w:pPr>
        <w:spacing w:after="0" w:line="90" w:lineRule="exact"/>
        <w:rPr>
          <w:sz w:val="20"/>
          <w:szCs w:val="20"/>
          <w:color w:val="auto"/>
        </w:rPr>
      </w:pPr>
    </w:p>
    <w:p>
      <w:pPr>
        <w:ind w:left="180" w:hanging="176"/>
        <w:spacing w:after="0"/>
        <w:tabs>
          <w:tab w:leader="none" w:pos="18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have reviewed this Quarterly Report on Form 10-Q of NCR Voyix Corporation;</w:t>
      </w:r>
    </w:p>
    <w:p>
      <w:pPr>
        <w:spacing w:after="0" w:line="102" w:lineRule="exact"/>
        <w:rPr>
          <w:rFonts w:ascii="Times New Roman" w:cs="Times New Roman" w:eastAsia="Times New Roman" w:hAnsi="Times New Roman"/>
          <w:sz w:val="17"/>
          <w:szCs w:val="17"/>
          <w:color w:val="auto"/>
        </w:rPr>
      </w:pPr>
    </w:p>
    <w:p>
      <w:pPr>
        <w:ind w:right="240" w:firstLine="4"/>
        <w:spacing w:after="0" w:line="292" w:lineRule="auto"/>
        <w:tabs>
          <w:tab w:leader="none" w:pos="173"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9" w:lineRule="exact"/>
        <w:rPr>
          <w:rFonts w:ascii="Times New Roman" w:cs="Times New Roman" w:eastAsia="Times New Roman" w:hAnsi="Times New Roman"/>
          <w:sz w:val="17"/>
          <w:szCs w:val="17"/>
          <w:color w:val="auto"/>
        </w:rPr>
      </w:pPr>
    </w:p>
    <w:p>
      <w:pPr>
        <w:ind w:right="320" w:firstLine="4"/>
        <w:spacing w:after="0" w:line="292" w:lineRule="auto"/>
        <w:tabs>
          <w:tab w:leader="none" w:pos="173"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 w:lineRule="exact"/>
        <w:rPr>
          <w:rFonts w:ascii="Times New Roman" w:cs="Times New Roman" w:eastAsia="Times New Roman" w:hAnsi="Times New Roman"/>
          <w:sz w:val="17"/>
          <w:szCs w:val="17"/>
          <w:color w:val="auto"/>
        </w:rPr>
      </w:pPr>
    </w:p>
    <w:p>
      <w:pPr>
        <w:ind w:firstLine="4"/>
        <w:spacing w:after="0" w:line="284" w:lineRule="auto"/>
        <w:tabs>
          <w:tab w:leader="none" w:pos="173"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50" w:lineRule="exact"/>
        <w:rPr>
          <w:rFonts w:ascii="Times New Roman" w:cs="Times New Roman" w:eastAsia="Times New Roman" w:hAnsi="Times New Roman"/>
          <w:sz w:val="17"/>
          <w:szCs w:val="17"/>
          <w:color w:val="auto"/>
        </w:rPr>
      </w:pPr>
    </w:p>
    <w:p>
      <w:pPr>
        <w:ind w:left="320" w:right="80" w:hanging="5"/>
        <w:spacing w:after="0" w:line="273" w:lineRule="auto"/>
        <w:tabs>
          <w:tab w:leader="none" w:pos="498" w:val="left"/>
        </w:tabs>
        <w:numPr>
          <w:ilvl w:val="1"/>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5" w:lineRule="exact"/>
        <w:rPr>
          <w:rFonts w:ascii="Times New Roman" w:cs="Times New Roman" w:eastAsia="Times New Roman" w:hAnsi="Times New Roman"/>
          <w:sz w:val="17"/>
          <w:szCs w:val="17"/>
          <w:color w:val="auto"/>
        </w:rPr>
      </w:pPr>
    </w:p>
    <w:p>
      <w:pPr>
        <w:jc w:val="both"/>
        <w:ind w:left="320" w:right="240" w:hanging="5"/>
        <w:spacing w:after="0" w:line="273" w:lineRule="auto"/>
        <w:tabs>
          <w:tab w:leader="none" w:pos="507" w:val="left"/>
        </w:tabs>
        <w:numPr>
          <w:ilvl w:val="1"/>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33" w:lineRule="exact"/>
        <w:rPr>
          <w:rFonts w:ascii="Times New Roman" w:cs="Times New Roman" w:eastAsia="Times New Roman" w:hAnsi="Times New Roman"/>
          <w:sz w:val="17"/>
          <w:szCs w:val="17"/>
          <w:color w:val="auto"/>
        </w:rPr>
      </w:pPr>
    </w:p>
    <w:p>
      <w:pPr>
        <w:ind w:left="320" w:right="40" w:hanging="5"/>
        <w:spacing w:after="0" w:line="292" w:lineRule="auto"/>
        <w:tabs>
          <w:tab w:leader="none" w:pos="498" w:val="left"/>
        </w:tabs>
        <w:numPr>
          <w:ilvl w:val="1"/>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9" w:lineRule="exact"/>
        <w:rPr>
          <w:rFonts w:ascii="Times New Roman" w:cs="Times New Roman" w:eastAsia="Times New Roman" w:hAnsi="Times New Roman"/>
          <w:sz w:val="17"/>
          <w:szCs w:val="17"/>
          <w:color w:val="auto"/>
        </w:rPr>
      </w:pPr>
    </w:p>
    <w:p>
      <w:pPr>
        <w:jc w:val="both"/>
        <w:ind w:left="320" w:right="520" w:hanging="5"/>
        <w:spacing w:after="0" w:line="273" w:lineRule="auto"/>
        <w:tabs>
          <w:tab w:leader="none" w:pos="507" w:val="left"/>
        </w:tabs>
        <w:numPr>
          <w:ilvl w:val="1"/>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5" w:lineRule="exact"/>
        <w:rPr>
          <w:rFonts w:ascii="Times New Roman" w:cs="Times New Roman" w:eastAsia="Times New Roman" w:hAnsi="Times New Roman"/>
          <w:sz w:val="17"/>
          <w:szCs w:val="17"/>
          <w:color w:val="auto"/>
        </w:rPr>
      </w:pPr>
    </w:p>
    <w:p>
      <w:pPr>
        <w:ind w:right="720" w:firstLine="4"/>
        <w:spacing w:after="0" w:line="292" w:lineRule="auto"/>
        <w:tabs>
          <w:tab w:leader="none" w:pos="173"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 w:lineRule="exact"/>
        <w:rPr>
          <w:rFonts w:ascii="Times New Roman" w:cs="Times New Roman" w:eastAsia="Times New Roman" w:hAnsi="Times New Roman"/>
          <w:sz w:val="17"/>
          <w:szCs w:val="17"/>
          <w:color w:val="auto"/>
        </w:rPr>
      </w:pPr>
    </w:p>
    <w:p>
      <w:pPr>
        <w:ind w:left="320" w:right="240" w:hanging="5"/>
        <w:spacing w:after="0" w:line="292" w:lineRule="auto"/>
        <w:tabs>
          <w:tab w:leader="none" w:pos="498" w:val="left"/>
        </w:tabs>
        <w:numPr>
          <w:ilvl w:val="1"/>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9" w:lineRule="exact"/>
        <w:rPr>
          <w:rFonts w:ascii="Times New Roman" w:cs="Times New Roman" w:eastAsia="Times New Roman" w:hAnsi="Times New Roman"/>
          <w:sz w:val="17"/>
          <w:szCs w:val="17"/>
          <w:color w:val="auto"/>
        </w:rPr>
      </w:pPr>
    </w:p>
    <w:p>
      <w:pPr>
        <w:ind w:left="320" w:right="460" w:hanging="5"/>
        <w:spacing w:after="0" w:line="292" w:lineRule="auto"/>
        <w:tabs>
          <w:tab w:leader="none" w:pos="507" w:val="left"/>
        </w:tabs>
        <w:numPr>
          <w:ilvl w:val="1"/>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fraud, whether or not material, that involves management or other employees who have a significant role in the registrant’s internal control over financial reporting.</w:t>
      </w:r>
    </w:p>
    <w:p>
      <w:pPr>
        <w:spacing w:after="0" w:line="224" w:lineRule="exact"/>
        <w:rPr>
          <w:sz w:val="20"/>
          <w:szCs w:val="20"/>
          <w:color w:val="auto"/>
        </w:rPr>
      </w:pPr>
    </w:p>
    <w:p>
      <w:pPr>
        <w:ind w:left="280"/>
        <w:spacing w:after="0"/>
        <w:tabs>
          <w:tab w:leader="none" w:pos="7640" w:val="left"/>
        </w:tabs>
        <w:rPr>
          <w:sz w:val="20"/>
          <w:szCs w:val="20"/>
          <w:color w:val="auto"/>
        </w:rPr>
      </w:pPr>
      <w:r>
        <w:rPr>
          <w:rFonts w:ascii="Times New Roman" w:cs="Times New Roman" w:eastAsia="Times New Roman" w:hAnsi="Times New Roman"/>
          <w:sz w:val="17"/>
          <w:szCs w:val="17"/>
          <w:color w:val="auto"/>
        </w:rPr>
        <w:t>Date: November 7, 2024</w:t>
      </w:r>
      <w:r>
        <w:rPr>
          <w:sz w:val="20"/>
          <w:szCs w:val="20"/>
          <w:color w:val="auto"/>
        </w:rPr>
        <w:tab/>
      </w:r>
      <w:r>
        <w:rPr>
          <w:rFonts w:ascii="Times New Roman" w:cs="Times New Roman" w:eastAsia="Times New Roman" w:hAnsi="Times New Roman"/>
          <w:sz w:val="16"/>
          <w:szCs w:val="16"/>
          <w:color w:val="auto"/>
        </w:rPr>
        <w:t>/s/ Brian Webb-Walsh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3575050</wp:posOffset>
            </wp:positionH>
            <wp:positionV relativeFrom="paragraph">
              <wp:posOffset>19050</wp:posOffset>
            </wp:positionV>
            <wp:extent cx="3556635"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6">
                      <a:extLst>
                        <a:ext uri="{28A0092B-C50C-407E-A947-70E740481C1C}"/>
                      </a:extLst>
                    </a:blip>
                    <a:srcRect/>
                    <a:stretch>
                      <a:fillRect/>
                    </a:stretch>
                  </pic:blipFill>
                  <pic:spPr bwMode="auto">
                    <a:xfrm>
                      <a:off x="0" y="0"/>
                      <a:ext cx="3556635" cy="8255"/>
                    </a:xfrm>
                    <a:prstGeom prst="rect">
                      <a:avLst/>
                    </a:prstGeom>
                    <a:noFill/>
                  </pic:spPr>
                </pic:pic>
              </a:graphicData>
            </a:graphic>
          </wp:anchor>
        </w:drawing>
      </w:r>
    </w:p>
    <w:p>
      <w:pPr>
        <w:spacing w:after="0" w:line="1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7"/>
          <w:szCs w:val="17"/>
          <w:color w:val="auto"/>
        </w:rPr>
        <w:t>Brian Webb-Walsh</w:t>
      </w:r>
    </w:p>
    <w:p>
      <w:pPr>
        <w:spacing w:after="0" w:line="3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7"/>
          <w:szCs w:val="17"/>
          <w:color w:val="auto"/>
        </w:rPr>
        <w:t>Executive Vice President and Chief Financial Officer</w:t>
      </w:r>
    </w:p>
    <w:p>
      <w:pPr>
        <w:sectPr>
          <w:pgSz w:w="11900" w:h="16838" w:orient="portrait"/>
          <w:cols w:equalWidth="0" w:num="1">
            <w:col w:w="11240"/>
          </w:cols>
          <w:pgMar w:left="320" w:top="949" w:right="339" w:bottom="1440" w:gutter="0" w:footer="0" w:header="0"/>
        </w:sectPr>
      </w:pPr>
    </w:p>
    <w:bookmarkStart w:id="66" w:name="page67"/>
    <w:bookmarkEnd w:id="66"/>
    <w:p>
      <w:pPr>
        <w:jc w:val="right"/>
        <w:spacing w:after="0"/>
        <w:rPr>
          <w:sz w:val="20"/>
          <w:szCs w:val="20"/>
          <w:color w:val="auto"/>
        </w:rPr>
      </w:pPr>
      <w:r>
        <w:rPr>
          <w:rFonts w:ascii="Times New Roman" w:cs="Times New Roman" w:eastAsia="Times New Roman" w:hAnsi="Times New Roman"/>
          <w:sz w:val="17"/>
          <w:szCs w:val="17"/>
          <w:b w:val="1"/>
          <w:bCs w:val="1"/>
          <w:color w:val="auto"/>
        </w:rPr>
        <w:t>Exhibit 32</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CERTIFICATION PURSUANT TO</w:t>
      </w:r>
    </w:p>
    <w:p>
      <w:pPr>
        <w:spacing w:after="0" w:line="1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18 U.S.C. SECTION 1350</w:t>
      </w:r>
    </w:p>
    <w:p>
      <w:pPr>
        <w:spacing w:after="0" w:line="1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AS ADOPTED PURSUANT TO</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SECTION 906 OF THE SARBANES-OXLEY ACT OF 2002</w:t>
      </w:r>
    </w:p>
    <w:p>
      <w:pPr>
        <w:spacing w:after="0" w:line="105" w:lineRule="exact"/>
        <w:rPr>
          <w:sz w:val="20"/>
          <w:szCs w:val="20"/>
          <w:color w:val="auto"/>
        </w:rPr>
      </w:pPr>
    </w:p>
    <w:p>
      <w:pPr>
        <w:ind w:right="60"/>
        <w:spacing w:after="0" w:line="273" w:lineRule="auto"/>
        <w:rPr>
          <w:sz w:val="20"/>
          <w:szCs w:val="20"/>
          <w:color w:val="auto"/>
        </w:rPr>
      </w:pPr>
      <w:r>
        <w:rPr>
          <w:rFonts w:ascii="Times New Roman" w:cs="Times New Roman" w:eastAsia="Times New Roman" w:hAnsi="Times New Roman"/>
          <w:sz w:val="17"/>
          <w:szCs w:val="17"/>
          <w:color w:val="auto"/>
        </w:rPr>
        <w:t>In connection with the Quarterly Report on Form 10-Q of NCR Voyix Corporation (the “Company”) for the period ending September 30, 2024 as filed with the U.S. Securities and Exchange Commission on the date hereof (the “Report”), each of the undersigned officers of the Company does hereby certify, pursuant to 18 U.S.C. § 1350 (section 906 of the Sarbanes-Oxley Act of 2002), that:</w:t>
      </w:r>
    </w:p>
    <w:p>
      <w:pPr>
        <w:spacing w:after="0" w:line="46" w:lineRule="exact"/>
        <w:rPr>
          <w:sz w:val="20"/>
          <w:szCs w:val="20"/>
          <w:color w:val="auto"/>
        </w:rPr>
      </w:pPr>
    </w:p>
    <w:p>
      <w:pPr>
        <w:ind w:left="780" w:hanging="310"/>
        <w:spacing w:after="0"/>
        <w:tabs>
          <w:tab w:leader="none" w:pos="78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Report fully complies with the requirements of section 13(a) or 15(d) of the Securities Exchange Act of 1934; and</w:t>
      </w:r>
    </w:p>
    <w:p>
      <w:pPr>
        <w:spacing w:after="0" w:line="89" w:lineRule="exact"/>
        <w:rPr>
          <w:rFonts w:ascii="Times New Roman" w:cs="Times New Roman" w:eastAsia="Times New Roman" w:hAnsi="Times New Roman"/>
          <w:sz w:val="17"/>
          <w:szCs w:val="17"/>
          <w:color w:val="auto"/>
        </w:rPr>
      </w:pPr>
    </w:p>
    <w:p>
      <w:pPr>
        <w:ind w:left="780" w:hanging="310"/>
        <w:spacing w:after="0"/>
        <w:tabs>
          <w:tab w:leader="none" w:pos="78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information contained in the Report fairly presents, in all material respects, the financial condition and result of operations of the Company.</w:t>
      </w:r>
    </w:p>
    <w:p>
      <w:pPr>
        <w:spacing w:after="0" w:line="1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The foregoing certification (i) is given to such officers’ knowledge, based upon such officers’ investigation as such officers reasonably deem appropriate; and</w:t>
      </w:r>
    </w:p>
    <w:p>
      <w:pPr>
        <w:spacing w:after="0" w:line="31" w:lineRule="exact"/>
        <w:rPr>
          <w:sz w:val="20"/>
          <w:szCs w:val="20"/>
          <w:color w:val="auto"/>
        </w:rPr>
      </w:pPr>
    </w:p>
    <w:p>
      <w:pPr>
        <w:ind w:right="380" w:firstLine="4"/>
        <w:spacing w:after="0" w:line="269" w:lineRule="auto"/>
        <w:tabs>
          <w:tab w:leader="none" w:pos="254"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is being furnished solely pursuant to 18 U.S.C. § 1350 (section 906 of the Sarbanes-Oxley Act of 2002) and is not being filed as part of the Report or as a separate disclosure document.</w:t>
      </w:r>
    </w:p>
    <w:p>
      <w:pPr>
        <w:spacing w:after="0" w:line="88" w:lineRule="exact"/>
        <w:rPr>
          <w:sz w:val="20"/>
          <w:szCs w:val="20"/>
          <w:color w:val="auto"/>
        </w:rPr>
      </w:pPr>
    </w:p>
    <w:tbl>
      <w:tblPr>
        <w:tblLayout w:type="fixed"/>
        <w:tblInd w:w="280" w:type="dxa"/>
        <w:tblCellMar>
          <w:top w:w="0" w:type="dxa"/>
          <w:left w:w="0" w:type="dxa"/>
          <w:bottom w:w="0" w:type="dxa"/>
          <w:right w:w="0" w:type="dxa"/>
        </w:tblCellMar>
      </w:tblPr>
      <w:tr>
        <w:trPr>
          <w:trHeight w:val="226"/>
        </w:trPr>
        <w:tc>
          <w:tcPr>
            <w:tcW w:w="5360" w:type="dxa"/>
            <w:vAlign w:val="bottom"/>
          </w:tcPr>
          <w:p>
            <w:pPr>
              <w:spacing w:after="0"/>
              <w:rPr>
                <w:sz w:val="20"/>
                <w:szCs w:val="20"/>
                <w:color w:val="auto"/>
              </w:rPr>
            </w:pPr>
            <w:r>
              <w:rPr>
                <w:rFonts w:ascii="Times New Roman" w:cs="Times New Roman" w:eastAsia="Times New Roman" w:hAnsi="Times New Roman"/>
                <w:sz w:val="17"/>
                <w:szCs w:val="17"/>
                <w:color w:val="auto"/>
              </w:rPr>
              <w:t>Dated: November 7, 2024</w:t>
            </w:r>
          </w:p>
        </w:tc>
        <w:tc>
          <w:tcPr>
            <w:tcW w:w="5600" w:type="dxa"/>
            <w:vAlign w:val="bottom"/>
            <w:tcBorders>
              <w:bottom w:val="single" w:sz="8" w:color="auto"/>
            </w:tcBorders>
          </w:tcPr>
          <w:p>
            <w:pPr>
              <w:ind w:left="2100"/>
              <w:spacing w:after="0"/>
              <w:rPr>
                <w:sz w:val="20"/>
                <w:szCs w:val="20"/>
                <w:color w:val="auto"/>
              </w:rPr>
            </w:pPr>
            <w:r>
              <w:rPr>
                <w:rFonts w:ascii="Times New Roman" w:cs="Times New Roman" w:eastAsia="Times New Roman" w:hAnsi="Times New Roman"/>
                <w:sz w:val="17"/>
                <w:szCs w:val="17"/>
                <w:color w:val="auto"/>
              </w:rPr>
              <w:t>/s/ David Wilkinson</w:t>
            </w:r>
          </w:p>
        </w:tc>
      </w:tr>
      <w:tr>
        <w:trPr>
          <w:trHeight w:val="208"/>
        </w:trPr>
        <w:tc>
          <w:tcPr>
            <w:tcW w:w="536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Times New Roman" w:cs="Times New Roman" w:eastAsia="Times New Roman" w:hAnsi="Times New Roman"/>
                <w:sz w:val="17"/>
                <w:szCs w:val="17"/>
                <w:color w:val="auto"/>
              </w:rPr>
              <w:t>David Wilkinson</w:t>
            </w:r>
          </w:p>
        </w:tc>
      </w:tr>
      <w:tr>
        <w:trPr>
          <w:trHeight w:val="226"/>
        </w:trPr>
        <w:tc>
          <w:tcPr>
            <w:tcW w:w="5360" w:type="dxa"/>
            <w:vAlign w:val="bottom"/>
          </w:tcPr>
          <w:p>
            <w:pPr>
              <w:spacing w:after="0"/>
              <w:rPr>
                <w:sz w:val="19"/>
                <w:szCs w:val="19"/>
                <w:color w:val="auto"/>
              </w:rPr>
            </w:pPr>
          </w:p>
        </w:tc>
        <w:tc>
          <w:tcPr>
            <w:tcW w:w="5600" w:type="dxa"/>
            <w:vAlign w:val="bottom"/>
          </w:tcPr>
          <w:p>
            <w:pPr>
              <w:spacing w:after="0"/>
              <w:rPr>
                <w:sz w:val="20"/>
                <w:szCs w:val="20"/>
                <w:color w:val="auto"/>
              </w:rPr>
            </w:pPr>
            <w:r>
              <w:rPr>
                <w:rFonts w:ascii="Times New Roman" w:cs="Times New Roman" w:eastAsia="Times New Roman" w:hAnsi="Times New Roman"/>
                <w:sz w:val="17"/>
                <w:szCs w:val="17"/>
                <w:color w:val="auto"/>
              </w:rPr>
              <w:t>Chief Executive Officer</w:t>
            </w:r>
          </w:p>
        </w:tc>
      </w:tr>
      <w:tr>
        <w:trPr>
          <w:trHeight w:val="324"/>
        </w:trPr>
        <w:tc>
          <w:tcPr>
            <w:tcW w:w="5360" w:type="dxa"/>
            <w:vAlign w:val="bottom"/>
          </w:tcPr>
          <w:p>
            <w:pPr>
              <w:spacing w:after="0"/>
              <w:rPr>
                <w:sz w:val="20"/>
                <w:szCs w:val="20"/>
                <w:color w:val="auto"/>
              </w:rPr>
            </w:pPr>
            <w:r>
              <w:rPr>
                <w:rFonts w:ascii="Times New Roman" w:cs="Times New Roman" w:eastAsia="Times New Roman" w:hAnsi="Times New Roman"/>
                <w:sz w:val="17"/>
                <w:szCs w:val="17"/>
                <w:color w:val="auto"/>
              </w:rPr>
              <w:t>Dated: November 7, 2024</w:t>
            </w:r>
          </w:p>
        </w:tc>
        <w:tc>
          <w:tcPr>
            <w:tcW w:w="5600" w:type="dxa"/>
            <w:vAlign w:val="bottom"/>
            <w:tcBorders>
              <w:bottom w:val="single" w:sz="8" w:color="auto"/>
            </w:tcBorders>
          </w:tcPr>
          <w:p>
            <w:pPr>
              <w:ind w:left="2020"/>
              <w:spacing w:after="0"/>
              <w:rPr>
                <w:sz w:val="20"/>
                <w:szCs w:val="20"/>
                <w:color w:val="auto"/>
              </w:rPr>
            </w:pPr>
            <w:r>
              <w:rPr>
                <w:rFonts w:ascii="Times New Roman" w:cs="Times New Roman" w:eastAsia="Times New Roman" w:hAnsi="Times New Roman"/>
                <w:sz w:val="17"/>
                <w:szCs w:val="17"/>
                <w:color w:val="auto"/>
              </w:rPr>
              <w:t>/s/ Brian Webb-Walsh</w:t>
            </w:r>
          </w:p>
        </w:tc>
      </w:tr>
      <w:tr>
        <w:trPr>
          <w:trHeight w:val="208"/>
        </w:trPr>
        <w:tc>
          <w:tcPr>
            <w:tcW w:w="536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Times New Roman" w:cs="Times New Roman" w:eastAsia="Times New Roman" w:hAnsi="Times New Roman"/>
                <w:sz w:val="17"/>
                <w:szCs w:val="17"/>
                <w:color w:val="auto"/>
              </w:rPr>
              <w:t>Brian Webb-Walsh</w:t>
            </w:r>
          </w:p>
        </w:tc>
      </w:tr>
      <w:tr>
        <w:trPr>
          <w:trHeight w:val="226"/>
        </w:trPr>
        <w:tc>
          <w:tcPr>
            <w:tcW w:w="5360" w:type="dxa"/>
            <w:vAlign w:val="bottom"/>
          </w:tcPr>
          <w:p>
            <w:pPr>
              <w:spacing w:after="0"/>
              <w:rPr>
                <w:sz w:val="19"/>
                <w:szCs w:val="19"/>
                <w:color w:val="auto"/>
              </w:rPr>
            </w:pPr>
          </w:p>
        </w:tc>
        <w:tc>
          <w:tcPr>
            <w:tcW w:w="5600" w:type="dxa"/>
            <w:vAlign w:val="bottom"/>
          </w:tcPr>
          <w:p>
            <w:pPr>
              <w:spacing w:after="0"/>
              <w:rPr>
                <w:sz w:val="20"/>
                <w:szCs w:val="20"/>
                <w:color w:val="auto"/>
              </w:rPr>
            </w:pPr>
            <w:r>
              <w:rPr>
                <w:rFonts w:ascii="Times New Roman" w:cs="Times New Roman" w:eastAsia="Times New Roman" w:hAnsi="Times New Roman"/>
                <w:sz w:val="17"/>
                <w:szCs w:val="17"/>
                <w:color w:val="auto"/>
              </w:rPr>
              <w:t>Executive Vice President and Chief Financial Officer</w:t>
            </w:r>
          </w:p>
        </w:tc>
      </w:tr>
    </w:tbl>
    <w:p>
      <w:pPr>
        <w:spacing w:after="0" w:line="396" w:lineRule="exact"/>
        <w:rPr>
          <w:sz w:val="20"/>
          <w:szCs w:val="20"/>
          <w:color w:val="auto"/>
        </w:rPr>
      </w:pPr>
    </w:p>
    <w:p>
      <w:pPr>
        <w:jc w:val="center"/>
        <w:ind w:left="340" w:right="100"/>
        <w:spacing w:after="0" w:line="273" w:lineRule="auto"/>
        <w:rPr>
          <w:sz w:val="20"/>
          <w:szCs w:val="20"/>
          <w:color w:val="auto"/>
        </w:rPr>
      </w:pPr>
      <w:r>
        <w:rPr>
          <w:rFonts w:ascii="Times New Roman" w:cs="Times New Roman" w:eastAsia="Times New Roman" w:hAnsi="Times New Roman"/>
          <w:sz w:val="17"/>
          <w:szCs w:val="17"/>
          <w:color w:val="auto"/>
        </w:rPr>
        <w:t>A signed original of this written statement required by Section 906, or other document authenticating, acknowledging, or otherwise adopting the signatures that appear in typed form within the electronic version of this written statement required by Section 906, has been provided to NCR Voyix Corporation and will be retained by NCR Voyix Corporation and furnished to the United States Securities and Exchange Commission or its staff upon request.</w:t>
      </w:r>
    </w:p>
    <w:sectPr>
      <w:pgSz w:w="11900" w:h="16838" w:orient="portrait"/>
      <w:cols w:equalWidth="0" w:num="1">
        <w:col w:w="11240"/>
      </w:cols>
      <w:pgMar w:left="320" w:top="94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09CF92E"/>
    <w:multiLevelType w:val="hybridMultilevel"/>
    <w:lvl w:ilvl="0">
      <w:lvlJc w:val="left"/>
      <w:lvlText w:val="☑"/>
      <w:numFmt w:val="bullet"/>
      <w:start w:val="1"/>
    </w:lvl>
  </w:abstractNum>
  <w:abstractNum w:abstractNumId="1">
    <w:nsid w:val="DED7263"/>
    <w:multiLevelType w:val="hybridMultilevel"/>
    <w:lvl w:ilvl="0">
      <w:lvlJc w:val="left"/>
      <w:lvlText w:val="o"/>
      <w:numFmt w:val="bullet"/>
      <w:start w:val="1"/>
    </w:lvl>
  </w:abstractNum>
  <w:abstractNum w:abstractNumId="2">
    <w:nsid w:val="7FDCC233"/>
    <w:multiLevelType w:val="hybridMultilevel"/>
    <w:lvl w:ilvl="0">
      <w:lvlJc w:val="left"/>
      <w:lvlText w:val="&amp;"/>
      <w:numFmt w:val="bullet"/>
      <w:start w:val="1"/>
    </w:lvl>
  </w:abstractNum>
  <w:abstractNum w:abstractNumId="3">
    <w:nsid w:val="1BEFD79F"/>
    <w:multiLevelType w:val="hybridMultilevel"/>
    <w:lvl w:ilvl="0">
      <w:lvlJc w:val="left"/>
      <w:lvlText w:val="•"/>
      <w:numFmt w:val="bullet"/>
      <w:start w:val="1"/>
    </w:lvl>
  </w:abstractNum>
  <w:abstractNum w:abstractNumId="4">
    <w:nsid w:val="41A7C4C9"/>
    <w:multiLevelType w:val="hybridMultilevel"/>
    <w:lvl w:ilvl="0">
      <w:lvlJc w:val="left"/>
      <w:lvlText w:val="%1"/>
      <w:numFmt w:val="decimal"/>
      <w:start w:val="1"/>
    </w:lvl>
    <w:lvl w:ilvl="1">
      <w:lvlJc w:val="left"/>
      <w:lvlText w:val="(%2)"/>
      <w:numFmt w:val="decimal"/>
      <w:start w:val="1"/>
    </w:lvl>
  </w:abstractNum>
  <w:abstractNum w:abstractNumId="5">
    <w:nsid w:val="6B68079A"/>
    <w:multiLevelType w:val="hybridMultilevel"/>
    <w:lvl w:ilvl="0">
      <w:lvlJc w:val="left"/>
      <w:lvlText w:val="%1."/>
      <w:numFmt w:val="decimal"/>
      <w:start w:val="5"/>
    </w:lvl>
    <w:lvl w:ilvl="1">
      <w:lvlJc w:val="left"/>
      <w:lvlText w:val="%2"/>
      <w:numFmt w:val="decimal"/>
      <w:start w:val="1"/>
    </w:lvl>
  </w:abstractNum>
  <w:abstractNum w:abstractNumId="6">
    <w:nsid w:val="4E6AFB66"/>
    <w:multiLevelType w:val="hybridMultilevel"/>
    <w:lvl w:ilvl="0">
      <w:lvlJc w:val="left"/>
      <w:lvlText w:val="•"/>
      <w:numFmt w:val="bullet"/>
      <w:start w:val="1"/>
    </w:lvl>
  </w:abstractNum>
  <w:abstractNum w:abstractNumId="7">
    <w:nsid w:val="25E45D32"/>
    <w:multiLevelType w:val="hybridMultilevel"/>
    <w:lvl w:ilvl="0">
      <w:lvlJc w:val="left"/>
      <w:lvlText w:val="•"/>
      <w:numFmt w:val="bullet"/>
      <w:start w:val="1"/>
    </w:lvl>
  </w:abstractNum>
  <w:abstractNum w:abstractNumId="8">
    <w:nsid w:val="519B500D"/>
    <w:multiLevelType w:val="hybridMultilevel"/>
    <w:lvl w:ilvl="0">
      <w:lvlJc w:val="left"/>
      <w:lvlText w:val="•"/>
      <w:numFmt w:val="bullet"/>
      <w:start w:val="1"/>
    </w:lvl>
    <w:lvl w:ilvl="1">
      <w:lvlJc w:val="left"/>
      <w:lvlText w:val="◦"/>
      <w:numFmt w:val="bullet"/>
      <w:start w:val="1"/>
    </w:lvl>
  </w:abstractNum>
  <w:abstractNum w:abstractNumId="9">
    <w:nsid w:val="431BD7B7"/>
    <w:multiLevelType w:val="hybridMultilevel"/>
    <w:lvl w:ilvl="0">
      <w:lvlJc w:val="left"/>
      <w:lvlText w:val="(%1)"/>
      <w:numFmt w:val="decimal"/>
      <w:start w:val="1"/>
    </w:lvl>
  </w:abstractNum>
  <w:abstractNum w:abstractNumId="10">
    <w:nsid w:val="3F2DBA31"/>
    <w:multiLevelType w:val="hybridMultilevel"/>
    <w:lvl w:ilvl="0">
      <w:lvlJc w:val="left"/>
      <w:lvlText w:val="(%1)"/>
      <w:numFmt w:val="decimal"/>
      <w:start w:val="1"/>
    </w:lvl>
  </w:abstractNum>
  <w:abstractNum w:abstractNumId="11">
    <w:nsid w:val="7C83E458"/>
    <w:multiLevelType w:val="hybridMultilevel"/>
    <w:lvl w:ilvl="0">
      <w:lvlJc w:val="left"/>
      <w:lvlText w:val="(%1)"/>
      <w:numFmt w:val="decimal"/>
      <w:start w:val="2"/>
    </w:lvl>
  </w:abstractNum>
  <w:abstractNum w:abstractNumId="12">
    <w:nsid w:val="257130A3"/>
    <w:multiLevelType w:val="hybridMultilevel"/>
    <w:lvl w:ilvl="0">
      <w:lvlJc w:val="left"/>
      <w:lvlText w:val="(%1)"/>
      <w:numFmt w:val="decimal"/>
      <w:start w:val="1"/>
    </w:lvl>
  </w:abstractNum>
  <w:abstractNum w:abstractNumId="13">
    <w:nsid w:val="62BBD95A"/>
    <w:multiLevelType w:val="hybridMultilevel"/>
    <w:lvl w:ilvl="0">
      <w:lvlJc w:val="left"/>
      <w:lvlText w:val="(%1)"/>
      <w:numFmt w:val="decimal"/>
      <w:start w:val="1"/>
    </w:lvl>
  </w:abstractNum>
  <w:abstractNum w:abstractNumId="14">
    <w:nsid w:val="436C6125"/>
    <w:multiLevelType w:val="hybridMultilevel"/>
    <w:lvl w:ilvl="0">
      <w:lvlJc w:val="left"/>
      <w:lvlText w:val="(%1)"/>
      <w:numFmt w:val="decimal"/>
      <w:start w:val="1"/>
    </w:lvl>
  </w:abstractNum>
  <w:abstractNum w:abstractNumId="15">
    <w:nsid w:val="628C895D"/>
    <w:multiLevelType w:val="hybridMultilevel"/>
    <w:lvl w:ilvl="0">
      <w:lvlJc w:val="left"/>
      <w:lvlText w:val="(%1)"/>
      <w:numFmt w:val="decimal"/>
      <w:start w:val="1"/>
    </w:lvl>
  </w:abstractNum>
  <w:abstractNum w:abstractNumId="16">
    <w:nsid w:val="333AB105"/>
    <w:multiLevelType w:val="hybridMultilevel"/>
    <w:lvl w:ilvl="0">
      <w:lvlJc w:val="left"/>
      <w:lvlText w:val="•"/>
      <w:numFmt w:val="bullet"/>
      <w:start w:val="1"/>
    </w:lvl>
  </w:abstractNum>
  <w:abstractNum w:abstractNumId="17">
    <w:nsid w:val="721DA317"/>
    <w:multiLevelType w:val="hybridMultilevel"/>
    <w:lvl w:ilvl="0">
      <w:lvlJc w:val="left"/>
      <w:lvlText w:val="•"/>
      <w:numFmt w:val="bullet"/>
      <w:start w:val="1"/>
    </w:lvl>
  </w:abstractNum>
  <w:abstractNum w:abstractNumId="18">
    <w:nsid w:val="2443A858"/>
    <w:multiLevelType w:val="hybridMultilevel"/>
    <w:lvl w:ilvl="0">
      <w:lvlJc w:val="left"/>
      <w:lvlText w:val="(%1)"/>
      <w:numFmt w:val="decimal"/>
      <w:start w:val="1"/>
    </w:lvl>
  </w:abstractNum>
  <w:abstractNum w:abstractNumId="19">
    <w:nsid w:val="2D1D5AE9"/>
    <w:multiLevelType w:val="hybridMultilevel"/>
    <w:lvl w:ilvl="0">
      <w:lvlJc w:val="left"/>
      <w:lvlText w:val="%1"/>
      <w:numFmt w:val="decimal"/>
      <w:start w:val="32"/>
    </w:lvl>
  </w:abstractNum>
  <w:abstractNum w:abstractNumId="20">
    <w:nsid w:val="6763845E"/>
    <w:multiLevelType w:val="hybridMultilevel"/>
    <w:lvl w:ilvl="0">
      <w:lvlJc w:val="left"/>
      <w:lvlText w:val="%1"/>
      <w:numFmt w:val="decimal"/>
      <w:start w:val="101"/>
    </w:lvl>
  </w:abstractNum>
  <w:abstractNum w:abstractNumId="21">
    <w:nsid w:val="75A2A8D4"/>
    <w:multiLevelType w:val="hybridMultilevel"/>
    <w:lvl w:ilvl="0">
      <w:lvlJc w:val="left"/>
      <w:lvlText w:val="*"/>
      <w:numFmt w:val="bullet"/>
      <w:start w:val="1"/>
    </w:lvl>
    <w:lvl w:ilvl="1">
      <w:lvlJc w:val="left"/>
      <w:lvlText w:val="%2"/>
      <w:numFmt w:val="decimal"/>
      <w:start w:val="104"/>
    </w:lvl>
  </w:abstractNum>
  <w:abstractNum w:abstractNumId="22">
    <w:nsid w:val="8EDBDAB"/>
    <w:multiLevelType w:val="hybridMultilevel"/>
    <w:lvl w:ilvl="0">
      <w:lvlJc w:val="left"/>
      <w:lvlText w:val="%1."/>
      <w:numFmt w:val="decimal"/>
      <w:start w:val="1"/>
    </w:lvl>
    <w:lvl w:ilvl="1">
      <w:lvlJc w:val="left"/>
      <w:lvlText w:val="%2)"/>
      <w:numFmt w:val="lowerLetter"/>
      <w:start w:val="1"/>
    </w:lvl>
  </w:abstractNum>
  <w:abstractNum w:abstractNumId="23">
    <w:nsid w:val="79838CB2"/>
    <w:multiLevelType w:val="hybridMultilevel"/>
    <w:lvl w:ilvl="0">
      <w:lvlJc w:val="left"/>
      <w:lvlText w:val="%1."/>
      <w:numFmt w:val="decimal"/>
      <w:start w:val="1"/>
    </w:lvl>
    <w:lvl w:ilvl="1">
      <w:lvlJc w:val="left"/>
      <w:lvlText w:val="%2)"/>
      <w:numFmt w:val="lowerLetter"/>
      <w:start w:val="1"/>
    </w:lvl>
  </w:abstractNum>
  <w:abstractNum w:abstractNumId="24">
    <w:nsid w:val="4353D0CD"/>
    <w:multiLevelType w:val="hybridMultilevel"/>
    <w:lvl w:ilvl="0">
      <w:lvlJc w:val="left"/>
      <w:lvlText w:val="(%1)"/>
      <w:numFmt w:val="decimal"/>
      <w:start w:val="1"/>
    </w:lvl>
  </w:abstractNum>
  <w:abstractNum w:abstractNumId="25">
    <w:nsid w:val="B03E0C6"/>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3" Type="http://schemas.openxmlformats.org/officeDocument/2006/relationships/image" Target="media/image75.png"/><Relationship Id="rId84" Type="http://schemas.openxmlformats.org/officeDocument/2006/relationships/image" Target="media/image76.png"/><Relationship Id="rId85" Type="http://schemas.openxmlformats.org/officeDocument/2006/relationships/image" Target="media/image77.png"/><Relationship Id="rId86" Type="http://schemas.openxmlformats.org/officeDocument/2006/relationships/image" Target="media/image78.png"/><Relationship Id="rId82" Type="http://schemas.openxmlformats.org/officeDocument/2006/relationships/hyperlink" Target="https://www.sec.gov/Archives/edgar/data/70866/000119312524194328/d153288d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2024-11-07T06:45:11Z</dcterms:created>
  <dcterms:modified xsi:type="dcterms:W3CDTF">2024-11-07T06:45:11Z</dcterms:modified>
</cp:coreProperties>
</file>