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wp:posOffset>
            </wp:positionH>
            <wp:positionV relativeFrom="paragraph">
              <wp:posOffset>255270</wp:posOffset>
            </wp:positionV>
            <wp:extent cx="6347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222250</wp:posOffset>
            </wp:positionV>
            <wp:extent cx="634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3"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________________________</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87"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________________________</w:t>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58" w:lineRule="exact"/>
        <w:rPr>
          <w:sz w:val="24"/>
          <w:szCs w:val="24"/>
          <w:color w:val="auto"/>
        </w:rPr>
      </w:pPr>
    </w:p>
    <w:p>
      <w:pPr>
        <w:ind w:left="900" w:right="2160" w:hanging="879"/>
        <w:spacing w:after="0" w:line="405" w:lineRule="auto"/>
        <w:tabs>
          <w:tab w:leader="none" w:pos="291"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ind w:left="6140"/>
        <w:spacing w:after="0"/>
        <w:rPr>
          <w:sz w:val="20"/>
          <w:szCs w:val="20"/>
          <w:color w:val="auto"/>
        </w:rPr>
      </w:pPr>
      <w:r>
        <w:rPr>
          <w:rFonts w:ascii="Arial" w:cs="Arial" w:eastAsia="Arial" w:hAnsi="Arial"/>
          <w:sz w:val="17"/>
          <w:szCs w:val="17"/>
          <w:b w:val="1"/>
          <w:bCs w:val="1"/>
          <w:color w:val="auto"/>
        </w:rPr>
        <w:t>or</w:t>
      </w:r>
    </w:p>
    <w:p>
      <w:pPr>
        <w:spacing w:after="0" w:line="193" w:lineRule="exact"/>
        <w:rPr>
          <w:sz w:val="24"/>
          <w:szCs w:val="24"/>
          <w:color w:val="auto"/>
        </w:rPr>
      </w:pPr>
    </w:p>
    <w:p>
      <w:pPr>
        <w:ind w:left="300" w:right="2160" w:hanging="279"/>
        <w:spacing w:after="0" w:line="226" w:lineRule="auto"/>
        <w:tabs>
          <w:tab w:leader="none" w:pos="300" w:val="left"/>
        </w:tabs>
        <w:numPr>
          <w:ilvl w:val="0"/>
          <w:numId w:val="2"/>
        </w:numPr>
        <w:rPr>
          <w:rFonts w:ascii="Arial" w:cs="Arial" w:eastAsia="Arial" w:hAnsi="Arial"/>
          <w:sz w:val="35"/>
          <w:szCs w:val="35"/>
          <w:color w:val="auto"/>
          <w:vertAlign w:val="subscript"/>
        </w:rPr>
      </w:pPr>
      <w:r>
        <w:rPr>
          <w:rFonts w:ascii="Arial" w:cs="Arial" w:eastAsia="Arial" w:hAnsi="Arial"/>
          <w:sz w:val="17"/>
          <w:szCs w:val="17"/>
          <w:b w:val="1"/>
          <w:bCs w:val="1"/>
          <w:color w:val="auto"/>
        </w:rPr>
        <w:t>TRANSITION REPORT PURSUANT TO SECTION 13 OR 15(d) OF THE SECURITIES EXCHANGE ACT OF 1934 For the transition period from ____________ to ____________</w:t>
      </w:r>
    </w:p>
    <w:p>
      <w:pPr>
        <w:spacing w:after="0" w:line="357" w:lineRule="exact"/>
        <w:rPr>
          <w:rFonts w:ascii="Arial" w:cs="Arial" w:eastAsia="Arial" w:hAnsi="Arial"/>
          <w:sz w:val="35"/>
          <w:szCs w:val="35"/>
          <w:color w:val="auto"/>
          <w:vertAlign w:val="subscript"/>
        </w:rPr>
      </w:pPr>
    </w:p>
    <w:p>
      <w:pPr>
        <w:ind w:left="280"/>
        <w:spacing w:after="0"/>
        <w:rPr>
          <w:rFonts w:ascii="Arial" w:cs="Arial" w:eastAsia="Arial" w:hAnsi="Arial"/>
          <w:sz w:val="35"/>
          <w:szCs w:val="35"/>
          <w:color w:val="auto"/>
          <w:vertAlign w:val="subscript"/>
        </w:rPr>
      </w:pPr>
      <w:r>
        <w:rPr>
          <w:rFonts w:ascii="Arial" w:cs="Arial" w:eastAsia="Arial" w:hAnsi="Arial"/>
          <w:sz w:val="17"/>
          <w:szCs w:val="17"/>
          <w:b w:val="1"/>
          <w:bCs w:val="1"/>
          <w:color w:val="auto"/>
        </w:rPr>
        <w:t>Commission File Number: 001-00395</w:t>
      </w:r>
    </w:p>
    <w:p>
      <w:pPr>
        <w:spacing w:after="0" w:line="96" w:lineRule="exact"/>
        <w:rPr>
          <w:sz w:val="24"/>
          <w:szCs w:val="24"/>
          <w:color w:val="auto"/>
        </w:rPr>
      </w:pPr>
    </w:p>
    <w:p>
      <w:pPr>
        <w:ind w:left="4600"/>
        <w:spacing w:after="0"/>
        <w:rPr>
          <w:sz w:val="20"/>
          <w:szCs w:val="20"/>
          <w:color w:val="auto"/>
        </w:rPr>
      </w:pPr>
      <w:r>
        <w:rPr>
          <w:rFonts w:ascii="Arial" w:cs="Arial" w:eastAsia="Arial" w:hAnsi="Arial"/>
          <w:sz w:val="17"/>
          <w:szCs w:val="17"/>
          <w:color w:val="auto"/>
        </w:rPr>
        <w:t>________________________</w:t>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NCR VOYIX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50"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________________________</w:t>
      </w:r>
    </w:p>
    <w:p>
      <w:pPr>
        <w:sectPr>
          <w:pgSz w:w="11900" w:h="16906" w:orient="portrait"/>
          <w:cols w:equalWidth="0" w:num="1">
            <w:col w:w="11240"/>
          </w:cols>
          <w:pgMar w:left="320" w:top="225" w:right="339" w:bottom="0" w:gutter="0" w:footer="0" w:header="0"/>
        </w:sectPr>
      </w:pPr>
    </w:p>
    <w:p>
      <w:pPr>
        <w:spacing w:after="0" w:line="200" w:lineRule="exact"/>
        <w:rPr>
          <w:sz w:val="24"/>
          <w:szCs w:val="24"/>
          <w:color w:val="auto"/>
        </w:rPr>
      </w:pPr>
    </w:p>
    <w:p>
      <w:pPr>
        <w:spacing w:after="0" w:line="286"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31-0387920</w:t>
      </w:r>
    </w:p>
    <w:p>
      <w:pPr>
        <w:spacing w:after="0" w:line="40" w:lineRule="exact"/>
        <w:rPr>
          <w:sz w:val="24"/>
          <w:szCs w:val="24"/>
          <w:color w:val="auto"/>
        </w:rPr>
      </w:pPr>
    </w:p>
    <w:p>
      <w:pPr>
        <w:sectPr>
          <w:pgSz w:w="11900" w:h="16906" w:orient="portrait"/>
          <w:cols w:equalWidth="0" w:num="2">
            <w:col w:w="7340" w:space="720"/>
            <w:col w:w="3180"/>
          </w:cols>
          <w:pgMar w:left="320" w:top="225" w:right="339" w:bottom="0" w:gutter="0" w:footer="0" w:header="0"/>
          <w:type w:val="continuous"/>
        </w:sectPr>
      </w:pPr>
    </w:p>
    <w:p>
      <w:pPr>
        <w:spacing w:after="0" w:line="11" w:lineRule="exact"/>
        <w:rPr>
          <w:sz w:val="24"/>
          <w:szCs w:val="24"/>
          <w:color w:val="auto"/>
        </w:rPr>
      </w:pPr>
    </w:p>
    <w:p>
      <w:pPr>
        <w:ind w:left="2080"/>
        <w:spacing w:after="0"/>
        <w:rPr>
          <w:sz w:val="20"/>
          <w:szCs w:val="20"/>
          <w:color w:val="auto"/>
        </w:rPr>
      </w:pPr>
      <w:r>
        <w:rPr>
          <w:rFonts w:ascii="Arial" w:cs="Arial" w:eastAsia="Arial" w:hAnsi="Arial"/>
          <w:sz w:val="12"/>
          <w:szCs w:val="12"/>
          <w:b w:val="1"/>
          <w:bCs w:val="1"/>
          <w:color w:val="auto"/>
        </w:rPr>
        <w:t>(State or other jurisdiction of</w:t>
      </w:r>
    </w:p>
    <w:p>
      <w:pPr>
        <w:ind w:left="20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187" w:lineRule="exact"/>
        <w:rPr>
          <w:sz w:val="24"/>
          <w:szCs w:val="24"/>
          <w:color w:val="auto"/>
        </w:rPr>
      </w:pPr>
    </w:p>
    <w:p>
      <w:pPr>
        <w:sectPr>
          <w:pgSz w:w="11900" w:h="16906" w:orient="portrait"/>
          <w:cols w:equalWidth="0" w:num="2">
            <w:col w:w="7220" w:space="720"/>
            <w:col w:w="3300"/>
          </w:cols>
          <w:pgMar w:left="320" w:top="225" w:right="339" w:bottom="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864 Spring Street NW</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Atlanta, GA 30308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906" w:orient="portrait"/>
          <w:cols w:equalWidth="0" w:num="1">
            <w:col w:w="11240"/>
          </w:cols>
          <w:pgMar w:left="320" w:top="225" w:right="339" w:bottom="0" w:gutter="0" w:footer="0" w:header="0"/>
          <w:type w:val="continuous"/>
        </w:sectPr>
      </w:pP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(937) 445-1936</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NCR Corporation</w:t>
      </w:r>
    </w:p>
    <w:p>
      <w:pPr>
        <w:spacing w:after="0" w:line="31"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54" w:lineRule="exact"/>
        <w:rPr>
          <w:sz w:val="24"/>
          <w:szCs w:val="24"/>
          <w:color w:val="auto"/>
        </w:rPr>
      </w:pPr>
    </w:p>
    <w:p>
      <w:pPr>
        <w:ind w:left="240"/>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906" w:orient="portrait"/>
          <w:cols w:equalWidth="0" w:num="1">
            <w:col w:w="11240"/>
          </w:cols>
          <w:pgMar w:left="320" w:top="225" w:right="339" w:bottom="0" w:gutter="0" w:footer="0" w:header="0"/>
          <w:type w:val="continuous"/>
        </w:sectPr>
      </w:pPr>
    </w:p>
    <w:p>
      <w:pPr>
        <w:spacing w:after="0" w:line="278" w:lineRule="exact"/>
        <w:rPr>
          <w:sz w:val="24"/>
          <w:szCs w:val="24"/>
          <w:color w:val="auto"/>
        </w:rPr>
      </w:pPr>
    </w:p>
    <w:p>
      <w:pPr>
        <w:ind w:left="146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200" w:lineRule="exact"/>
        <w:rPr>
          <w:sz w:val="24"/>
          <w:szCs w:val="24"/>
          <w:color w:val="auto"/>
        </w:rPr>
      </w:pPr>
    </w:p>
    <w:p>
      <w:pPr>
        <w:sectPr>
          <w:pgSz w:w="11900" w:h="16906" w:orient="portrait"/>
          <w:cols w:equalWidth="0" w:num="3">
            <w:col w:w="4080" w:space="720"/>
            <w:col w:w="1880" w:space="720"/>
            <w:col w:w="3840"/>
          </w:cols>
          <w:pgMar w:left="320" w:top="225" w:right="339" w:bottom="0" w:gutter="0" w:footer="0" w:header="0"/>
          <w:type w:val="continuous"/>
        </w:sectPr>
      </w:pPr>
    </w:p>
    <w:p>
      <w:pPr>
        <w:spacing w:after="0" w:line="9" w:lineRule="exact"/>
        <w:rPr>
          <w:sz w:val="24"/>
          <w:szCs w:val="24"/>
          <w:color w:val="auto"/>
        </w:rPr>
      </w:pPr>
    </w:p>
    <w:p>
      <w:pPr>
        <w:ind w:left="660"/>
        <w:spacing w:after="0"/>
        <w:rPr>
          <w:sz w:val="20"/>
          <w:szCs w:val="20"/>
          <w:color w:val="auto"/>
        </w:rPr>
      </w:pPr>
      <w:r>
        <w:rPr>
          <w:rFonts w:ascii="Arial" w:cs="Arial" w:eastAsia="Arial" w:hAnsi="Arial"/>
          <w:sz w:val="15"/>
          <w:szCs w:val="15"/>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VYX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w:t>
      </w:r>
    </w:p>
    <w:p>
      <w:pPr>
        <w:spacing w:after="0" w:line="190" w:lineRule="exact"/>
        <w:rPr>
          <w:sz w:val="24"/>
          <w:szCs w:val="24"/>
          <w:color w:val="auto"/>
        </w:rPr>
      </w:pPr>
    </w:p>
    <w:p>
      <w:pPr>
        <w:sectPr>
          <w:pgSz w:w="11900" w:h="16906" w:orient="portrait"/>
          <w:cols w:equalWidth="0" w:num="3">
            <w:col w:w="4580" w:space="720"/>
            <w:col w:w="2060" w:space="720"/>
            <w:col w:w="3160"/>
          </w:cols>
          <w:pgMar w:left="320" w:top="225" w:right="339" w:bottom="0" w:gutter="0" w:footer="0" w:header="0"/>
          <w:type w:val="continuous"/>
        </w:sectPr>
      </w:pPr>
    </w:p>
    <w:p>
      <w:pPr>
        <w:jc w:val="both"/>
        <w:ind w:firstLine="181"/>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8" w:lineRule="exact"/>
        <w:rPr>
          <w:sz w:val="24"/>
          <w:szCs w:val="24"/>
          <w:color w:val="auto"/>
        </w:rPr>
      </w:pPr>
    </w:p>
    <w:p>
      <w:pPr>
        <w:jc w:val="both"/>
        <w:ind w:firstLine="268"/>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196" w:lineRule="exact"/>
        <w:tabs>
          <w:tab w:leader="none" w:pos="78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60" w:lineRule="exact"/>
        <w:rPr>
          <w:sz w:val="24"/>
          <w:szCs w:val="24"/>
          <w:color w:val="auto"/>
        </w:rPr>
      </w:pPr>
    </w:p>
    <w:p>
      <w:pPr>
        <w:jc w:val="both"/>
        <w:ind w:firstLine="257"/>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06" w:orient="portrait"/>
          <w:cols w:equalWidth="0" w:num="1">
            <w:col w:w="11240"/>
          </w:cols>
          <w:pgMar w:left="320" w:top="225"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4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160" w:lineRule="exact"/>
        <w:rPr>
          <w:sz w:val="24"/>
          <w:szCs w:val="24"/>
          <w:color w:val="auto"/>
        </w:rPr>
      </w:pPr>
    </w:p>
    <w:p>
      <w:pPr>
        <w:sectPr>
          <w:pgSz w:w="11900" w:h="16906" w:orient="portrait"/>
          <w:cols w:equalWidth="0" w:num="2">
            <w:col w:w="7980" w:space="720"/>
            <w:col w:w="2540"/>
          </w:cols>
          <w:pgMar w:left="320" w:top="225" w:right="339" w:bottom="0" w:gutter="0" w:footer="0" w:header="0"/>
          <w:type w:val="continuous"/>
        </w:sectPr>
      </w:pPr>
    </w:p>
    <w:p>
      <w:pPr>
        <w:spacing w:after="0" w:line="43" w:lineRule="exact"/>
        <w:rPr>
          <w:sz w:val="24"/>
          <w:szCs w:val="24"/>
          <w:color w:val="auto"/>
        </w:rPr>
      </w:pPr>
    </w:p>
    <w:p>
      <w:pPr>
        <w:ind w:left="150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203" w:lineRule="exact"/>
        <w:rPr>
          <w:sz w:val="24"/>
          <w:szCs w:val="24"/>
          <w:color w:val="auto"/>
        </w:rPr>
      </w:pPr>
    </w:p>
    <w:p>
      <w:pPr>
        <w:sectPr>
          <w:pgSz w:w="11900" w:h="16906" w:orient="portrait"/>
          <w:cols w:equalWidth="0" w:num="2">
            <w:col w:w="7240" w:space="720"/>
            <w:col w:w="3280"/>
          </w:cols>
          <w:pgMar w:left="320" w:top="225" w:right="339" w:bottom="0" w:gutter="0" w:footer="0" w:header="0"/>
          <w:type w:val="continuous"/>
        </w:sectPr>
      </w:pPr>
    </w:p>
    <w:p>
      <w:pPr>
        <w:ind w:left="796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906" w:orient="portrait"/>
          <w:cols w:equalWidth="0" w:num="1">
            <w:col w:w="11240"/>
          </w:cols>
          <w:pgMar w:left="320" w:top="225" w:right="339" w:bottom="0" w:gutter="0" w:footer="0" w:header="0"/>
          <w:type w:val="continuous"/>
        </w:sectPr>
      </w:pPr>
    </w:p>
    <w:p>
      <w:pPr>
        <w:spacing w:after="0" w:line="235" w:lineRule="exact"/>
        <w:rPr>
          <w:sz w:val="24"/>
          <w:szCs w:val="24"/>
          <w:color w:val="auto"/>
        </w:rPr>
      </w:pPr>
    </w:p>
    <w:p>
      <w:pPr>
        <w:ind w:right="240" w:firstLine="173"/>
        <w:spacing w:after="0" w:line="28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906" w:orient="portrait"/>
          <w:cols w:equalWidth="0" w:num="1">
            <w:col w:w="11240"/>
          </w:cols>
          <w:pgMar w:left="320" w:top="225" w:right="339" w:bottom="0" w:gutter="0" w:footer="0" w:header="0"/>
          <w:type w:val="continuous"/>
        </w:sectPr>
      </w:pPr>
    </w:p>
    <w:bookmarkStart w:id="1" w:name="page2"/>
    <w:bookmarkEnd w:id="1"/>
    <w:p>
      <w:pPr>
        <w:jc w:val="both"/>
        <w:ind w:right="499"/>
        <w:spacing w:after="0" w:line="31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9, 2023, there were approximately 141.2 million shares of the registrant's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424180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107950</wp:posOffset>
            </wp:positionV>
            <wp:extent cx="634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74930</wp:posOffset>
            </wp:positionV>
            <wp:extent cx="634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ectPr>
          <w:pgSz w:w="11900" w:h="16838" w:orient="portrait"/>
          <w:cols w:equalWidth="0" w:num="1">
            <w:col w:w="9519"/>
          </w:cols>
          <w:pgMar w:left="940" w:top="84"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TABLE OF CONTENTS</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PART I. Financial Information</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62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2"/>
        </w:trPr>
        <w:tc>
          <w:tcPr>
            <w:tcW w:w="9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7"/>
                <w:szCs w:val="17"/>
                <w:color w:val="auto"/>
              </w:rPr>
              <w:t>Item 1.</w:t>
            </w:r>
          </w:p>
        </w:tc>
        <w:tc>
          <w:tcPr>
            <w:tcW w:w="9620" w:type="dxa"/>
            <w:vAlign w:val="bottom"/>
            <w:gridSpan w:val="17"/>
          </w:tcPr>
          <w:p>
            <w:pPr>
              <w:spacing w:after="0"/>
              <w:rPr>
                <w:sz w:val="20"/>
                <w:szCs w:val="20"/>
                <w:color w:val="auto"/>
              </w:rPr>
            </w:pPr>
            <w:r>
              <w:rPr>
                <w:rFonts w:ascii="Arial" w:cs="Arial" w:eastAsia="Arial" w:hAnsi="Arial"/>
                <w:sz w:val="17"/>
                <w:szCs w:val="17"/>
                <w:color w:val="0000FF"/>
              </w:rPr>
              <w:t>Financial Statements</w:t>
            </w: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9520" w:type="dxa"/>
            <w:vAlign w:val="bottom"/>
            <w:gridSpan w:val="15"/>
          </w:tcPr>
          <w:p>
            <w:pPr>
              <w:spacing w:after="0"/>
              <w:rPr>
                <w:sz w:val="20"/>
                <w:szCs w:val="20"/>
                <w:color w:val="auto"/>
              </w:rPr>
            </w:pPr>
            <w:r>
              <w:rPr>
                <w:rFonts w:ascii="Arial" w:cs="Arial" w:eastAsia="Arial" w:hAnsi="Arial"/>
                <w:sz w:val="17"/>
                <w:szCs w:val="17"/>
                <w:color w:val="0000FF"/>
                <w:w w:val="99"/>
              </w:rPr>
              <w:t>Condensed Consolidated Statements of Operations (Unaudited) Three and Nine Months Ended September 30, 2023 and 2022</w:t>
            </w:r>
          </w:p>
        </w:tc>
        <w:tc>
          <w:tcPr>
            <w:tcW w:w="100" w:type="dxa"/>
            <w:vAlign w:val="bottom"/>
            <w:gridSpan w:val="2"/>
          </w:tcPr>
          <w:p>
            <w:pPr>
              <w:spacing w:after="0"/>
              <w:rPr>
                <w:sz w:val="24"/>
                <w:szCs w:val="24"/>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9620" w:type="dxa"/>
            <w:vAlign w:val="bottom"/>
            <w:gridSpan w:val="17"/>
          </w:tcPr>
          <w:p>
            <w:pPr>
              <w:spacing w:after="0"/>
              <w:rPr>
                <w:sz w:val="20"/>
                <w:szCs w:val="20"/>
                <w:color w:val="auto"/>
              </w:rPr>
            </w:pPr>
            <w:r>
              <w:rPr>
                <w:rFonts w:ascii="Arial" w:cs="Arial" w:eastAsia="Arial" w:hAnsi="Arial"/>
                <w:sz w:val="17"/>
                <w:szCs w:val="17"/>
                <w:color w:val="0000FF"/>
                <w:w w:val="91"/>
              </w:rPr>
              <w:t>Condensed Consolidated Statements of Comprehensive Income (Unaudited) Three and Nine Months Ended September 30, 2023 and 2022</w:t>
            </w: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9560" w:type="dxa"/>
            <w:vAlign w:val="bottom"/>
            <w:gridSpan w:val="16"/>
          </w:tcPr>
          <w:p>
            <w:pPr>
              <w:spacing w:after="0"/>
              <w:rPr>
                <w:sz w:val="20"/>
                <w:szCs w:val="20"/>
                <w:color w:val="auto"/>
              </w:rPr>
            </w:pPr>
            <w:r>
              <w:rPr>
                <w:rFonts w:ascii="Arial" w:cs="Arial" w:eastAsia="Arial" w:hAnsi="Arial"/>
                <w:sz w:val="17"/>
                <w:szCs w:val="17"/>
                <w:color w:val="0000FF"/>
              </w:rPr>
              <w:t>Condensed Consolidated Balance Sheets (Unaudited) September 30, 2023 and December 31, 2022</w:t>
            </w:r>
          </w:p>
        </w:tc>
        <w:tc>
          <w:tcPr>
            <w:tcW w:w="60" w:type="dxa"/>
            <w:vAlign w:val="bottom"/>
          </w:tcPr>
          <w:p>
            <w:pPr>
              <w:spacing w:after="0"/>
              <w:rPr>
                <w:sz w:val="24"/>
                <w:szCs w:val="24"/>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Arial" w:cs="Arial" w:eastAsia="Arial" w:hAnsi="Arial"/>
                <w:sz w:val="17"/>
                <w:szCs w:val="17"/>
                <w:color w:val="0000FF"/>
                <w:w w:val="91"/>
              </w:rPr>
              <w:t>Condensed Consolidated Statements of Cash Flows (Unaudited) Nine Months Ended September 30, 2023 and 2022</w:t>
            </w:r>
          </w:p>
        </w:tc>
        <w:tc>
          <w:tcPr>
            <w:tcW w:w="1620" w:type="dxa"/>
            <w:vAlign w:val="bottom"/>
            <w:gridSpan w:val="4"/>
          </w:tcPr>
          <w:p>
            <w:pPr>
              <w:spacing w:after="0"/>
              <w:rPr>
                <w:sz w:val="24"/>
                <w:szCs w:val="24"/>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9620" w:type="dxa"/>
            <w:vAlign w:val="bottom"/>
            <w:gridSpan w:val="17"/>
            <w:vMerge w:val="restart"/>
          </w:tcPr>
          <w:p>
            <w:pPr>
              <w:spacing w:after="0"/>
              <w:rPr>
                <w:sz w:val="20"/>
                <w:szCs w:val="20"/>
                <w:color w:val="auto"/>
              </w:rPr>
            </w:pPr>
            <w:r>
              <w:rPr>
                <w:rFonts w:ascii="Arial" w:cs="Arial" w:eastAsia="Arial" w:hAnsi="Arial"/>
                <w:sz w:val="17"/>
                <w:szCs w:val="17"/>
                <w:color w:val="0000FF"/>
                <w:w w:val="92"/>
              </w:rPr>
              <w:t>Condensed Consolidated Statements of Changes in Stockholder’s Equity (Unaudited) Three and Nine Months Ended September 30, 2023</w:t>
            </w:r>
          </w:p>
        </w:tc>
        <w:tc>
          <w:tcPr>
            <w:tcW w:w="46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7</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920" w:type="dxa"/>
            <w:vAlign w:val="bottom"/>
          </w:tcPr>
          <w:p>
            <w:pPr>
              <w:spacing w:after="0"/>
              <w:rPr>
                <w:sz w:val="2"/>
                <w:szCs w:val="2"/>
                <w:color w:val="auto"/>
              </w:rPr>
            </w:pPr>
          </w:p>
        </w:tc>
        <w:tc>
          <w:tcPr>
            <w:tcW w:w="9620" w:type="dxa"/>
            <w:vAlign w:val="bottom"/>
            <w:gridSpan w:val="17"/>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40" w:type="dxa"/>
            <w:vAlign w:val="bottom"/>
            <w:tcBorders>
              <w:top w:val="single" w:sz="8" w:color="0000FF"/>
              <w:bottom w:val="single" w:sz="8" w:color="0000FF"/>
            </w:tcBorders>
            <w:gridSpan w:val="2"/>
          </w:tcPr>
          <w:p>
            <w:pPr>
              <w:spacing w:after="0" w:line="149" w:lineRule="exact"/>
              <w:rPr>
                <w:sz w:val="20"/>
                <w:szCs w:val="20"/>
                <w:color w:val="auto"/>
              </w:rPr>
            </w:pPr>
            <w:r>
              <w:rPr>
                <w:rFonts w:ascii="Arial" w:cs="Arial" w:eastAsia="Arial" w:hAnsi="Arial"/>
                <w:sz w:val="17"/>
                <w:szCs w:val="17"/>
                <w:color w:val="0000FF"/>
                <w:w w:val="87"/>
              </w:rPr>
              <w:t>and 2022</w:t>
            </w:r>
          </w:p>
        </w:tc>
        <w:tc>
          <w:tcPr>
            <w:tcW w:w="8880" w:type="dxa"/>
            <w:vAlign w:val="bottom"/>
            <w:tcBorders>
              <w:top w:val="single" w:sz="8" w:color="0000FF"/>
            </w:tcBorders>
            <w:gridSpan w:val="13"/>
          </w:tcPr>
          <w:p>
            <w:pPr>
              <w:spacing w:after="0"/>
              <w:rPr>
                <w:sz w:val="12"/>
                <w:szCs w:val="12"/>
                <w:color w:val="auto"/>
              </w:rPr>
            </w:pPr>
          </w:p>
        </w:tc>
        <w:tc>
          <w:tcPr>
            <w:tcW w:w="10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720" w:type="dxa"/>
            <w:vAlign w:val="bottom"/>
            <w:gridSpan w:val="10"/>
          </w:tcPr>
          <w:p>
            <w:pPr>
              <w:spacing w:after="0"/>
              <w:rPr>
                <w:sz w:val="20"/>
                <w:szCs w:val="20"/>
                <w:color w:val="auto"/>
              </w:rPr>
            </w:pPr>
            <w:r>
              <w:rPr>
                <w:rFonts w:ascii="Arial" w:cs="Arial" w:eastAsia="Arial" w:hAnsi="Arial"/>
                <w:sz w:val="17"/>
                <w:szCs w:val="17"/>
                <w:color w:val="0000FF"/>
                <w:w w:val="91"/>
              </w:rPr>
              <w:t>Notes to Condensed Consolidated Financial Statements (Unaudited)</w:t>
            </w:r>
          </w:p>
        </w:tc>
        <w:tc>
          <w:tcPr>
            <w:tcW w:w="4900" w:type="dxa"/>
            <w:vAlign w:val="bottom"/>
            <w:gridSpan w:val="7"/>
          </w:tcPr>
          <w:p>
            <w:pPr>
              <w:spacing w:after="0"/>
              <w:rPr>
                <w:sz w:val="24"/>
                <w:szCs w:val="24"/>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0000FF"/>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Item 2.</w:t>
            </w:r>
          </w:p>
        </w:tc>
        <w:tc>
          <w:tcPr>
            <w:tcW w:w="9620" w:type="dxa"/>
            <w:vAlign w:val="bottom"/>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Item 3.</w:t>
            </w:r>
          </w:p>
        </w:tc>
        <w:tc>
          <w:tcPr>
            <w:tcW w:w="4180" w:type="dxa"/>
            <w:vAlign w:val="bottom"/>
            <w:gridSpan w:val="9"/>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2020" w:type="dxa"/>
            <w:vAlign w:val="bottom"/>
            <w:gridSpan w:val="2"/>
          </w:tcPr>
          <w:p>
            <w:pPr>
              <w:spacing w:after="0"/>
              <w:rPr>
                <w:sz w:val="24"/>
                <w:szCs w:val="24"/>
                <w:color w:val="auto"/>
              </w:rPr>
            </w:pPr>
          </w:p>
        </w:tc>
        <w:tc>
          <w:tcPr>
            <w:tcW w:w="34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0000FF"/>
                <w:w w:val="84"/>
              </w:rPr>
              <w:t>65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Item 4.</w:t>
            </w:r>
          </w:p>
        </w:tc>
        <w:tc>
          <w:tcPr>
            <w:tcW w:w="4180" w:type="dxa"/>
            <w:vAlign w:val="bottom"/>
            <w:gridSpan w:val="9"/>
          </w:tcPr>
          <w:p>
            <w:pPr>
              <w:spacing w:after="0"/>
              <w:rPr>
                <w:sz w:val="20"/>
                <w:szCs w:val="20"/>
                <w:color w:val="auto"/>
              </w:rPr>
            </w:pPr>
            <w:r>
              <w:rPr>
                <w:rFonts w:ascii="Arial" w:cs="Arial" w:eastAsia="Arial" w:hAnsi="Arial"/>
                <w:sz w:val="17"/>
                <w:szCs w:val="17"/>
                <w:color w:val="0000FF"/>
              </w:rPr>
              <w:t>Controls and Procedures</w:t>
            </w:r>
          </w:p>
        </w:tc>
        <w:tc>
          <w:tcPr>
            <w:tcW w:w="544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0000FF"/>
                <w:w w:val="84"/>
              </w:rPr>
              <w:t>66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054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920" w:type="dxa"/>
            <w:vAlign w:val="bottom"/>
          </w:tcPr>
          <w:p>
            <w:pPr>
              <w:spacing w:after="0"/>
              <w:rPr>
                <w:sz w:val="24"/>
                <w:szCs w:val="24"/>
                <w:color w:val="auto"/>
              </w:rPr>
            </w:pPr>
          </w:p>
        </w:tc>
        <w:tc>
          <w:tcPr>
            <w:tcW w:w="962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2"/>
        </w:trPr>
        <w:tc>
          <w:tcPr>
            <w:tcW w:w="9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7"/>
                <w:szCs w:val="17"/>
                <w:color w:val="auto"/>
              </w:rPr>
              <w:t>Item 1.</w:t>
            </w:r>
          </w:p>
        </w:tc>
        <w:tc>
          <w:tcPr>
            <w:tcW w:w="9620" w:type="dxa"/>
            <w:vAlign w:val="bottom"/>
            <w:gridSpan w:val="17"/>
          </w:tcPr>
          <w:p>
            <w:pPr>
              <w:spacing w:after="0"/>
              <w:rPr>
                <w:sz w:val="20"/>
                <w:szCs w:val="20"/>
                <w:color w:val="auto"/>
              </w:rPr>
            </w:pPr>
            <w:r>
              <w:rPr>
                <w:rFonts w:ascii="Arial" w:cs="Arial" w:eastAsia="Arial" w:hAnsi="Arial"/>
                <w:sz w:val="17"/>
                <w:szCs w:val="17"/>
                <w:color w:val="0000FF"/>
              </w:rPr>
              <w:t>Legal Proceedings</w:t>
            </w: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0000FF"/>
              </w:rPr>
              <w:t>67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Borders>
              <w:left w:val="single" w:sz="8" w:color="0000FF"/>
            </w:tcBorders>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Item 1A.</w:t>
            </w:r>
          </w:p>
        </w:tc>
        <w:tc>
          <w:tcPr>
            <w:tcW w:w="880" w:type="dxa"/>
            <w:vAlign w:val="bottom"/>
            <w:gridSpan w:val="4"/>
          </w:tcPr>
          <w:p>
            <w:pPr>
              <w:spacing w:after="0"/>
              <w:rPr>
                <w:sz w:val="20"/>
                <w:szCs w:val="20"/>
                <w:color w:val="auto"/>
              </w:rPr>
            </w:pPr>
            <w:r>
              <w:rPr>
                <w:rFonts w:ascii="Arial" w:cs="Arial" w:eastAsia="Arial" w:hAnsi="Arial"/>
                <w:sz w:val="17"/>
                <w:szCs w:val="17"/>
                <w:color w:val="0000FF"/>
                <w:w w:val="90"/>
              </w:rPr>
              <w:t>Risk Factors</w:t>
            </w:r>
          </w:p>
        </w:tc>
        <w:tc>
          <w:tcPr>
            <w:tcW w:w="380" w:type="dxa"/>
            <w:vAlign w:val="bottom"/>
          </w:tcPr>
          <w:p>
            <w:pPr>
              <w:spacing w:after="0"/>
              <w:rPr>
                <w:sz w:val="24"/>
                <w:szCs w:val="24"/>
                <w:color w:val="auto"/>
              </w:rPr>
            </w:pPr>
          </w:p>
        </w:tc>
        <w:tc>
          <w:tcPr>
            <w:tcW w:w="8360" w:type="dxa"/>
            <w:vAlign w:val="bottom"/>
            <w:gridSpan w:val="12"/>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0000FF"/>
                <w:w w:val="84"/>
              </w:rPr>
              <w:t>67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Item 2.</w:t>
            </w:r>
          </w:p>
        </w:tc>
        <w:tc>
          <w:tcPr>
            <w:tcW w:w="9620" w:type="dxa"/>
            <w:vAlign w:val="bottom"/>
            <w:gridSpan w:val="17"/>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0000FF"/>
                <w:w w:val="84"/>
              </w:rPr>
              <w:t>69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360" w:type="dxa"/>
            <w:vAlign w:val="bottom"/>
            <w:tcBorders>
              <w:left w:val="single" w:sz="8" w:color="0000FF"/>
            </w:tcBorders>
            <w:gridSpan w:val="1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Item 5.</w:t>
            </w:r>
          </w:p>
        </w:tc>
        <w:tc>
          <w:tcPr>
            <w:tcW w:w="962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0000FF"/>
                <w:w w:val="84"/>
              </w:rPr>
              <w:t>70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36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Item 6.</w:t>
            </w:r>
          </w:p>
        </w:tc>
        <w:tc>
          <w:tcPr>
            <w:tcW w:w="580" w:type="dxa"/>
            <w:vAlign w:val="bottom"/>
          </w:tcPr>
          <w:p>
            <w:pPr>
              <w:spacing w:after="0"/>
              <w:rPr>
                <w:sz w:val="20"/>
                <w:szCs w:val="20"/>
                <w:color w:val="auto"/>
              </w:rPr>
            </w:pPr>
            <w:r>
              <w:rPr>
                <w:rFonts w:ascii="Arial" w:cs="Arial" w:eastAsia="Arial" w:hAnsi="Arial"/>
                <w:sz w:val="17"/>
                <w:szCs w:val="17"/>
                <w:color w:val="0000FF"/>
                <w:w w:val="94"/>
              </w:rPr>
              <w:t>Exhibits</w:t>
            </w:r>
          </w:p>
        </w:tc>
        <w:tc>
          <w:tcPr>
            <w:tcW w:w="680" w:type="dxa"/>
            <w:vAlign w:val="bottom"/>
            <w:gridSpan w:val="4"/>
          </w:tcPr>
          <w:p>
            <w:pPr>
              <w:spacing w:after="0"/>
              <w:rPr>
                <w:sz w:val="24"/>
                <w:szCs w:val="24"/>
                <w:color w:val="auto"/>
              </w:rPr>
            </w:pPr>
          </w:p>
        </w:tc>
        <w:tc>
          <w:tcPr>
            <w:tcW w:w="8360" w:type="dxa"/>
            <w:vAlign w:val="bottom"/>
            <w:gridSpan w:val="12"/>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0000FF"/>
                <w:w w:val="84"/>
              </w:rPr>
              <w:t>71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8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7"/>
                <w:szCs w:val="17"/>
                <w:color w:val="0000FF"/>
                <w:w w:val="86"/>
              </w:rPr>
              <w:t>Signatures</w:t>
            </w:r>
          </w:p>
        </w:tc>
        <w:tc>
          <w:tcPr>
            <w:tcW w:w="888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0000FF"/>
                <w:w w:val="84"/>
              </w:rPr>
              <w:t>74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9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tab/>
        <w:t>FINANCIAL STATEMENTS</w:t>
      </w:r>
    </w:p>
    <w:p>
      <w:pPr>
        <w:spacing w:after="0" w:line="31"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NCR Voyix Corporation</w:t>
      </w:r>
    </w:p>
    <w:p>
      <w:pPr>
        <w:spacing w:after="0" w:line="12"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5"/>
          </w:tcPr>
          <w:p>
            <w:pPr>
              <w:ind w:left="40"/>
              <w:spacing w:after="0"/>
              <w:rPr>
                <w:sz w:val="20"/>
                <w:szCs w:val="20"/>
                <w:color w:val="auto"/>
              </w:rPr>
            </w:pPr>
            <w:r>
              <w:rPr>
                <w:rFonts w:ascii="Arial" w:cs="Arial" w:eastAsia="Arial" w:hAnsi="Arial"/>
                <w:sz w:val="17"/>
                <w:szCs w:val="17"/>
                <w:b w:val="1"/>
                <w:bCs w:val="1"/>
                <w:color w:val="auto"/>
              </w:rPr>
              <w:t>Three months ended September 30</w:t>
            </w:r>
          </w:p>
        </w:tc>
        <w:tc>
          <w:tcPr>
            <w:tcW w:w="140" w:type="dxa"/>
            <w:vAlign w:val="bottom"/>
          </w:tcPr>
          <w:p>
            <w:pPr>
              <w:spacing w:after="0"/>
              <w:rPr>
                <w:sz w:val="19"/>
                <w:szCs w:val="19"/>
                <w:color w:val="auto"/>
              </w:rPr>
            </w:pPr>
          </w:p>
        </w:tc>
        <w:tc>
          <w:tcPr>
            <w:tcW w:w="2700" w:type="dxa"/>
            <w:vAlign w:val="bottom"/>
            <w:gridSpan w:val="4"/>
          </w:tcPr>
          <w:p>
            <w:pPr>
              <w:jc w:val="right"/>
              <w:ind w:right="94"/>
              <w:spacing w:after="0"/>
              <w:rPr>
                <w:sz w:val="20"/>
                <w:szCs w:val="20"/>
                <w:color w:val="auto"/>
              </w:rPr>
            </w:pPr>
            <w:r>
              <w:rPr>
                <w:rFonts w:ascii="Arial" w:cs="Arial" w:eastAsia="Arial" w:hAnsi="Arial"/>
                <w:sz w:val="17"/>
                <w:szCs w:val="17"/>
                <w:b w:val="1"/>
                <w:bCs w:val="1"/>
                <w:color w:val="auto"/>
                <w:w w:val="91"/>
              </w:rPr>
              <w:t>Nine months ended September 30</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22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 revenue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4,237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4,115</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1,399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2,902</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886</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1,775</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5,394</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5,512</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(85)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Income (loss) from continuing operations before income taxes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Income (loss) from continuing operations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discontinued operations, net of tax</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(123)</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(95)</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Net income (loss) attributable to NCR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Amounts attributable to NCR common stockholders:</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(124)</w:t>
            </w:r>
          </w:p>
        </w:tc>
        <w:tc>
          <w:tcPr>
            <w:tcW w:w="14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(95)</w:t>
            </w:r>
          </w:p>
        </w:tc>
        <w:tc>
          <w:tcPr>
            <w:tcW w:w="14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convertible preferred stock dividends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49"/>
        </w:trPr>
        <w:tc>
          <w:tcPr>
            <w:tcW w:w="5320" w:type="dxa"/>
            <w:vAlign w:val="bottom"/>
          </w:tcPr>
          <w:p>
            <w:pPr>
              <w:ind w:left="340"/>
              <w:spacing w:after="0" w:line="150" w:lineRule="exact"/>
              <w:rPr>
                <w:sz w:val="20"/>
                <w:szCs w:val="20"/>
                <w:color w:val="auto"/>
              </w:rPr>
            </w:pPr>
            <w:r>
              <w:rPr>
                <w:rFonts w:ascii="Arial" w:cs="Arial" w:eastAsia="Arial" w:hAnsi="Arial"/>
                <w:sz w:val="17"/>
                <w:szCs w:val="17"/>
                <w:color w:val="auto"/>
                <w:w w:val="94"/>
              </w:rPr>
              <w:t>Income (loss) from continuing operations attributable to NCR common</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320" w:type="dxa"/>
            <w:vAlign w:val="bottom"/>
          </w:tcPr>
          <w:p>
            <w:pPr>
              <w:ind w:left="340"/>
              <w:spacing w:after="0"/>
              <w:rPr>
                <w:sz w:val="20"/>
                <w:szCs w:val="20"/>
                <w:color w:val="auto"/>
              </w:rPr>
            </w:pPr>
            <w:r>
              <w:rPr>
                <w:rFonts w:ascii="Arial" w:cs="Arial" w:eastAsia="Arial" w:hAnsi="Arial"/>
                <w:sz w:val="17"/>
                <w:szCs w:val="17"/>
                <w:color w:val="auto"/>
              </w:rPr>
              <w:t>stockholders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(128)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discontinued operations, net of tax</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3"/>
        </w:trPr>
        <w:tc>
          <w:tcPr>
            <w:tcW w:w="5320" w:type="dxa"/>
            <w:vAlign w:val="bottom"/>
          </w:tcPr>
          <w:p>
            <w:pPr>
              <w:ind w:left="340"/>
              <w:spacing w:after="0"/>
              <w:rPr>
                <w:sz w:val="20"/>
                <w:szCs w:val="20"/>
                <w:color w:val="auto"/>
              </w:rPr>
            </w:pPr>
            <w:r>
              <w:rPr>
                <w:rFonts w:ascii="Arial" w:cs="Arial" w:eastAsia="Arial" w:hAnsi="Arial"/>
                <w:sz w:val="17"/>
                <w:szCs w:val="17"/>
                <w:color w:val="auto"/>
              </w:rPr>
              <w:t>Net income (loss) attributable to NCR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w w:val="97"/>
              </w:rPr>
              <w:t>Income (loss) per share attributable to NCR common stockholders:</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Income (loss) per common share from continuing operations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(0.91)</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(0.91)</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3"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0.46</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(0.76)</w:t>
            </w:r>
          </w:p>
        </w:tc>
        <w:tc>
          <w:tcPr>
            <w:tcW w:w="14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3"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0.42</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Net income (loss) per common share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340"/>
              <w:spacing w:after="0"/>
              <w:rPr>
                <w:sz w:val="20"/>
                <w:szCs w:val="20"/>
                <w:color w:val="auto"/>
              </w:rPr>
            </w:pPr>
            <w:r>
              <w:rPr>
                <w:rFonts w:ascii="Arial" w:cs="Arial" w:eastAsia="Arial" w:hAnsi="Arial"/>
                <w:sz w:val="17"/>
                <w:szCs w:val="17"/>
                <w:color w:val="auto"/>
              </w:rPr>
              <w:t>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(0.91)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(0.77)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0.47</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(0.91)</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Weighted average common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0" w:type="dxa"/>
            <w:vAlign w:val="bottom"/>
          </w:tcPr>
          <w:p>
            <w:pPr>
              <w:spacing w:after="0"/>
              <w:rPr>
                <w:sz w:val="1"/>
                <w:szCs w:val="1"/>
                <w:color w:val="auto"/>
              </w:rPr>
            </w:pPr>
          </w:p>
        </w:tc>
      </w:tr>
      <w:tr>
        <w:trPr>
          <w:trHeight w:val="226"/>
        </w:trPr>
        <w:tc>
          <w:tcPr>
            <w:tcW w:w="5320" w:type="dxa"/>
            <w:vAlign w:val="bottom"/>
          </w:tcPr>
          <w:p>
            <w:pPr>
              <w:ind w:left="34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140.9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140.3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NCR Voyix Corporation</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5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5"/>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Currency translation adjustments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140"/>
              <w:spacing w:after="0"/>
              <w:rPr>
                <w:sz w:val="20"/>
                <w:szCs w:val="20"/>
                <w:color w:val="auto"/>
              </w:rPr>
            </w:pPr>
            <w:r>
              <w:rPr>
                <w:rFonts w:ascii="Arial" w:cs="Arial" w:eastAsia="Arial" w:hAnsi="Arial"/>
                <w:sz w:val="17"/>
                <w:szCs w:val="17"/>
                <w:color w:val="auto"/>
              </w:rPr>
              <w:t>Currency translation gains (loss)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Derivatives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140"/>
              <w:spacing w:after="0"/>
              <w:rPr>
                <w:sz w:val="20"/>
                <w:szCs w:val="20"/>
                <w:color w:val="auto"/>
              </w:rPr>
            </w:pPr>
            <w:r>
              <w:rPr>
                <w:rFonts w:ascii="Arial" w:cs="Arial" w:eastAsia="Arial" w:hAnsi="Arial"/>
                <w:sz w:val="17"/>
                <w:szCs w:val="17"/>
                <w:color w:val="auto"/>
              </w:rPr>
              <w:t>Unrealized gains (loss) on derivatives</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(gains) on derivatives recognized during the period</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5400" w:type="dxa"/>
            <w:vAlign w:val="bottom"/>
          </w:tcPr>
          <w:p>
            <w:pPr>
              <w:ind w:left="360"/>
              <w:spacing w:after="0"/>
              <w:rPr>
                <w:sz w:val="20"/>
                <w:szCs w:val="20"/>
                <w:color w:val="auto"/>
              </w:rPr>
            </w:pPr>
            <w:r>
              <w:rPr>
                <w:rFonts w:ascii="Arial" w:cs="Arial" w:eastAsia="Arial" w:hAnsi="Arial"/>
                <w:sz w:val="17"/>
                <w:szCs w:val="17"/>
                <w:color w:val="auto"/>
              </w:rPr>
              <w:t>Less income tax</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Employee benefit plans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140"/>
              <w:spacing w:after="0"/>
              <w:rPr>
                <w:sz w:val="20"/>
                <w:szCs w:val="20"/>
                <w:color w:val="auto"/>
              </w:rPr>
            </w:pPr>
            <w:r>
              <w:rPr>
                <w:rFonts w:ascii="Arial" w:cs="Arial" w:eastAsia="Arial" w:hAnsi="Arial"/>
                <w:sz w:val="17"/>
                <w:szCs w:val="17"/>
                <w:color w:val="auto"/>
              </w:rPr>
              <w:t>Amortization of prior service cost (benefit)</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gain arising during the period</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400" w:type="dxa"/>
            <w:vAlign w:val="bottom"/>
          </w:tcPr>
          <w:p>
            <w:pPr>
              <w:ind w:left="140"/>
              <w:spacing w:after="0"/>
              <w:rPr>
                <w:sz w:val="20"/>
                <w:szCs w:val="20"/>
                <w:color w:val="auto"/>
              </w:rPr>
            </w:pPr>
            <w:r>
              <w:rPr>
                <w:rFonts w:ascii="Arial" w:cs="Arial" w:eastAsia="Arial" w:hAnsi="Arial"/>
                <w:sz w:val="17"/>
                <w:szCs w:val="17"/>
                <w:color w:val="auto"/>
              </w:rPr>
              <w:t>Amortization of actuarial loss (gains)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Less income tax</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comprehensive income (loss)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w w:val="96"/>
              </w:rPr>
              <w:t>Less comprehensive income (loss) attributable to noncontrolling interests: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5400" w:type="dxa"/>
            <w:vAlign w:val="bottom"/>
          </w:tcPr>
          <w:p>
            <w:pPr>
              <w:ind w:left="140"/>
              <w:spacing w:after="0"/>
              <w:rPr>
                <w:sz w:val="20"/>
                <w:szCs w:val="20"/>
                <w:color w:val="auto"/>
              </w:rPr>
            </w:pPr>
            <w:r>
              <w:rPr>
                <w:rFonts w:ascii="Arial" w:cs="Arial" w:eastAsia="Arial" w:hAnsi="Arial"/>
                <w:sz w:val="17"/>
                <w:szCs w:val="17"/>
                <w:color w:val="auto"/>
              </w:rPr>
              <w:t>Currency translation gains (losses)</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Amounts attributable to noncontrolling interests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 attributable to NCR</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(213)</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NCR Voyix Corporation</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7"/>
                <w:szCs w:val="17"/>
                <w:color w:val="auto"/>
              </w:rPr>
            </w:pPr>
          </w:p>
        </w:tc>
        <w:tc>
          <w:tcPr>
            <w:tcW w:w="1420" w:type="dxa"/>
            <w:vAlign w:val="bottom"/>
          </w:tcPr>
          <w:p>
            <w:pPr>
              <w:jc w:val="right"/>
              <w:ind w:right="62"/>
              <w:spacing w:after="0"/>
              <w:rPr>
                <w:sz w:val="20"/>
                <w:szCs w:val="20"/>
                <w:color w:val="auto"/>
              </w:rPr>
            </w:pPr>
            <w:r>
              <w:rPr>
                <w:rFonts w:ascii="Arial" w:cs="Arial" w:eastAsia="Arial" w:hAnsi="Arial"/>
                <w:sz w:val="16"/>
                <w:szCs w:val="16"/>
                <w:b w:val="1"/>
                <w:bCs w:val="1"/>
                <w:color w:val="auto"/>
                <w:w w:val="87"/>
              </w:rPr>
              <w:t>December 31, 2022</w:t>
            </w:r>
          </w:p>
        </w:tc>
        <w:tc>
          <w:tcPr>
            <w:tcW w:w="0" w:type="dxa"/>
            <w:vAlign w:val="bottom"/>
          </w:tcPr>
          <w:p>
            <w:pPr>
              <w:spacing w:after="0"/>
              <w:rPr>
                <w:sz w:val="1"/>
                <w:szCs w:val="1"/>
                <w:color w:val="auto"/>
              </w:rPr>
            </w:pPr>
          </w:p>
        </w:tc>
      </w:tr>
      <w:tr>
        <w:trPr>
          <w:trHeight w:val="190"/>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5"/>
        </w:trPr>
        <w:tc>
          <w:tcPr>
            <w:tcW w:w="7840" w:type="dxa"/>
            <w:vAlign w:val="bottom"/>
          </w:tcPr>
          <w:p>
            <w:pPr>
              <w:ind w:left="340"/>
              <w:spacing w:after="0"/>
              <w:rPr>
                <w:sz w:val="20"/>
                <w:szCs w:val="20"/>
                <w:color w:val="auto"/>
              </w:rPr>
            </w:pPr>
            <w:r>
              <w:rPr>
                <w:rFonts w:ascii="Arial" w:cs="Arial" w:eastAsia="Arial" w:hAnsi="Arial"/>
                <w:sz w:val="16"/>
                <w:szCs w:val="16"/>
                <w:color w:val="auto"/>
                <w:w w:val="88"/>
              </w:rPr>
              <w:t>Accounts receivable, net of allowances of $42 and $34 as of September 30, 2023 and December 31, 2022, respectively</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950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05"/>
        </w:trPr>
        <w:tc>
          <w:tcPr>
            <w:tcW w:w="7840" w:type="dxa"/>
            <w:vAlign w:val="bottom"/>
          </w:tcPr>
          <w:p>
            <w:pPr>
              <w:ind w:left="340"/>
              <w:spacing w:after="0"/>
              <w:rPr>
                <w:sz w:val="20"/>
                <w:szCs w:val="20"/>
                <w:color w:val="auto"/>
              </w:rPr>
            </w:pPr>
            <w:r>
              <w:rPr>
                <w:rFonts w:ascii="Arial" w:cs="Arial" w:eastAsia="Arial" w:hAnsi="Arial"/>
                <w:sz w:val="16"/>
                <w:szCs w:val="16"/>
                <w:color w:val="auto"/>
              </w:rPr>
              <w:t>Restricted cash, current</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270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98"/>
        </w:trPr>
        <w:tc>
          <w:tcPr>
            <w:tcW w:w="78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3,093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692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4,537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net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337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pension cost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430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2,068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831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13,223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340"/>
              <w:spacing w:after="0"/>
              <w:rPr>
                <w:sz w:val="20"/>
                <w:szCs w:val="20"/>
                <w:color w:val="auto"/>
              </w:rPr>
            </w:pPr>
            <w:r>
              <w:rPr>
                <w:rFonts w:ascii="Arial" w:cs="Arial" w:eastAsia="Arial" w:hAnsi="Arial"/>
                <w:sz w:val="16"/>
                <w:szCs w:val="16"/>
                <w:color w:val="auto"/>
              </w:rPr>
              <w:t>Short-term borrowings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113</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05"/>
        </w:trPr>
        <w:tc>
          <w:tcPr>
            <w:tcW w:w="7840" w:type="dxa"/>
            <w:vAlign w:val="bottom"/>
          </w:tcPr>
          <w:p>
            <w:pPr>
              <w:ind w:left="340"/>
              <w:spacing w:after="0"/>
              <w:rPr>
                <w:sz w:val="20"/>
                <w:szCs w:val="20"/>
                <w:color w:val="auto"/>
              </w:rPr>
            </w:pPr>
            <w:r>
              <w:rPr>
                <w:rFonts w:ascii="Arial" w:cs="Arial" w:eastAsia="Arial" w:hAnsi="Arial"/>
                <w:sz w:val="16"/>
                <w:szCs w:val="16"/>
                <w:color w:val="auto"/>
              </w:rPr>
              <w:t>Payroll and benefits liabilities</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318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Contract 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5"/>
        </w:trPr>
        <w:tc>
          <w:tcPr>
            <w:tcW w:w="7840" w:type="dxa"/>
            <w:vAlign w:val="bottom"/>
          </w:tcPr>
          <w:p>
            <w:pPr>
              <w:ind w:left="340"/>
              <w:spacing w:after="0"/>
              <w:rPr>
                <w:sz w:val="20"/>
                <w:szCs w:val="20"/>
                <w:color w:val="auto"/>
              </w:rPr>
            </w:pPr>
            <w:r>
              <w:rPr>
                <w:rFonts w:ascii="Arial" w:cs="Arial" w:eastAsia="Arial" w:hAnsi="Arial"/>
                <w:sz w:val="16"/>
                <w:szCs w:val="16"/>
                <w:color w:val="auto"/>
              </w:rPr>
              <w:t>Settlement liabilities</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233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660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198"/>
        </w:trPr>
        <w:tc>
          <w:tcPr>
            <w:tcW w:w="78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2,680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7,416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Pension and indemnity plan liabilities</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641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Postretirement and postemployment benefits 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Income tax accruals</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100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0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11,576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9,753</w:t>
            </w:r>
          </w:p>
        </w:tc>
        <w:tc>
          <w:tcPr>
            <w:tcW w:w="0" w:type="dxa"/>
            <w:vAlign w:val="bottom"/>
          </w:tcPr>
          <w:p>
            <w:pPr>
              <w:spacing w:after="0"/>
              <w:rPr>
                <w:sz w:val="1"/>
                <w:szCs w:val="1"/>
                <w:color w:val="auto"/>
              </w:rPr>
            </w:pPr>
          </w:p>
        </w:tc>
      </w:tr>
      <w:tr>
        <w:trPr>
          <w:trHeight w:val="185"/>
        </w:trPr>
        <w:tc>
          <w:tcPr>
            <w:tcW w:w="78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Commitments and Contingencies (Note 10)</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8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86"/>
              </w:rPr>
              <w:t>Series A convertible preferred stock: par value $0.01 per share, 3.0 shares authorized, 0.3 shares issued and outstanding as of</w:t>
            </w: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0"/>
              </w:rPr>
              <w:t>September 30, 2023 and December 31, 2022; redemption amount and liquidation preference of $276 as of September 30,</w:t>
            </w:r>
          </w:p>
        </w:tc>
        <w:tc>
          <w:tcPr>
            <w:tcW w:w="16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and December 31, 2022</w:t>
            </w:r>
          </w:p>
        </w:tc>
        <w:tc>
          <w:tcPr>
            <w:tcW w:w="16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NCR stockholders’ equity</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340"/>
              <w:spacing w:after="0" w:line="158" w:lineRule="exact"/>
              <w:rPr>
                <w:sz w:val="20"/>
                <w:szCs w:val="20"/>
                <w:color w:val="auto"/>
              </w:rPr>
            </w:pPr>
            <w:r>
              <w:rPr>
                <w:rFonts w:ascii="Arial" w:cs="Arial" w:eastAsia="Arial" w:hAnsi="Arial"/>
                <w:sz w:val="16"/>
                <w:szCs w:val="16"/>
                <w:color w:val="auto"/>
                <w:w w:val="87"/>
              </w:rPr>
              <w:t>Preferred stock: par value $0.01 per share, 100.0 shares authorized, no shares issued and outstanding as of September</w:t>
            </w:r>
          </w:p>
        </w:tc>
        <w:tc>
          <w:tcPr>
            <w:tcW w:w="160" w:type="dxa"/>
            <w:vAlign w:val="bottom"/>
          </w:tcPr>
          <w:p>
            <w:pPr>
              <w:spacing w:after="0"/>
              <w:rPr>
                <w:sz w:val="13"/>
                <w:szCs w:val="13"/>
                <w:color w:val="auto"/>
              </w:rPr>
            </w:pPr>
          </w:p>
        </w:tc>
        <w:tc>
          <w:tcPr>
            <w:tcW w:w="16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840" w:type="dxa"/>
            <w:vAlign w:val="bottom"/>
          </w:tcPr>
          <w:p>
            <w:pPr>
              <w:ind w:left="340"/>
              <w:spacing w:after="0"/>
              <w:rPr>
                <w:sz w:val="20"/>
                <w:szCs w:val="20"/>
                <w:color w:val="auto"/>
              </w:rPr>
            </w:pPr>
            <w:r>
              <w:rPr>
                <w:rFonts w:ascii="Arial" w:cs="Arial" w:eastAsia="Arial" w:hAnsi="Arial"/>
                <w:sz w:val="16"/>
                <w:szCs w:val="16"/>
                <w:color w:val="auto"/>
              </w:rPr>
              <w:t>30, 2023 and December 31, 2022</w:t>
            </w:r>
          </w:p>
        </w:tc>
        <w:tc>
          <w:tcPr>
            <w:tcW w:w="1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840" w:type="dxa"/>
            <w:vAlign w:val="bottom"/>
            <w:shd w:val="clear" w:color="auto" w:fill="CCEEFF"/>
          </w:tcPr>
          <w:p>
            <w:pPr>
              <w:ind w:left="340"/>
              <w:spacing w:after="0" w:line="161" w:lineRule="exact"/>
              <w:rPr>
                <w:sz w:val="20"/>
                <w:szCs w:val="20"/>
                <w:color w:val="auto"/>
              </w:rPr>
            </w:pPr>
            <w:r>
              <w:rPr>
                <w:rFonts w:ascii="Arial" w:cs="Arial" w:eastAsia="Arial" w:hAnsi="Arial"/>
                <w:sz w:val="16"/>
                <w:szCs w:val="16"/>
                <w:color w:val="auto"/>
                <w:w w:val="86"/>
              </w:rPr>
              <w:t>Common stock: par value $0.01 per share, 500.0 shares authorized, 140.9 and 138.0 shares issued and outstanding as of</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September 30, 2023 and December 31, 2022, respectively</w:t>
            </w:r>
          </w:p>
        </w:tc>
        <w:tc>
          <w:tcPr>
            <w:tcW w:w="16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340"/>
              <w:spacing w:after="0"/>
              <w:rPr>
                <w:sz w:val="20"/>
                <w:szCs w:val="20"/>
                <w:color w:val="auto"/>
              </w:rPr>
            </w:pPr>
            <w:r>
              <w:rPr>
                <w:rFonts w:ascii="Arial" w:cs="Arial" w:eastAsia="Arial" w:hAnsi="Arial"/>
                <w:sz w:val="16"/>
                <w:szCs w:val="16"/>
                <w:color w:val="auto"/>
              </w:rPr>
              <w:t>Paid-in capital</w:t>
            </w:r>
          </w:p>
        </w:tc>
        <w:tc>
          <w:tcPr>
            <w:tcW w:w="16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b w:val="1"/>
                <w:bCs w:val="1"/>
                <w:color w:val="auto"/>
              </w:rPr>
              <w:t>806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05"/>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NCR stockholders’ equity</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1,372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Noncontrolling interests in subsidiaries</w:t>
            </w:r>
          </w:p>
        </w:tc>
        <w:tc>
          <w:tcPr>
            <w:tcW w:w="1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1,372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198"/>
        </w:trPr>
        <w:tc>
          <w:tcPr>
            <w:tcW w:w="78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13,223</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11,507</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NCR Voyix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jc w:val="right"/>
              <w:ind w:right="63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80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18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Loss (income) from discontinued operations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Gain on terminated interest rate derivative agreements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other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Loss (gain) on disposal of property, plant and equipment and other assets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divestiture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800" w:type="dxa"/>
            <w:vAlign w:val="bottom"/>
          </w:tcPr>
          <w:p>
            <w:pPr>
              <w:ind w:left="220"/>
              <w:spacing w:after="0"/>
              <w:rPr>
                <w:sz w:val="20"/>
                <w:szCs w:val="20"/>
                <w:color w:val="auto"/>
              </w:rPr>
            </w:pPr>
            <w:r>
              <w:rPr>
                <w:rFonts w:ascii="Arial" w:cs="Arial" w:eastAsia="Arial" w:hAnsi="Arial"/>
                <w:sz w:val="16"/>
                <w:szCs w:val="16"/>
                <w:color w:val="auto"/>
              </w:rPr>
              <w:t>Changes in assets and liabilities, net of effects of business acquired: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Receivables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6"/>
        </w:trPr>
        <w:tc>
          <w:tcPr>
            <w:tcW w:w="7800" w:type="dxa"/>
            <w:vAlign w:val="bottom"/>
          </w:tcPr>
          <w:p>
            <w:pPr>
              <w:ind w:left="52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Current payables and accrued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7800" w:type="dxa"/>
            <w:vAlign w:val="bottom"/>
          </w:tcPr>
          <w:p>
            <w:pPr>
              <w:ind w:left="520"/>
              <w:spacing w:after="0"/>
              <w:rPr>
                <w:sz w:val="20"/>
                <w:szCs w:val="20"/>
                <w:color w:val="auto"/>
              </w:rPr>
            </w:pPr>
            <w:r>
              <w:rPr>
                <w:rFonts w:ascii="Arial" w:cs="Arial" w:eastAsia="Arial" w:hAnsi="Arial"/>
                <w:sz w:val="16"/>
                <w:szCs w:val="16"/>
                <w:color w:val="auto"/>
              </w:rPr>
              <w:t>Contract liabilities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Employee benefit plans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Other assets and liabilities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728</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96"/>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Expenditures for property, plant and equipment</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Proceeds from sale of property, plant and equipment and other assets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to capitalized software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Business acquisitions, net of cash acquired</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divestiture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Purchases of investments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w:t>
            </w:r>
          </w:p>
        </w:tc>
        <w:tc>
          <w:tcPr>
            <w:tcW w:w="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Payments on term credit facilities</w:t>
            </w:r>
          </w:p>
        </w:tc>
        <w:tc>
          <w:tcPr>
            <w:tcW w:w="400" w:type="dxa"/>
            <w:vAlign w:val="bottom"/>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18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revolving credit facilities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Borrowings on term credit facilities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726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revolving credit facilities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Proceeds from issuance of senior unsecured notes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1,333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other financing arrangements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Cash dividend paid for Series A preferred shares dividends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employee stock plans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Tax withholding payments on behalf of employees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client funds obligations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Principal payments for finance lease obligations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financing activities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1,879</w:t>
            </w:r>
          </w:p>
        </w:tc>
        <w:tc>
          <w:tcPr>
            <w:tcW w:w="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discontinued operations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Net cash provided by (used in) operating activities of discontinued operations</w:t>
            </w:r>
          </w:p>
        </w:tc>
        <w:tc>
          <w:tcPr>
            <w:tcW w:w="400" w:type="dxa"/>
            <w:vAlign w:val="bottom"/>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2,273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3,013</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3"/>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 xml:space="preserve">Supplemental disclosures of noncash investing and financing activities </w:t>
      </w:r>
      <w:r>
        <w:rPr>
          <w:rFonts w:ascii="Arial" w:cs="Arial" w:eastAsia="Arial" w:hAnsi="Arial"/>
          <w:sz w:val="16"/>
          <w:szCs w:val="16"/>
          <w:color w:val="auto"/>
        </w:rPr>
        <w:t>During the nine months ended September 30, 2022, we issued shares of the Company's common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assumed unvested outstanding option awards in the acquisition of Moon Inc., dba LibertyX, for total non-cash consideration of $68 million. In connection with the acquisition, we also assumed debt of $2 million. Refer to Note 2, “Business Combinations”,</w:t>
      </w:r>
    </w:p>
    <w:p>
      <w:pPr>
        <w:spacing w:after="0" w:line="2" w:lineRule="exact"/>
        <w:rPr>
          <w:sz w:val="20"/>
          <w:szCs w:val="20"/>
          <w:color w:val="auto"/>
        </w:rPr>
      </w:pPr>
    </w:p>
    <w:p>
      <w:pPr>
        <w:jc w:val="both"/>
        <w:spacing w:after="0" w:line="326" w:lineRule="auto"/>
        <w:rPr>
          <w:sz w:val="20"/>
          <w:szCs w:val="20"/>
          <w:color w:val="auto"/>
        </w:rPr>
      </w:pPr>
      <w:r>
        <w:rPr>
          <w:rFonts w:ascii="Arial" w:cs="Arial" w:eastAsia="Arial" w:hAnsi="Arial"/>
          <w:sz w:val="14"/>
          <w:szCs w:val="14"/>
          <w:color w:val="auto"/>
        </w:rPr>
        <w:t>for additional information on the LibertyX acquisition. Additionally, total discounts and deferred financing fees related to the Atleos borrowings were $79 million, with $38 million included in Other current liabilities as of September 30, 2023 and reflected above as a non-cash item. Refer to Note 5, “Debt Obligations” for additional information.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90805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NCR Voyix Corporation</w:t>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Condensed Consolidated Statements of Changes in Stockholder’s Equity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rPr>
              <w:t>NCR Stockholders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17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Non-Redeemable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396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Accumulated Other</w:t>
            </w: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8"/>
              </w:rPr>
              <w:t>Interests in</w:t>
            </w:r>
          </w:p>
        </w:tc>
        <w:tc>
          <w:tcPr>
            <w:tcW w:w="16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9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(Loss) Income</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1,479</w:t>
            </w:r>
          </w:p>
        </w:tc>
        <w:tc>
          <w:tcPr>
            <w:tcW w:w="0" w:type="dxa"/>
            <w:vAlign w:val="bottom"/>
          </w:tcPr>
          <w:p>
            <w:pPr>
              <w:spacing w:after="0"/>
              <w:rPr>
                <w:sz w:val="1"/>
                <w:szCs w:val="1"/>
                <w:color w:val="auto"/>
              </w:rPr>
            </w:pPr>
          </w:p>
        </w:tc>
      </w:tr>
      <w:tr>
        <w:trPr>
          <w:trHeight w:val="185"/>
        </w:trPr>
        <w:tc>
          <w:tcPr>
            <w:tcW w:w="39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7"/>
        </w:trPr>
        <w:tc>
          <w:tcPr>
            <w:tcW w:w="3960" w:type="dxa"/>
            <w:vAlign w:val="bottom"/>
          </w:tcPr>
          <w:p>
            <w:pPr>
              <w:ind w:left="340"/>
              <w:spacing w:after="0"/>
              <w:rPr>
                <w:sz w:val="20"/>
                <w:szCs w:val="20"/>
                <w:color w:val="auto"/>
              </w:rPr>
            </w:pPr>
            <w:r>
              <w:rPr>
                <w:rFonts w:ascii="Arial" w:cs="Arial" w:eastAsia="Arial" w:hAnsi="Arial"/>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comprehensive income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3960" w:type="dxa"/>
            <w:vAlign w:val="bottom"/>
          </w:tcPr>
          <w:p>
            <w:pPr>
              <w:ind w:left="140"/>
              <w:spacing w:after="0"/>
              <w:rPr>
                <w:sz w:val="20"/>
                <w:szCs w:val="20"/>
                <w:color w:val="auto"/>
              </w:rPr>
            </w:pPr>
            <w:r>
              <w:rPr>
                <w:rFonts w:ascii="Arial" w:cs="Arial" w:eastAsia="Arial" w:hAnsi="Arial"/>
                <w:sz w:val="14"/>
                <w:szCs w:val="14"/>
                <w:color w:val="auto"/>
              </w:rPr>
              <w:t>Employee stock purchase and stock compensation plans</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A convertible preferred stock dividends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March 31, 2023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1,080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(319)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1,488</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6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comprehensive income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8"/>
        </w:trPr>
        <w:tc>
          <w:tcPr>
            <w:tcW w:w="3960" w:type="dxa"/>
            <w:vAlign w:val="bottom"/>
          </w:tcPr>
          <w:p>
            <w:pPr>
              <w:ind w:left="140"/>
              <w:spacing w:after="0"/>
              <w:rPr>
                <w:sz w:val="20"/>
                <w:szCs w:val="20"/>
                <w:color w:val="auto"/>
              </w:rPr>
            </w:pPr>
            <w:r>
              <w:rPr>
                <w:rFonts w:ascii="Arial" w:cs="Arial" w:eastAsia="Arial" w:hAnsi="Arial"/>
                <w:sz w:val="14"/>
                <w:szCs w:val="14"/>
                <w:color w:val="auto"/>
              </w:rPr>
              <w:t>Total comprehensive income (loss)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purchase and stock compensation plans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7"/>
        </w:trPr>
        <w:tc>
          <w:tcPr>
            <w:tcW w:w="3960" w:type="dxa"/>
            <w:vAlign w:val="bottom"/>
          </w:tcPr>
          <w:p>
            <w:pPr>
              <w:ind w:left="140"/>
              <w:spacing w:after="0"/>
              <w:rPr>
                <w:sz w:val="20"/>
                <w:szCs w:val="20"/>
                <w:color w:val="auto"/>
              </w:rPr>
            </w:pPr>
            <w:r>
              <w:rPr>
                <w:rFonts w:ascii="Arial" w:cs="Arial" w:eastAsia="Arial" w:hAnsi="Arial"/>
                <w:sz w:val="14"/>
                <w:szCs w:val="14"/>
                <w:color w:val="auto"/>
              </w:rPr>
              <w:t>Series A convertible preferred stock dividends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Comprehensive income:</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7"/>
        </w:trPr>
        <w:tc>
          <w:tcPr>
            <w:tcW w:w="3960" w:type="dxa"/>
            <w:vAlign w:val="bottom"/>
          </w:tcPr>
          <w:p>
            <w:pPr>
              <w:ind w:left="340"/>
              <w:spacing w:after="0"/>
              <w:rPr>
                <w:sz w:val="20"/>
                <w:szCs w:val="20"/>
                <w:color w:val="auto"/>
              </w:rPr>
            </w:pPr>
            <w:r>
              <w:rPr>
                <w:rFonts w:ascii="Arial" w:cs="Arial" w:eastAsia="Arial" w:hAnsi="Arial"/>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comprehensive income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5"/>
        </w:trPr>
        <w:tc>
          <w:tcPr>
            <w:tcW w:w="3960" w:type="dxa"/>
            <w:vAlign w:val="bottom"/>
          </w:tcPr>
          <w:p>
            <w:pPr>
              <w:ind w:left="140"/>
              <w:spacing w:after="0"/>
              <w:rPr>
                <w:sz w:val="20"/>
                <w:szCs w:val="20"/>
                <w:color w:val="auto"/>
              </w:rPr>
            </w:pPr>
            <w:r>
              <w:rPr>
                <w:rFonts w:ascii="Arial" w:cs="Arial" w:eastAsia="Arial" w:hAnsi="Arial"/>
                <w:sz w:val="14"/>
                <w:szCs w:val="14"/>
                <w:color w:val="auto"/>
              </w:rPr>
              <w:t>Employee stock purchase and stock compensation plans</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A convertible preferred stock dividends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7"/>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September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NCR Voyix Corporation</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Condensed Consolidated Statements of Changes in Stockholder’s Equity (Unaudited) - (Continued)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rPr>
              <w:t>NCR Stockholders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180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Non-Redeemable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Accumulated Other</w:t>
            </w:r>
          </w:p>
        </w:tc>
        <w:tc>
          <w:tcPr>
            <w:tcW w:w="1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7"/>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8"/>
              </w:rPr>
              <w:t>Interests in</w:t>
            </w:r>
          </w:p>
        </w:tc>
        <w:tc>
          <w:tcPr>
            <w:tcW w:w="16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(Loss) Income</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1,259</w:t>
            </w:r>
          </w:p>
        </w:tc>
        <w:tc>
          <w:tcPr>
            <w:tcW w:w="0" w:type="dxa"/>
            <w:vAlign w:val="bottom"/>
          </w:tcPr>
          <w:p>
            <w:pPr>
              <w:spacing w:after="0"/>
              <w:rPr>
                <w:sz w:val="1"/>
                <w:szCs w:val="1"/>
                <w:color w:val="auto"/>
              </w:rPr>
            </w:pPr>
          </w:p>
        </w:tc>
      </w:tr>
      <w:tr>
        <w:trPr>
          <w:trHeight w:val="185"/>
        </w:trPr>
        <w:tc>
          <w:tcPr>
            <w:tcW w:w="394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income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7"/>
        </w:trPr>
        <w:tc>
          <w:tcPr>
            <w:tcW w:w="3940" w:type="dxa"/>
            <w:vAlign w:val="bottom"/>
          </w:tcPr>
          <w:p>
            <w:pPr>
              <w:ind w:left="320"/>
              <w:spacing w:after="0"/>
              <w:rPr>
                <w:sz w:val="20"/>
                <w:szCs w:val="20"/>
                <w:color w:val="auto"/>
              </w:rPr>
            </w:pPr>
            <w:r>
              <w:rPr>
                <w:rFonts w:ascii="Arial" w:cs="Arial" w:eastAsia="Arial" w:hAnsi="Arial"/>
                <w:sz w:val="14"/>
                <w:szCs w:val="14"/>
                <w:color w:val="auto"/>
              </w:rPr>
              <w:t>Other comprehensive income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4"/>
        </w:trPr>
        <w:tc>
          <w:tcPr>
            <w:tcW w:w="39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comprehensive income (loss)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Employee stock purchase and stock compensation plans</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issued in acquisition of LibertyX</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7"/>
        </w:trPr>
        <w:tc>
          <w:tcPr>
            <w:tcW w:w="3940" w:type="dxa"/>
            <w:vAlign w:val="bottom"/>
          </w:tcPr>
          <w:p>
            <w:pPr>
              <w:ind w:left="140"/>
              <w:spacing w:after="0"/>
              <w:rPr>
                <w:sz w:val="20"/>
                <w:szCs w:val="20"/>
                <w:color w:val="auto"/>
              </w:rPr>
            </w:pPr>
            <w:r>
              <w:rPr>
                <w:rFonts w:ascii="Arial" w:cs="Arial" w:eastAsia="Arial" w:hAnsi="Arial"/>
                <w:sz w:val="14"/>
                <w:szCs w:val="14"/>
                <w:color w:val="auto"/>
              </w:rPr>
              <w:t>Series A convertible preferred stock dividends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Comprehensive income:</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7"/>
        </w:trPr>
        <w:tc>
          <w:tcPr>
            <w:tcW w:w="3940" w:type="dxa"/>
            <w:vAlign w:val="bottom"/>
          </w:tcPr>
          <w:p>
            <w:pPr>
              <w:ind w:left="140"/>
              <w:spacing w:after="0"/>
              <w:rPr>
                <w:sz w:val="20"/>
                <w:szCs w:val="20"/>
                <w:color w:val="auto"/>
              </w:rPr>
            </w:pPr>
            <w:r>
              <w:rPr>
                <w:rFonts w:ascii="Arial" w:cs="Arial" w:eastAsia="Arial" w:hAnsi="Arial"/>
                <w:sz w:val="14"/>
                <w:szCs w:val="14"/>
                <w:color w:val="auto"/>
              </w:rPr>
              <w:t>Other comprehensive income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4"/>
        </w:trPr>
        <w:tc>
          <w:tcPr>
            <w:tcW w:w="39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comprehensive income (loss)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Employee stock purchase and stock compensation plans</w:t>
            </w: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A convertible preferred stock dividends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4"/>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June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1,373</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Comprehensive income:</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4"/>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8"/>
        </w:trPr>
        <w:tc>
          <w:tcPr>
            <w:tcW w:w="3940" w:type="dxa"/>
            <w:vAlign w:val="bottom"/>
          </w:tcPr>
          <w:p>
            <w:pPr>
              <w:ind w:left="140"/>
              <w:spacing w:after="0"/>
              <w:rPr>
                <w:sz w:val="20"/>
                <w:szCs w:val="20"/>
                <w:color w:val="auto"/>
              </w:rPr>
            </w:pPr>
            <w:r>
              <w:rPr>
                <w:rFonts w:ascii="Arial" w:cs="Arial" w:eastAsia="Arial" w:hAnsi="Arial"/>
                <w:sz w:val="14"/>
                <w:szCs w:val="14"/>
                <w:color w:val="auto"/>
              </w:rPr>
              <w:t>Total comprehensive income (loss)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4"/>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purchase and stock compensation plans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7"/>
        </w:trPr>
        <w:tc>
          <w:tcPr>
            <w:tcW w:w="3940" w:type="dxa"/>
            <w:vAlign w:val="bottom"/>
          </w:tcPr>
          <w:p>
            <w:pPr>
              <w:ind w:left="140"/>
              <w:spacing w:after="0"/>
              <w:rPr>
                <w:sz w:val="20"/>
                <w:szCs w:val="20"/>
                <w:color w:val="auto"/>
              </w:rPr>
            </w:pPr>
            <w:r>
              <w:rPr>
                <w:rFonts w:ascii="Arial" w:cs="Arial" w:eastAsia="Arial" w:hAnsi="Arial"/>
                <w:sz w:val="14"/>
                <w:szCs w:val="14"/>
                <w:color w:val="auto"/>
              </w:rPr>
              <w:t>Series A convertible preferred stock dividends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NCR Voyix Corporation</w:t>
      </w:r>
    </w:p>
    <w:p>
      <w:pPr>
        <w:spacing w:after="0" w:line="103"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346"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Index to Financial Statements and Supplemental Data</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1. Basis of Presentation and Summary of Significant Accounting Policies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2. Business Combinations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3. Goodwill and Purchased Intangible Assets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4. Segment Information and Concentrations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5. Debt Obligations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6. Trade Receivables Facility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7. Income Taxes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8. Stock Compensation Plans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9. Employee Benefit Plans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10. Commitments and Contingencies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11. Series A Convertible Preferred Stock</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12. Earnings Per Share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13. Derivatives and Hedging Instruments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14. Fair Value of Assets and Liabilities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15. Accumulated Other Comprehensive Income (Loss) (AOCI)</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Note 16.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0" w:name="page11"/>
    <w:bookmarkEnd w:id="10"/>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1. BASIS OF PRESENTATION AND SUMMARY OF SIGNIFICANT ACCOUNTING POLICIES</w:t>
      </w: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 xml:space="preserve">Spin-Off of NCR Atleos </w:t>
      </w:r>
      <w:r>
        <w:rPr>
          <w:rFonts w:ascii="Arial" w:cs="Arial" w:eastAsia="Arial" w:hAnsi="Arial"/>
          <w:sz w:val="16"/>
          <w:szCs w:val="16"/>
          <w:color w:val="auto"/>
        </w:rPr>
        <w:t>On September 15, 2022, NCR Voyix Corporation (“Voyix”, “NCR”, the “Company”, “we” or “us”), which, prior to its name change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October 13, 2023 was known as NCR Corporation, announced a plan to separate into two independent, publicly traded companies – one focused on digital commerce, the other on ATMs. On October 16, 2023, the Company completed its separation of its ATM-focused business, including its self-service banking, payments &amp; network and telecommunications and technology businesses, through the spin-off of its wholly owned subsidiary, NCR Atleos Corporation (“Atleos”), (the “Spin-Off”). The Spin-Off was effected through a pro rata distribution of all outstanding shares of Atleos common stock to holders of Voyix common stock as of the close of business on October 2, 2023 (the “record date”). The Company distributed one share of Atleos common stock for every two common shares of Voyix outstanding as of the record date. Shareholders received cash in lieu of fractional shares of Atleos common stock. The Spin-Off is expected to qualify as a tax-free distribution for U.S. federal income tax purposes. Atleos is an independent, publicly traded company focused on providing self-directed banking solutions to a global customer base, including financial institutions, retailers and consumers, and Voyix retains no ownership interest. Atleos’s common stock is listed on the New York Stock Exchange under the ticker symbol “NATL”. The historical financial results of Atleos are included in these condensed consolidated financial statements. Subsequent to the Spin-Off, and in future filings, the historical results of Atleos will be reflected as discontinued operations in the Company’s consolidated financial statements. Disclosures pertaining to Atleos’s issuance of debt in connection with the Spin-Off are provided in Note 5, “Debt Obligations”. Refer to Note 6, “Trade Receivables Facility”, Note 7, “Income Taxes”, Note 8, “Stock Compensation Plans”, Note 9, “Employee Benefit Plans”, Note 10, “Commitments and Contingencies”, Note 11, “Series A Convertible Preferred Stock” and Note 13, “Derivatives and Hedging Instruments” for additional disclosures related to the Spin-Off.</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connection with the Spin-Off, the Company and Atleos entered into various agreements to effect the Spin-Off and provide a framework for the relationship between the Company and Atleos after the Spin-Off. Such agreements include the separation and distribution agreement, as well as the following ongoing agreements: a transition services agreement, tax matters agreement, employee matters agreement, patent and technology cross-license agreement, trademark license and use agreement, master services agreement and various other transaction agreements. Under these agreements, the Company will continue to provide certain products and services to Atleos following the Spin-Off.</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Additionally, outstanding restricted stock units and stock options will be adjusted to maintain the economic value of those awards before and after the Spin-Off. Generally, continuing Voyix employees will retain the number of outstanding restricted stock units held by them as of the Spin-Off and will receive additional Voyix restricted stock units to reflect the Spin-Off, while continuing Atleos employees will have their outstanding restricted stock units held by them as of the Spin-Off converted solely into equivalent restricted stock units of Atleos, and any outstanding restricted stock units held by them as of the Spin-Off will be cancelled. Outstanding stock options at the time of the Spin-Off, regardless of the holder, will be converted into stock options of both Voyix and Atleos. In addition, outstanding restricted stock units held by certain key equity holders as of the Spin-Off (including directors and certain former employees) will be converted into restricted stock units of both Voyix and Atleos.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accompanying Condensed Consolidated Financial Statements have been prepared by the Company without audit pursuant to the rules and regulations of the U.S. Securities and Exchange Commission (“SEC”) and, in the opinion of management, include all adjustments (consisting of normal, recurring adjustments, unless otherwise disclosed) necessary for a fair statement of the condensed consolidated results of operations, financial position, and cash flows for each period presented. The consolidated results for the interim periods are not necessarily indicative of results to be expected for the full year. The 2022 year-end Condensed Consolidated Balance Sheet was derived from audited financial statements, but does not include all disclosures required by accounting principles generally accepted in the United States (GAAP). These financial statements should be read in conjunction with the Company’s Form 10-K for the year ended December 31, 2022.</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in accordance with GAAP requires management to make estimates and judgments that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amounts of assets and liabilities, the disclosure of contingent assets and liabilities at the date of the financial statements, and revenue and expenses during the period reported.</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the ongoing variants of the coronavirus (COVID-19) pandemic, macroeconomic pressures and geopolitical challenges. The ultimate impact on our overall financial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condition and operating results will depend on the duration and severity of the pandemic, supply chain challenges and cost escalations including materials, interest, labor and freight, and any additional governmental and public actions taken in response. As a result, our accounting estimates and assumptions may change over time as a consequence of the effects of these external factors. Such changes could result in future impairments of goodwill, intangible assets, long-lived assets, incremental credit losses on accounts receivable and decreases in the carrying amount of our tax assets.</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 xml:space="preserve">Evaluation of Subsequent Events </w:t>
      </w:r>
      <w:r>
        <w:rPr>
          <w:rFonts w:ascii="Arial" w:cs="Arial" w:eastAsia="Arial" w:hAnsi="Arial"/>
          <w:sz w:val="16"/>
          <w:szCs w:val="16"/>
          <w:color w:val="auto"/>
        </w:rPr>
        <w:t>The Company evaluated subsequent events through the date that our Condensed Consolidated Financial Statements were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Other than transactions associated with the Spin-Off and items discussed below and within the Notes to Condensed Consolidated Financial Statements, no matters were identified that required adjustment to the Condensed Consolidated Financial Statements or additional disclosure.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Divestiture </w:t>
      </w:r>
      <w:r>
        <w:rPr>
          <w:rFonts w:ascii="Arial" w:cs="Arial" w:eastAsia="Arial" w:hAnsi="Arial"/>
          <w:sz w:val="17"/>
          <w:szCs w:val="17"/>
          <w:color w:val="auto"/>
        </w:rPr>
        <w:t>On October 19, 2023, the Company divested of a portion of the assets that were deemed non-strategic to its payments business, consisting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merchant contracts, our front end authorization platform and certain relevant intellectual property for cash proceeds of $82 million. For the nine months ended September 30, 2023, total revenue for our payments business sold was $33 million.</w:t>
      </w:r>
    </w:p>
    <w:p>
      <w:pPr>
        <w:spacing w:after="0" w:line="19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Reclassifications </w:t>
      </w:r>
      <w:r>
        <w:rPr>
          <w:rFonts w:ascii="Arial" w:cs="Arial" w:eastAsia="Arial" w:hAnsi="Arial"/>
          <w:sz w:val="17"/>
          <w:szCs w:val="17"/>
          <w:color w:val="auto"/>
        </w:rPr>
        <w:t>Certain prior-period amounts have been reclassified in the accompanying Condensed Consolidated Financial Statements and Notes thereto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conform to the current period presentation. Reclassifications had no effect on prior year net income or stockholders’ equity.</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Cyber ransomware incident </w:t>
      </w:r>
      <w:r>
        <w:rPr>
          <w:rFonts w:ascii="Arial" w:cs="Arial" w:eastAsia="Arial" w:hAnsi="Arial"/>
          <w:sz w:val="16"/>
          <w:szCs w:val="16"/>
          <w:color w:val="auto"/>
        </w:rPr>
        <w:t>On April 13, 2023, the Company determined that a single data center outage impacting certain of its commerce customers was</w:t>
      </w:r>
      <w:r>
        <w:rPr>
          <w:rFonts w:ascii="Arial" w:cs="Arial" w:eastAsia="Arial" w:hAnsi="Arial"/>
          <w:sz w:val="16"/>
          <w:szCs w:val="16"/>
          <w:b w:val="1"/>
          <w:bCs w:val="1"/>
          <w:color w:val="auto"/>
        </w:rPr>
        <w:t xml:space="preserve"> </w:t>
      </w:r>
      <w:r>
        <w:rPr>
          <w:rFonts w:ascii="Arial" w:cs="Arial" w:eastAsia="Arial" w:hAnsi="Arial"/>
          <w:sz w:val="16"/>
          <w:szCs w:val="16"/>
          <w:color w:val="auto"/>
        </w:rPr>
        <w:t>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 cloud-based services and Counterpoint. Our investigation also concluded no financial reporting systems were impacted.</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the nine months ended September 30, 2023, we recognized $23 million related to this matter in Cost of services and Selling, general and administrative expenses. We may incur additional costs relating to this incident in the future, including expenses to respond to and remediate this matter, payment of damages or other costs to customers or others. While the Company’s response to this incident is ongoing, at this time we do not believe additional costs we may incur as a result of the incident will ultimately have a material adverse effect on our business, results of operations or financial condition; however, we remain subject to risks and uncertainties as a result of the incident. We will continue to assess the impact of the security event and cannot definitively determine, at this time, the full extent of the impact from such event on our business, results of operations or financial condition.</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In the first quarter of 2023, the Company recorded a $10 million out-of-period adjustment to increase operating expenses and an employee-related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correct for an understatement of such same balances during the fourth quarter of 2022. The Company evaluated the impact of the error and out-of-period adjustment and concluded it was not material to any previously issued interim or annual consolidated financial statements and the adjustment is not expected to be material to the year ending December 31, 2023.</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Cash, Cash Equivalents, and Restricted Cash </w:t>
      </w:r>
      <w:r>
        <w:rPr>
          <w:rFonts w:ascii="Arial" w:cs="Arial" w:eastAsia="Arial" w:hAnsi="Arial"/>
          <w:sz w:val="15"/>
          <w:szCs w:val="15"/>
          <w:color w:val="auto"/>
        </w:rPr>
        <w:t>The reconciliation of cash, cash equivalents and restricted cash in the Condensed Consolidated Statements of</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Cash Flows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5"/>
                <w:szCs w:val="15"/>
                <w:color w:val="auto"/>
              </w:rPr>
            </w:pPr>
          </w:p>
        </w:tc>
      </w:tr>
      <w:tr>
        <w:trPr>
          <w:trHeight w:val="25"/>
        </w:trPr>
        <w:tc>
          <w:tcPr>
            <w:tcW w:w="4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900" w:type="dxa"/>
            <w:vAlign w:val="bottom"/>
          </w:tcPr>
          <w:p>
            <w:pPr>
              <w:jc w:val="center"/>
              <w:ind w:left="196"/>
              <w:spacing w:after="0"/>
              <w:rPr>
                <w:sz w:val="20"/>
                <w:szCs w:val="20"/>
                <w:color w:val="auto"/>
              </w:rPr>
            </w:pPr>
            <w:r>
              <w:rPr>
                <w:rFonts w:ascii="Arial" w:cs="Arial" w:eastAsia="Arial" w:hAnsi="Arial"/>
                <w:sz w:val="14"/>
                <w:szCs w:val="14"/>
                <w:b w:val="1"/>
                <w:bCs w:val="1"/>
                <w:color w:val="auto"/>
                <w:w w:val="87"/>
              </w:rPr>
              <w:t>Balance Sheet Location</w:t>
            </w:r>
          </w:p>
        </w:tc>
        <w:tc>
          <w:tcPr>
            <w:tcW w:w="280" w:type="dxa"/>
            <w:vAlign w:val="bottom"/>
          </w:tcPr>
          <w:p>
            <w:pPr>
              <w:spacing w:after="0"/>
              <w:rPr>
                <w:sz w:val="18"/>
                <w:szCs w:val="18"/>
                <w:color w:val="auto"/>
              </w:rPr>
            </w:pPr>
          </w:p>
        </w:tc>
        <w:tc>
          <w:tcPr>
            <w:tcW w:w="900" w:type="dxa"/>
            <w:vAlign w:val="bottom"/>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5"/>
        </w:trPr>
        <w:tc>
          <w:tcPr>
            <w:tcW w:w="46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3"/>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900" w:type="dxa"/>
            <w:vAlign w:val="bottom"/>
            <w:shd w:val="clear" w:color="auto" w:fill="CCEEFF"/>
          </w:tcPr>
          <w:p>
            <w:pPr>
              <w:jc w:val="center"/>
              <w:ind w:left="196"/>
              <w:spacing w:after="0"/>
              <w:rPr>
                <w:sz w:val="20"/>
                <w:szCs w:val="20"/>
                <w:color w:val="auto"/>
              </w:rPr>
            </w:pPr>
            <w:r>
              <w:rPr>
                <w:rFonts w:ascii="Arial" w:cs="Arial" w:eastAsia="Arial" w:hAnsi="Arial"/>
                <w:sz w:val="17"/>
                <w:szCs w:val="17"/>
                <w:color w:val="auto"/>
                <w:w w:val="89"/>
              </w:rPr>
              <w:t>Cash and cash equivalents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r>
      <w:tr>
        <w:trPr>
          <w:trHeight w:val="220"/>
        </w:trPr>
        <w:tc>
          <w:tcPr>
            <w:tcW w:w="4640" w:type="dxa"/>
            <w:vAlign w:val="bottom"/>
          </w:tcPr>
          <w:p>
            <w:pPr>
              <w:ind w:left="220"/>
              <w:spacing w:after="0"/>
              <w:rPr>
                <w:sz w:val="20"/>
                <w:szCs w:val="20"/>
                <w:color w:val="auto"/>
              </w:rPr>
            </w:pPr>
            <w:r>
              <w:rPr>
                <w:rFonts w:ascii="Arial" w:cs="Arial" w:eastAsia="Arial" w:hAnsi="Arial"/>
                <w:sz w:val="17"/>
                <w:szCs w:val="17"/>
                <w:color w:val="auto"/>
              </w:rPr>
              <w:t>Short term restricted cash</w:t>
            </w:r>
          </w:p>
        </w:tc>
        <w:tc>
          <w:tcPr>
            <w:tcW w:w="3900" w:type="dxa"/>
            <w:vAlign w:val="bottom"/>
          </w:tcPr>
          <w:p>
            <w:pPr>
              <w:jc w:val="center"/>
              <w:ind w:left="196"/>
              <w:spacing w:after="0"/>
              <w:rPr>
                <w:sz w:val="20"/>
                <w:szCs w:val="20"/>
                <w:color w:val="auto"/>
              </w:rPr>
            </w:pPr>
            <w:r>
              <w:rPr>
                <w:rFonts w:ascii="Arial" w:cs="Arial" w:eastAsia="Arial" w:hAnsi="Arial"/>
                <w:sz w:val="17"/>
                <w:szCs w:val="17"/>
                <w:color w:val="auto"/>
                <w:w w:val="90"/>
              </w:rPr>
              <w:t>Restricted cash, current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Long term restricted cash</w:t>
            </w:r>
          </w:p>
        </w:tc>
        <w:tc>
          <w:tcPr>
            <w:tcW w:w="3900" w:type="dxa"/>
            <w:vAlign w:val="bottom"/>
            <w:shd w:val="clear" w:color="auto" w:fill="CCEEFF"/>
          </w:tcPr>
          <w:p>
            <w:pPr>
              <w:jc w:val="center"/>
              <w:ind w:left="196"/>
              <w:spacing w:after="0"/>
              <w:rPr>
                <w:sz w:val="20"/>
                <w:szCs w:val="20"/>
                <w:color w:val="auto"/>
              </w:rPr>
            </w:pPr>
            <w:r>
              <w:rPr>
                <w:rFonts w:ascii="Arial" w:cs="Arial" w:eastAsia="Arial" w:hAnsi="Arial"/>
                <w:sz w:val="17"/>
                <w:szCs w:val="17"/>
                <w:color w:val="auto"/>
                <w:w w:val="90"/>
              </w:rPr>
              <w:t>Restricted cash, non-current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2,068</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0"/>
        </w:trPr>
        <w:tc>
          <w:tcPr>
            <w:tcW w:w="4640" w:type="dxa"/>
            <w:vAlign w:val="bottom"/>
          </w:tcPr>
          <w:p>
            <w:pPr>
              <w:ind w:left="220"/>
              <w:spacing w:after="0"/>
              <w:rPr>
                <w:sz w:val="20"/>
                <w:szCs w:val="20"/>
                <w:color w:val="auto"/>
              </w:rPr>
            </w:pPr>
            <w:r>
              <w:rPr>
                <w:rFonts w:ascii="Arial" w:cs="Arial" w:eastAsia="Arial" w:hAnsi="Arial"/>
                <w:sz w:val="17"/>
                <w:szCs w:val="17"/>
                <w:color w:val="auto"/>
              </w:rPr>
              <w:t>Funds held for client</w:t>
            </w:r>
          </w:p>
        </w:tc>
        <w:tc>
          <w:tcPr>
            <w:tcW w:w="3900" w:type="dxa"/>
            <w:vAlign w:val="bottom"/>
          </w:tcPr>
          <w:p>
            <w:pPr>
              <w:jc w:val="center"/>
              <w:ind w:left="196"/>
              <w:spacing w:after="0"/>
              <w:rPr>
                <w:sz w:val="20"/>
                <w:szCs w:val="20"/>
                <w:color w:val="auto"/>
              </w:rPr>
            </w:pPr>
            <w:r>
              <w:rPr>
                <w:rFonts w:ascii="Arial" w:cs="Arial" w:eastAsia="Arial" w:hAnsi="Arial"/>
                <w:sz w:val="17"/>
                <w:szCs w:val="17"/>
                <w:color w:val="auto"/>
                <w:w w:val="90"/>
              </w:rPr>
              <w:t>Restricted cash, current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included in settlement processing assets</w:t>
            </w:r>
          </w:p>
        </w:tc>
        <w:tc>
          <w:tcPr>
            <w:tcW w:w="3900" w:type="dxa"/>
            <w:vAlign w:val="bottom"/>
            <w:shd w:val="clear" w:color="auto" w:fill="CCEEFF"/>
          </w:tcPr>
          <w:p>
            <w:pPr>
              <w:jc w:val="center"/>
              <w:ind w:left="196"/>
              <w:spacing w:after="0"/>
              <w:rPr>
                <w:sz w:val="20"/>
                <w:szCs w:val="20"/>
                <w:color w:val="auto"/>
              </w:rPr>
            </w:pPr>
            <w:r>
              <w:rPr>
                <w:rFonts w:ascii="Arial" w:cs="Arial" w:eastAsia="Arial" w:hAnsi="Arial"/>
                <w:sz w:val="17"/>
                <w:szCs w:val="17"/>
                <w:color w:val="auto"/>
                <w:w w:val="90"/>
              </w:rPr>
              <w:t>Restricted cash, current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240</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13"/>
        </w:trPr>
        <w:tc>
          <w:tcPr>
            <w:tcW w:w="4640" w:type="dxa"/>
            <w:vAlign w:val="bottom"/>
          </w:tcPr>
          <w:p>
            <w:pPr>
              <w:ind w:left="20"/>
              <w:spacing w:after="0"/>
              <w:rPr>
                <w:sz w:val="20"/>
                <w:szCs w:val="20"/>
                <w:color w:val="auto"/>
              </w:rPr>
            </w:pPr>
            <w:r>
              <w:rPr>
                <w:rFonts w:ascii="Arial" w:cs="Arial" w:eastAsia="Arial" w:hAnsi="Arial"/>
                <w:sz w:val="17"/>
                <w:szCs w:val="17"/>
                <w:b w:val="1"/>
                <w:bCs w:val="1"/>
                <w:color w:val="auto"/>
              </w:rPr>
              <w:t>Total cash, cash equivalents and restricted cash</w:t>
            </w:r>
          </w:p>
        </w:tc>
        <w:tc>
          <w:tcPr>
            <w:tcW w:w="39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3,013</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w:t>
            </w:r>
          </w:p>
        </w:tc>
      </w:tr>
      <w:tr>
        <w:trPr>
          <w:trHeight w:val="20"/>
        </w:trPr>
        <w:tc>
          <w:tcPr>
            <w:tcW w:w="4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As of September 30, 2023, the net proceeds of certain debt balances were held in escrow pending consummation of the Spin-Off, and such proceeds were included in Restricted cash, non-current on the Condensed Consolidated Balance Sheets. Refer to Note 5, “Debt Obligations” for additional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Contract Assets and Liabilities </w:t>
      </w:r>
      <w:r>
        <w:rPr>
          <w:rFonts w:ascii="Arial" w:cs="Arial" w:eastAsia="Arial" w:hAnsi="Arial"/>
          <w:sz w:val="17"/>
          <w:szCs w:val="17"/>
          <w:color w:val="auto"/>
        </w:rPr>
        <w:t>The following table presents the net contract liability balances as of September 30,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340" w:type="dxa"/>
            <w:vAlign w:val="bottom"/>
            <w:gridSpan w:val="2"/>
          </w:tcPr>
          <w:p>
            <w:pPr>
              <w:ind w:left="500"/>
              <w:spacing w:after="0"/>
              <w:rPr>
                <w:sz w:val="20"/>
                <w:szCs w:val="20"/>
                <w:color w:val="auto"/>
              </w:rPr>
            </w:pPr>
            <w:r>
              <w:rPr>
                <w:rFonts w:ascii="Arial" w:cs="Arial" w:eastAsia="Arial" w:hAnsi="Arial"/>
                <w:sz w:val="14"/>
                <w:szCs w:val="14"/>
                <w:b w:val="1"/>
                <w:bCs w:val="1"/>
                <w:color w:val="auto"/>
              </w:rPr>
              <w:t>Location in the Condensed Consolidated Balance Sheet</w:t>
            </w: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5"/>
                <w:szCs w:val="15"/>
                <w:color w:val="auto"/>
              </w:rPr>
            </w:pPr>
          </w:p>
        </w:tc>
        <w:tc>
          <w:tcPr>
            <w:tcW w:w="144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December 31, 2022</w:t>
            </w:r>
          </w:p>
        </w:tc>
      </w:tr>
      <w:tr>
        <w:trPr>
          <w:trHeight w:val="25"/>
        </w:trPr>
        <w:tc>
          <w:tcPr>
            <w:tcW w:w="3580" w:type="dxa"/>
            <w:vAlign w:val="bottom"/>
            <w:tcBorders>
              <w:bottom w:val="single" w:sz="8" w:color="CCEEFF"/>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3"/>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contract liabilities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r>
      <w:tr>
        <w:trPr>
          <w:trHeight w:val="226"/>
        </w:trPr>
        <w:tc>
          <w:tcPr>
            <w:tcW w:w="3580" w:type="dxa"/>
            <w:vAlign w:val="bottom"/>
          </w:tcPr>
          <w:p>
            <w:pPr>
              <w:ind w:left="20"/>
              <w:spacing w:after="0"/>
              <w:rPr>
                <w:sz w:val="20"/>
                <w:szCs w:val="20"/>
                <w:color w:val="auto"/>
              </w:rPr>
            </w:pPr>
            <w:r>
              <w:rPr>
                <w:rFonts w:ascii="Arial" w:cs="Arial" w:eastAsia="Arial" w:hAnsi="Arial"/>
                <w:sz w:val="17"/>
                <w:szCs w:val="17"/>
                <w:color w:val="auto"/>
              </w:rPr>
              <w:t>Non-current portion of contract liabilities</w:t>
            </w:r>
          </w:p>
        </w:tc>
        <w:tc>
          <w:tcPr>
            <w:tcW w:w="4340" w:type="dxa"/>
            <w:vAlign w:val="bottom"/>
            <w:gridSpan w:val="2"/>
          </w:tcPr>
          <w:p>
            <w:pPr>
              <w:ind w:left="20"/>
              <w:spacing w:after="0"/>
              <w:rPr>
                <w:sz w:val="20"/>
                <w:szCs w:val="20"/>
                <w:color w:val="auto"/>
              </w:rPr>
            </w:pPr>
            <w:r>
              <w:rPr>
                <w:rFonts w:ascii="Arial" w:cs="Arial" w:eastAsia="Arial" w:hAnsi="Arial"/>
                <w:sz w:val="17"/>
                <w:szCs w:val="17"/>
                <w:color w:val="auto"/>
              </w:rPr>
              <w:t>Other liabilities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49</w:t>
            </w:r>
          </w:p>
        </w:tc>
      </w:tr>
    </w:tbl>
    <w:p>
      <w:pPr>
        <w:spacing w:after="0" w:line="2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nine months ended September 30, 2023, the Company recognized $437 million in revenue that was included in contract liabilities as of December 31, 2022. During the nine months ended September 30, 2022, the Company recognized $365 million in revenue that was included in contract liabilities as of December 31, 2021.</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Remaining Performance Obligations </w:t>
      </w:r>
      <w:r>
        <w:rPr>
          <w:rFonts w:ascii="Arial" w:cs="Arial" w:eastAsia="Arial" w:hAnsi="Arial"/>
          <w:sz w:val="17"/>
          <w:szCs w:val="17"/>
          <w:color w:val="auto"/>
        </w:rPr>
        <w:t>Remaining performance obligations represent the transaction price of orders for which products have not been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or services have not been performed. As of September 30, 2023, the aggregate amount of the transaction price allocated to remaining performance obligations was approximately $3.6 billion. The Company expects to recognize revenue on approximately three-quarters of the remaining performance obligations over the next 12 months, with the remainder recognized thereafter. The majority of our professional services are expected to be recognized over the next 12 months but this is contingent upon a number of factors, including customers’ needs and schedules.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made three elections that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w:t>
      </w:r>
    </w:p>
    <w:p>
      <w:pPr>
        <w:spacing w:after="0" w:line="197" w:lineRule="exact"/>
        <w:rPr>
          <w:sz w:val="20"/>
          <w:szCs w:val="20"/>
          <w:color w:val="auto"/>
        </w:rPr>
      </w:pPr>
    </w:p>
    <w:p>
      <w:pPr>
        <w:jc w:val="both"/>
        <w:spacing w:after="0" w:line="363" w:lineRule="auto"/>
        <w:rPr>
          <w:sz w:val="20"/>
          <w:szCs w:val="20"/>
          <w:color w:val="auto"/>
        </w:rPr>
      </w:pPr>
      <w:r>
        <w:rPr>
          <w:rFonts w:ascii="Arial" w:cs="Arial" w:eastAsia="Arial" w:hAnsi="Arial"/>
          <w:sz w:val="15"/>
          <w:szCs w:val="15"/>
          <w:b w:val="1"/>
          <w:bCs w:val="1"/>
          <w:color w:val="auto"/>
        </w:rPr>
        <w:t xml:space="preserve">Capitalized Software </w:t>
      </w:r>
      <w:r>
        <w:rPr>
          <w:rFonts w:ascii="Arial" w:cs="Arial" w:eastAsia="Arial" w:hAnsi="Arial"/>
          <w:sz w:val="15"/>
          <w:szCs w:val="15"/>
          <w:color w:val="auto"/>
        </w:rPr>
        <w:t>Capitalized development costs for internal-use software and software that will be sold, leased or otherwise marketed were $572 million and</w:t>
      </w:r>
      <w:r>
        <w:rPr>
          <w:rFonts w:ascii="Arial" w:cs="Arial" w:eastAsia="Arial" w:hAnsi="Arial"/>
          <w:sz w:val="15"/>
          <w:szCs w:val="15"/>
          <w:b w:val="1"/>
          <w:bCs w:val="1"/>
          <w:color w:val="auto"/>
        </w:rPr>
        <w:t xml:space="preserve"> </w:t>
      </w:r>
      <w:r>
        <w:rPr>
          <w:rFonts w:ascii="Arial" w:cs="Arial" w:eastAsia="Arial" w:hAnsi="Arial"/>
          <w:sz w:val="15"/>
          <w:szCs w:val="15"/>
          <w:color w:val="auto"/>
        </w:rPr>
        <w:t>$554 million as of September 30, 2023 and December 31, 2022, respectively, presented within Other assets on the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Adoption of New Accounting Pronouncements</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October 2021, the FASB issued accounting standards update (“ASU”) 2021-08, </w:t>
      </w:r>
      <w:r>
        <w:rPr>
          <w:rFonts w:ascii="Arial" w:cs="Arial" w:eastAsia="Arial" w:hAnsi="Arial"/>
          <w:sz w:val="17"/>
          <w:szCs w:val="17"/>
          <w:i w:val="1"/>
          <w:iCs w:val="1"/>
          <w:color w:val="auto"/>
        </w:rPr>
        <w:t>Business Combinations (Topic 805): Accounting for Contract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 Liabilities from Contracts with Customers</w:t>
      </w:r>
      <w:r>
        <w:rPr>
          <w:rFonts w:ascii="Arial" w:cs="Arial" w:eastAsia="Arial" w:hAnsi="Arial"/>
          <w:sz w:val="17"/>
          <w:szCs w:val="17"/>
          <w:color w:val="auto"/>
        </w:rPr>
        <w:t>, with new guidance for contract assets and contract liabilities acquired in a business combination.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guidance requires contract assets and contract liabilities, such as deferred revenue, acquired in a business combination to be recognized and measured by the acquirer on the acquisition date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Prior to the issuance of this guidance, contract assets and contract liabilities were recognized by the acquirer at fair value on the acquisition date. The accounting standards update is effective for fiscal years, and interim periods within those fiscal years, beginning after December 15, 2022, with early adoption permitted and should be applied prospectively to acquisitions occurring on or after the effective date. The adoption of this accounting standards update did not have a material effect on the Company’s net income, cash flows, earnings per share or financial condition.</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Although there are other new accounting pronouncements issued by the FASB and adopted by or effective for the Company, the Company does not believe any of these accounting pronouncements had a material impact on its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Pronouncements Issued But Not Yet Adopted</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Although there are new accounting pronouncements issued by the FASB and not yet adopted by or effective for the Company, the Company does not believe any of these accounting pronouncements will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ind w:right="8800" w:firstLine="4"/>
        <w:spacing w:after="0" w:line="544" w:lineRule="auto"/>
        <w:tabs>
          <w:tab w:leader="none" w:pos="173" w:val="left"/>
        </w:tabs>
        <w:numPr>
          <w:ilvl w:val="0"/>
          <w:numId w:val="3"/>
        </w:numPr>
        <w:rPr>
          <w:rFonts w:ascii="Arial" w:cs="Arial" w:eastAsia="Arial" w:hAnsi="Arial"/>
          <w:sz w:val="17"/>
          <w:szCs w:val="17"/>
          <w:b w:val="1"/>
          <w:bCs w:val="1"/>
          <w:color w:val="54B948"/>
        </w:rPr>
      </w:pPr>
      <w:r>
        <w:rPr>
          <w:rFonts w:ascii="Arial" w:cs="Arial" w:eastAsia="Arial" w:hAnsi="Arial"/>
          <w:sz w:val="17"/>
          <w:szCs w:val="17"/>
          <w:b w:val="1"/>
          <w:bCs w:val="1"/>
          <w:color w:val="54B948"/>
        </w:rPr>
        <w:t xml:space="preserve">BUSINESS COMBINATIONS </w:t>
      </w:r>
      <w:r>
        <w:rPr>
          <w:rFonts w:ascii="Arial" w:cs="Arial" w:eastAsia="Arial" w:hAnsi="Arial"/>
          <w:sz w:val="17"/>
          <w:szCs w:val="17"/>
          <w:b w:val="1"/>
          <w:bCs w:val="1"/>
          <w:color w:val="000000"/>
        </w:rPr>
        <w:t>Acquisition of LibertyX (2022)</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January 5, 2022, the Company completed its acquisition of Moon Inc., dba LibertyX, a leading cryptocurrency software provider, with the goal of enabling the Company to provide digital currency solutions, including the ability to buy and sell Bitcoin, and conduct cross-border remittance. The Company purchased all outstanding shares of LibertyX for $1 million cash consideration and approximately 1.4 million shares of the Company’s common stock at a price of $42.13 per share. The Company also converted approximately 0.2 million outstanding unvested LibertyX option awards into the Company’s awards pursuant to an exchange ratio as defined in the acquisition agreement. LibertyX stock option awards were converted into the Company’s stock option awards with an exercise price per share for option awards equal to the exercise price per share of such stock option award immediately prior to the completion of the acquisition divided by the exchange ratio, and vested immediately. The value of the option awards was deemed attributable to services already rendered and was included as a portion of the purchase price. Total purchase consideration for the LibertyX acquisition was approximately $69 million. As a result of the acquisition, LibertyX became a wholly-owned subsidiary of the Company.</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fair value of consideration transferred to acquire LibertyX was allocated to the identifiable assets and acquired liabilities assumed based upon their estimated fair values as of the date of acquisition. The allocation of purchase price was finalized as of December 31, 2022.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3. GOODWILL AND PURCHASED INTANGIBLE ASSETS</w:t>
      </w:r>
    </w:p>
    <w:p>
      <w:pPr>
        <w:spacing w:after="0" w:line="25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 xml:space="preserve">Goodwill by Segment </w:t>
      </w:r>
      <w:r>
        <w:rPr>
          <w:rFonts w:ascii="Arial" w:cs="Arial" w:eastAsia="Arial" w:hAnsi="Arial"/>
          <w:sz w:val="17"/>
          <w:szCs w:val="17"/>
          <w:color w:val="auto"/>
        </w:rPr>
        <w:t>The carrying amounts of goodwill by segment as of September 30, 2023 and December 31, 2022 are included in the table below.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fluctuations are included within other adjustments</w:t>
      </w:r>
      <w:r>
        <w:rPr>
          <w:rFonts w:ascii="Arial" w:cs="Arial" w:eastAsia="Arial" w:hAnsi="Arial"/>
          <w:sz w:val="13"/>
          <w:szCs w:val="13"/>
          <w:color w:val="auto"/>
        </w:rPr>
        <w:t>.</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December 31, 2022</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September 30, 2023</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0"/>
                <w:szCs w:val="10"/>
                <w:color w:val="auto"/>
              </w:rPr>
            </w:pPr>
          </w:p>
        </w:tc>
        <w:tc>
          <w:tcPr>
            <w:tcW w:w="8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Goodwill</w:t>
            </w:r>
          </w:p>
        </w:tc>
        <w:tc>
          <w:tcPr>
            <w:tcW w:w="180" w:type="dxa"/>
            <w:vAlign w:val="bottom"/>
          </w:tcPr>
          <w:p>
            <w:pPr>
              <w:spacing w:after="0"/>
              <w:rPr>
                <w:sz w:val="10"/>
                <w:szCs w:val="10"/>
                <w:color w:val="auto"/>
              </w:rPr>
            </w:pPr>
          </w:p>
        </w:tc>
        <w:tc>
          <w:tcPr>
            <w:tcW w:w="1000" w:type="dxa"/>
            <w:vAlign w:val="bottom"/>
          </w:tcPr>
          <w:p>
            <w:pPr>
              <w:jc w:val="right"/>
              <w:ind w:right="97"/>
              <w:spacing w:after="0" w:line="123"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0"/>
                <w:szCs w:val="10"/>
                <w:color w:val="auto"/>
              </w:rPr>
            </w:pPr>
          </w:p>
        </w:tc>
        <w:tc>
          <w:tcPr>
            <w:tcW w:w="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8"/>
              </w:rPr>
              <w:t>Goodwill</w:t>
            </w:r>
          </w:p>
        </w:tc>
        <w:tc>
          <w:tcPr>
            <w:tcW w:w="200" w:type="dxa"/>
            <w:vAlign w:val="bottom"/>
          </w:tcPr>
          <w:p>
            <w:pPr>
              <w:spacing w:after="0"/>
              <w:rPr>
                <w:sz w:val="10"/>
                <w:szCs w:val="10"/>
                <w:color w:val="auto"/>
              </w:rPr>
            </w:pPr>
          </w:p>
        </w:tc>
        <w:tc>
          <w:tcPr>
            <w:tcW w:w="1020" w:type="dxa"/>
            <w:vAlign w:val="bottom"/>
          </w:tcPr>
          <w:p>
            <w:pPr>
              <w:jc w:val="right"/>
              <w:ind w:right="117"/>
              <w:spacing w:after="0" w:line="123"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0"/>
                <w:szCs w:val="10"/>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37"/>
              <w:spacing w:after="0"/>
              <w:rPr>
                <w:sz w:val="20"/>
                <w:szCs w:val="20"/>
                <w:color w:val="auto"/>
              </w:rPr>
            </w:pPr>
            <w:r>
              <w:rPr>
                <w:rFonts w:ascii="Arial" w:cs="Arial" w:eastAsia="Arial" w:hAnsi="Arial"/>
                <w:sz w:val="14"/>
                <w:szCs w:val="14"/>
                <w:b w:val="1"/>
                <w:bCs w:val="1"/>
                <w:color w:val="auto"/>
              </w:rPr>
              <w:t>Impairment</w:t>
            </w: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57"/>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Retail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995</w:t>
            </w: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959</w:t>
            </w:r>
          </w:p>
        </w:tc>
        <w:tc>
          <w:tcPr>
            <w:tcW w:w="0" w:type="dxa"/>
            <w:vAlign w:val="bottom"/>
          </w:tcPr>
          <w:p>
            <w:pPr>
              <w:spacing w:after="0"/>
              <w:rPr>
                <w:sz w:val="1"/>
                <w:szCs w:val="1"/>
                <w:color w:val="auto"/>
              </w:rPr>
            </w:pPr>
          </w:p>
        </w:tc>
      </w:tr>
      <w:tr>
        <w:trPr>
          <w:trHeight w:val="220"/>
        </w:trPr>
        <w:tc>
          <w:tcPr>
            <w:tcW w:w="2100" w:type="dxa"/>
            <w:vAlign w:val="bottom"/>
          </w:tcPr>
          <w:p>
            <w:pPr>
              <w:ind w:left="20"/>
              <w:spacing w:after="0"/>
              <w:rPr>
                <w:sz w:val="20"/>
                <w:szCs w:val="20"/>
                <w:color w:val="auto"/>
              </w:rPr>
            </w:pPr>
            <w:r>
              <w:rPr>
                <w:rFonts w:ascii="Arial" w:cs="Arial" w:eastAsia="Arial" w:hAnsi="Arial"/>
                <w:sz w:val="17"/>
                <w:szCs w:val="17"/>
                <w:color w:val="auto"/>
              </w:rPr>
              <w:t>Hospitality</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288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287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264</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Digital Banking</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594</w:t>
            </w:r>
          </w:p>
        </w:tc>
        <w:tc>
          <w:tcPr>
            <w:tcW w:w="0" w:type="dxa"/>
            <w:vAlign w:val="bottom"/>
          </w:tcPr>
          <w:p>
            <w:pPr>
              <w:spacing w:after="0"/>
              <w:rPr>
                <w:sz w:val="1"/>
                <w:szCs w:val="1"/>
                <w:color w:val="auto"/>
              </w:rPr>
            </w:pPr>
          </w:p>
        </w:tc>
      </w:tr>
      <w:tr>
        <w:trPr>
          <w:trHeight w:val="220"/>
        </w:trPr>
        <w:tc>
          <w:tcPr>
            <w:tcW w:w="2100" w:type="dxa"/>
            <w:vAlign w:val="bottom"/>
          </w:tcPr>
          <w:p>
            <w:pPr>
              <w:ind w:left="20"/>
              <w:spacing w:after="0"/>
              <w:rPr>
                <w:sz w:val="20"/>
                <w:szCs w:val="20"/>
                <w:color w:val="auto"/>
              </w:rPr>
            </w:pPr>
            <w:r>
              <w:rPr>
                <w:rFonts w:ascii="Arial" w:cs="Arial" w:eastAsia="Arial" w:hAnsi="Arial"/>
                <w:sz w:val="17"/>
                <w:szCs w:val="17"/>
                <w:color w:val="auto"/>
              </w:rPr>
              <w:t>Payments &amp; Network</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1,036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1,036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1,036</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Self-Service Banking</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1,633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1,633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1,532</w:t>
            </w:r>
          </w:p>
        </w:tc>
        <w:tc>
          <w:tcPr>
            <w:tcW w:w="0" w:type="dxa"/>
            <w:vAlign w:val="bottom"/>
          </w:tcPr>
          <w:p>
            <w:pPr>
              <w:spacing w:after="0"/>
              <w:rPr>
                <w:sz w:val="1"/>
                <w:szCs w:val="1"/>
                <w:color w:val="auto"/>
              </w:rPr>
            </w:pPr>
          </w:p>
        </w:tc>
      </w:tr>
      <w:tr>
        <w:trPr>
          <w:trHeight w:val="220"/>
        </w:trPr>
        <w:tc>
          <w:tcPr>
            <w:tcW w:w="2100" w:type="dxa"/>
            <w:vAlign w:val="bottom"/>
          </w:tcPr>
          <w:p>
            <w:pPr>
              <w:ind w:left="20"/>
              <w:spacing w:after="0" w:line="221"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163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163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152</w:t>
            </w:r>
          </w:p>
        </w:tc>
        <w:tc>
          <w:tcPr>
            <w:tcW w:w="0" w:type="dxa"/>
            <w:vAlign w:val="bottom"/>
          </w:tcPr>
          <w:p>
            <w:pPr>
              <w:spacing w:after="0"/>
              <w:rPr>
                <w:sz w:val="1"/>
                <w:szCs w:val="1"/>
                <w:color w:val="auto"/>
              </w:rPr>
            </w:pPr>
          </w:p>
        </w:tc>
      </w:tr>
      <w:tr>
        <w:trPr>
          <w:trHeight w:val="213"/>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goodwill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4,709</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(169)</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gridSpan w:val="2"/>
            <w:shd w:val="clear" w:color="auto" w:fill="CCEEFF"/>
          </w:tcPr>
          <w:p>
            <w:pPr>
              <w:ind w:left="660"/>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4,706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4,537</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160" w:hanging="156"/>
        <w:spacing w:after="0"/>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Other segment includes the goodwill associated with our Telecommunications &amp; Technology reporting unit.</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Identifiable Intangible Assets </w:t>
      </w:r>
      <w:r>
        <w:rPr>
          <w:rFonts w:ascii="Arial" w:cs="Arial" w:eastAsia="Arial" w:hAnsi="Arial"/>
          <w:sz w:val="17"/>
          <w:szCs w:val="17"/>
          <w:color w:val="auto"/>
        </w:rPr>
        <w:t>The Company’s purchased intangible assets, reported in Intangibles, net in the Condensed Consolidated Balance Sheets, were</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identified when acquired, and are deemed to have finite lives. The gross carrying amount and accumulated amortization for the Company’s identifiable intangible assets were as set forth in the table below.</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5"/>
                <w:szCs w:val="15"/>
                <w:color w:val="auto"/>
              </w:rPr>
            </w:pPr>
          </w:p>
        </w:tc>
        <w:tc>
          <w:tcPr>
            <w:tcW w:w="2640" w:type="dxa"/>
            <w:vAlign w:val="bottom"/>
            <w:gridSpan w:val="4"/>
          </w:tcPr>
          <w:p>
            <w:pPr>
              <w:jc w:val="right"/>
              <w:ind w:right="75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2100" w:type="dxa"/>
            <w:vAlign w:val="bottom"/>
            <w:vMerge w:val="restart"/>
          </w:tcPr>
          <w:p>
            <w:pPr>
              <w:jc w:val="center"/>
              <w:ind w:left="441"/>
              <w:spacing w:after="0"/>
              <w:rPr>
                <w:sz w:val="20"/>
                <w:szCs w:val="20"/>
                <w:color w:val="auto"/>
              </w:rPr>
            </w:pPr>
            <w:r>
              <w:rPr>
                <w:rFonts w:ascii="Arial" w:cs="Arial" w:eastAsia="Arial" w:hAnsi="Arial"/>
                <w:sz w:val="14"/>
                <w:szCs w:val="14"/>
                <w:b w:val="1"/>
                <w:bCs w:val="1"/>
                <w:color w:val="auto"/>
                <w:w w:val="91"/>
              </w:rPr>
              <w:t>Amortization</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Gross Carrying</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Gross Carrying</w:t>
            </w:r>
          </w:p>
        </w:tc>
        <w:tc>
          <w:tcPr>
            <w:tcW w:w="200" w:type="dxa"/>
            <w:vAlign w:val="bottom"/>
          </w:tcPr>
          <w:p>
            <w:pPr>
              <w:spacing w:after="0"/>
              <w:rPr>
                <w:sz w:val="12"/>
                <w:szCs w:val="12"/>
                <w:color w:val="auto"/>
              </w:rPr>
            </w:pPr>
          </w:p>
        </w:tc>
        <w:tc>
          <w:tcPr>
            <w:tcW w:w="120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3"/>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100" w:type="dxa"/>
            <w:vAlign w:val="bottom"/>
          </w:tcPr>
          <w:p>
            <w:pPr>
              <w:jc w:val="center"/>
              <w:ind w:left="481"/>
              <w:spacing w:after="0" w:line="143" w:lineRule="exact"/>
              <w:rPr>
                <w:sz w:val="20"/>
                <w:szCs w:val="20"/>
                <w:color w:val="auto"/>
              </w:rPr>
            </w:pPr>
            <w:r>
              <w:rPr>
                <w:rFonts w:ascii="Arial" w:cs="Arial" w:eastAsia="Arial" w:hAnsi="Arial"/>
                <w:sz w:val="14"/>
                <w:szCs w:val="14"/>
                <w:b w:val="1"/>
                <w:bCs w:val="1"/>
                <w:color w:val="auto"/>
                <w:w w:val="87"/>
              </w:rPr>
              <w:t>Period</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60" w:type="dxa"/>
            <w:vAlign w:val="bottom"/>
            <w:vMerge w:val="continue"/>
          </w:tcPr>
          <w:p>
            <w:pPr>
              <w:spacing w:after="0"/>
              <w:rPr>
                <w:sz w:val="16"/>
                <w:szCs w:val="16"/>
                <w:color w:val="auto"/>
              </w:rPr>
            </w:pPr>
          </w:p>
        </w:tc>
        <w:tc>
          <w:tcPr>
            <w:tcW w:w="2100" w:type="dxa"/>
            <w:vAlign w:val="bottom"/>
          </w:tcPr>
          <w:p>
            <w:pPr>
              <w:jc w:val="center"/>
              <w:ind w:left="481"/>
              <w:spacing w:after="0"/>
              <w:rPr>
                <w:sz w:val="20"/>
                <w:szCs w:val="20"/>
                <w:color w:val="auto"/>
              </w:rPr>
            </w:pPr>
            <w:r>
              <w:rPr>
                <w:rFonts w:ascii="Arial" w:cs="Arial" w:eastAsia="Arial" w:hAnsi="Arial"/>
                <w:sz w:val="14"/>
                <w:szCs w:val="14"/>
                <w:b w:val="1"/>
                <w:bCs w:val="1"/>
                <w:color w:val="auto"/>
                <w:w w:val="90"/>
              </w:rPr>
              <w:t>(in Years)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6"/>
                <w:szCs w:val="16"/>
                <w:color w:val="auto"/>
              </w:rPr>
            </w:pPr>
          </w:p>
        </w:tc>
        <w:tc>
          <w:tcPr>
            <w:tcW w:w="1200" w:type="dxa"/>
            <w:vAlign w:val="bottom"/>
          </w:tcPr>
          <w:p>
            <w:pPr>
              <w:jc w:val="right"/>
              <w:ind w:right="219"/>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7"/>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Identifiable intangible assets</w:t>
            </w: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7"/>
                <w:szCs w:val="17"/>
                <w:color w:val="auto"/>
              </w:rPr>
              <w:t>Reseller &amp; customer relationships</w:t>
            </w:r>
          </w:p>
        </w:tc>
        <w:tc>
          <w:tcPr>
            <w:tcW w:w="2100" w:type="dxa"/>
            <w:vAlign w:val="bottom"/>
          </w:tcPr>
          <w:p>
            <w:pPr>
              <w:jc w:val="center"/>
              <w:ind w:left="461"/>
              <w:spacing w:after="0"/>
              <w:rPr>
                <w:sz w:val="20"/>
                <w:szCs w:val="20"/>
                <w:color w:val="auto"/>
              </w:rPr>
            </w:pPr>
            <w:r>
              <w:rPr>
                <w:rFonts w:ascii="Arial" w:cs="Arial" w:eastAsia="Arial" w:hAnsi="Arial"/>
                <w:sz w:val="17"/>
                <w:szCs w:val="17"/>
                <w:color w:val="auto"/>
                <w:w w:val="91"/>
              </w:rPr>
              <w:t>1 - 20</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(519)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Intellectual property</w:t>
            </w:r>
          </w:p>
        </w:tc>
        <w:tc>
          <w:tcPr>
            <w:tcW w:w="2100" w:type="dxa"/>
            <w:vAlign w:val="bottom"/>
            <w:shd w:val="clear" w:color="auto" w:fill="CCEEFF"/>
          </w:tcPr>
          <w:p>
            <w:pPr>
              <w:jc w:val="center"/>
              <w:ind w:left="461"/>
              <w:spacing w:after="0"/>
              <w:rPr>
                <w:sz w:val="20"/>
                <w:szCs w:val="20"/>
                <w:color w:val="auto"/>
              </w:rPr>
            </w:pPr>
            <w:r>
              <w:rPr>
                <w:rFonts w:ascii="Arial" w:cs="Arial" w:eastAsia="Arial" w:hAnsi="Arial"/>
                <w:sz w:val="17"/>
                <w:szCs w:val="17"/>
                <w:color w:val="auto"/>
                <w:w w:val="93"/>
              </w:rPr>
              <w:t>2 - 8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7"/>
                <w:szCs w:val="17"/>
                <w:color w:val="auto"/>
              </w:rPr>
              <w:t>Customer contracts</w:t>
            </w:r>
          </w:p>
        </w:tc>
        <w:tc>
          <w:tcPr>
            <w:tcW w:w="2100" w:type="dxa"/>
            <w:vAlign w:val="bottom"/>
          </w:tcPr>
          <w:p>
            <w:pPr>
              <w:jc w:val="center"/>
              <w:ind w:left="481"/>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Tradenames</w:t>
            </w:r>
          </w:p>
        </w:tc>
        <w:tc>
          <w:tcPr>
            <w:tcW w:w="2100" w:type="dxa"/>
            <w:vAlign w:val="bottom"/>
            <w:shd w:val="clear" w:color="auto" w:fill="CCEEFF"/>
          </w:tcPr>
          <w:p>
            <w:pPr>
              <w:jc w:val="center"/>
              <w:ind w:left="461"/>
              <w:spacing w:after="0"/>
              <w:rPr>
                <w:sz w:val="20"/>
                <w:szCs w:val="20"/>
                <w:color w:val="auto"/>
              </w:rPr>
            </w:pPr>
            <w:r>
              <w:rPr>
                <w:rFonts w:ascii="Arial" w:cs="Arial" w:eastAsia="Arial" w:hAnsi="Arial"/>
                <w:sz w:val="17"/>
                <w:szCs w:val="17"/>
                <w:color w:val="auto"/>
                <w:w w:val="91"/>
              </w:rPr>
              <w:t>1 - 10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7"/>
                <w:szCs w:val="17"/>
                <w:b w:val="1"/>
                <w:bCs w:val="1"/>
                <w:color w:val="auto"/>
              </w:rPr>
              <w:t>Total identifiable intangible assets</w:t>
            </w:r>
          </w:p>
        </w:tc>
        <w:tc>
          <w:tcPr>
            <w:tcW w:w="2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identifiable intangible assets for the following periods is: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40" w:type="dxa"/>
            <w:vAlign w:val="bottom"/>
          </w:tcPr>
          <w:p>
            <w:pPr>
              <w:spacing w:after="0"/>
              <w:rPr>
                <w:sz w:val="15"/>
                <w:szCs w:val="15"/>
                <w:color w:val="auto"/>
              </w:rPr>
            </w:pPr>
          </w:p>
        </w:tc>
        <w:tc>
          <w:tcPr>
            <w:tcW w:w="312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4"/>
          </w:tcPr>
          <w:p>
            <w:pPr>
              <w:ind w:left="760"/>
              <w:spacing w:after="0"/>
              <w:rPr>
                <w:sz w:val="20"/>
                <w:szCs w:val="20"/>
                <w:color w:val="auto"/>
              </w:rPr>
            </w:pPr>
            <w:r>
              <w:rPr>
                <w:rFonts w:ascii="Arial" w:cs="Arial" w:eastAsia="Arial" w:hAnsi="Arial"/>
                <w:sz w:val="14"/>
                <w:szCs w:val="14"/>
                <w:b w:val="1"/>
                <w:bCs w:val="1"/>
                <w:color w:val="auto"/>
                <w:w w:val="97"/>
              </w:rPr>
              <w:t>Nine months ended September 30</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4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1260" w:type="dxa"/>
            <w:vAlign w:val="bottom"/>
            <w:shd w:val="clear" w:color="auto" w:fill="CCEEFF"/>
          </w:tcPr>
          <w:p>
            <w:pPr>
              <w:jc w:val="right"/>
              <w:ind w:right="1065"/>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82"/>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45"/>
              <w:spacing w:after="0"/>
              <w:rPr>
                <w:sz w:val="20"/>
                <w:szCs w:val="20"/>
                <w:color w:val="auto"/>
              </w:rPr>
            </w:pPr>
            <w:r>
              <w:rPr>
                <w:rFonts w:ascii="Arial" w:cs="Arial" w:eastAsia="Arial" w:hAnsi="Arial"/>
                <w:sz w:val="17"/>
                <w:szCs w:val="17"/>
                <w:b w:val="1"/>
                <w:bCs w:val="1"/>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aggregate amortization expense for identifiable intangible assets for the following periods is: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360" w:type="dxa"/>
            <w:vAlign w:val="bottom"/>
            <w:tcBorders>
              <w:bottom w:val="single" w:sz="8" w:color="CCEEFF"/>
            </w:tcBorders>
            <w:vMerge w:val="continue"/>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8"/>
              </w:rPr>
              <w:t>Remainder of 2023</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2028</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4. SEGMENT INFORMATION AND CONCENTRATIONS</w:t>
      </w:r>
    </w:p>
    <w:p>
      <w:pPr>
        <w:spacing w:after="0" w:line="25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Prior to the October 16, 2023 Spin-Off, and during the quarter ended September 30, 2023, the Company managed and reported its operations in the following segments:</w:t>
      </w:r>
    </w:p>
    <w:p>
      <w:pPr>
        <w:spacing w:after="0" w:line="199" w:lineRule="exact"/>
        <w:rPr>
          <w:sz w:val="20"/>
          <w:szCs w:val="20"/>
          <w:color w:val="auto"/>
        </w:rPr>
      </w:pPr>
    </w:p>
    <w:p>
      <w:pPr>
        <w:jc w:val="both"/>
        <w:ind w:left="620" w:hanging="305"/>
        <w:spacing w:after="0" w:line="258" w:lineRule="auto"/>
        <w:tabs>
          <w:tab w:leader="none" w:pos="609" w:val="left"/>
        </w:tabs>
        <w:numPr>
          <w:ilvl w:val="0"/>
          <w:numId w:val="5"/>
        </w:numPr>
        <w:rPr>
          <w:rFonts w:ascii="Arial" w:cs="Arial" w:eastAsia="Arial" w:hAnsi="Arial"/>
          <w:sz w:val="19"/>
          <w:szCs w:val="19"/>
          <w:b w:val="1"/>
          <w:bCs w:val="1"/>
          <w:i w:val="1"/>
          <w:iCs w:val="1"/>
          <w:color w:val="auto"/>
        </w:rPr>
      </w:pPr>
      <w:r>
        <w:rPr>
          <w:rFonts w:ascii="Arial" w:cs="Arial" w:eastAsia="Arial" w:hAnsi="Arial"/>
          <w:sz w:val="17"/>
          <w:szCs w:val="17"/>
          <w:i w:val="1"/>
          <w:iCs w:val="1"/>
          <w:color w:val="auto"/>
        </w:rPr>
        <w:t xml:space="preserve">Retail </w:t>
      </w:r>
      <w:r>
        <w:rPr>
          <w:rFonts w:ascii="Arial" w:cs="Arial" w:eastAsia="Arial" w:hAnsi="Arial"/>
          <w:sz w:val="17"/>
          <w:szCs w:val="17"/>
          <w:color w:val="auto"/>
        </w:rPr>
        <w:t>- We offer software-led solutions to customers in the retail industry, leading with digital to connect retail operations end to end to integrate all</w:t>
      </w:r>
      <w:r>
        <w:rPr>
          <w:rFonts w:ascii="Arial" w:cs="Arial" w:eastAsia="Arial" w:hAnsi="Arial"/>
          <w:sz w:val="17"/>
          <w:szCs w:val="17"/>
          <w:i w:val="1"/>
          <w:iCs w:val="1"/>
          <w:color w:val="auto"/>
        </w:rPr>
        <w:t xml:space="preserve"> </w:t>
      </w:r>
      <w:r>
        <w:rPr>
          <w:rFonts w:ascii="Arial" w:cs="Arial" w:eastAsia="Arial" w:hAnsi="Arial"/>
          <w:sz w:val="17"/>
          <w:szCs w:val="17"/>
          <w:color w:val="auto"/>
        </w:rPr>
        <w:t>aspects of a customer’s operations in indoor and outdoor settings from point-of-sale (“POS”), to payments, inventory management, fraud and loss prevention applications, loyalty and consumer engagement. These solutions include retail-oriented technologies such as comprehensive API-point of sale retail software platforms and applications, hardware terminals, self-service kiosks including self-checkout (“SCO”), payment processing and merchant acquiring solutions, and bar-code scanners.</w:t>
      </w:r>
    </w:p>
    <w:p>
      <w:pPr>
        <w:spacing w:after="0" w:line="208" w:lineRule="exact"/>
        <w:rPr>
          <w:rFonts w:ascii="Arial" w:cs="Arial" w:eastAsia="Arial" w:hAnsi="Arial"/>
          <w:sz w:val="19"/>
          <w:szCs w:val="19"/>
          <w:b w:val="1"/>
          <w:bCs w:val="1"/>
          <w:i w:val="1"/>
          <w:iCs w:val="1"/>
          <w:color w:val="auto"/>
        </w:rPr>
      </w:pPr>
    </w:p>
    <w:p>
      <w:pPr>
        <w:jc w:val="both"/>
        <w:ind w:left="620" w:hanging="305"/>
        <w:spacing w:after="0" w:line="264" w:lineRule="auto"/>
        <w:tabs>
          <w:tab w:leader="none" w:pos="61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Hospitality </w:t>
      </w:r>
      <w:r>
        <w:rPr>
          <w:rFonts w:ascii="Arial" w:cs="Arial" w:eastAsia="Arial" w:hAnsi="Arial"/>
          <w:sz w:val="17"/>
          <w:szCs w:val="17"/>
          <w:color w:val="auto"/>
        </w:rPr>
        <w:t>- We offer technology solutions to customers in the hospitality industry, including table-service, quick-service and fast casual restaurants of</w:t>
      </w:r>
      <w:r>
        <w:rPr>
          <w:rFonts w:ascii="Arial" w:cs="Arial" w:eastAsia="Arial" w:hAnsi="Arial"/>
          <w:sz w:val="17"/>
          <w:szCs w:val="17"/>
          <w:i w:val="1"/>
          <w:iCs w:val="1"/>
          <w:color w:val="auto"/>
        </w:rPr>
        <w:t xml:space="preserve"> </w:t>
      </w:r>
      <w:r>
        <w:rPr>
          <w:rFonts w:ascii="Arial" w:cs="Arial" w:eastAsia="Arial" w:hAnsi="Arial"/>
          <w:sz w:val="17"/>
          <w:szCs w:val="17"/>
          <w:color w:val="auto"/>
        </w:rPr>
        <w:t>all sizes, that are designed to improve operational efficiency, increase customer satisfaction, streamline order and transaction processing and reduce operating costs. Our solutions include POS hardware and software solutions, payment processing and merchant acquiring services, installation, maintenance, as well as managed and professional services.</w:t>
      </w:r>
    </w:p>
    <w:p>
      <w:pPr>
        <w:spacing w:after="0" w:line="203" w:lineRule="exact"/>
        <w:rPr>
          <w:rFonts w:ascii="Arial" w:cs="Arial" w:eastAsia="Arial" w:hAnsi="Arial"/>
          <w:sz w:val="17"/>
          <w:szCs w:val="17"/>
          <w:i w:val="1"/>
          <w:iCs w:val="1"/>
          <w:color w:val="auto"/>
        </w:rPr>
      </w:pPr>
    </w:p>
    <w:p>
      <w:pPr>
        <w:ind w:left="620" w:hanging="305"/>
        <w:spacing w:after="0" w:line="317" w:lineRule="auto"/>
        <w:tabs>
          <w:tab w:leader="none" w:pos="616"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Digital Banking </w:t>
      </w:r>
      <w:r>
        <w:rPr>
          <w:rFonts w:ascii="Arial" w:cs="Arial" w:eastAsia="Arial" w:hAnsi="Arial"/>
          <w:sz w:val="16"/>
          <w:szCs w:val="16"/>
          <w:color w:val="auto"/>
        </w:rPr>
        <w:t>- Digital Banking helps financial institutions implement their digital-first platform strategy by providing solutions for account opening,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management, transaction processing, imaging, and branch services to enable financial institutions to offer a compelling customer experience.</w:t>
      </w:r>
    </w:p>
    <w:p>
      <w:pPr>
        <w:spacing w:after="0" w:line="175" w:lineRule="exact"/>
        <w:rPr>
          <w:rFonts w:ascii="Arial" w:cs="Arial" w:eastAsia="Arial" w:hAnsi="Arial"/>
          <w:sz w:val="16"/>
          <w:szCs w:val="16"/>
          <w:i w:val="1"/>
          <w:iCs w:val="1"/>
          <w:color w:val="auto"/>
        </w:rPr>
      </w:pPr>
    </w:p>
    <w:p>
      <w:pPr>
        <w:jc w:val="both"/>
        <w:ind w:left="620" w:hanging="305"/>
        <w:spacing w:after="0" w:line="276" w:lineRule="auto"/>
        <w:tabs>
          <w:tab w:leader="none" w:pos="609" w:val="left"/>
        </w:tabs>
        <w:numPr>
          <w:ilvl w:val="0"/>
          <w:numId w:val="5"/>
        </w:numPr>
        <w:rPr>
          <w:rFonts w:ascii="Arial" w:cs="Arial" w:eastAsia="Arial" w:hAnsi="Arial"/>
          <w:sz w:val="18"/>
          <w:szCs w:val="18"/>
          <w:b w:val="1"/>
          <w:bCs w:val="1"/>
          <w:i w:val="1"/>
          <w:iCs w:val="1"/>
          <w:color w:val="auto"/>
        </w:rPr>
      </w:pPr>
      <w:r>
        <w:rPr>
          <w:rFonts w:ascii="Arial" w:cs="Arial" w:eastAsia="Arial" w:hAnsi="Arial"/>
          <w:sz w:val="16"/>
          <w:szCs w:val="16"/>
          <w:i w:val="1"/>
          <w:iCs w:val="1"/>
          <w:color w:val="auto"/>
        </w:rPr>
        <w:t xml:space="preserve">Payments &amp; Network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0E101A"/>
        </w:rPr>
        <w:t>We provide a cost-effective way for financial institutions, fintechs, and neobanks to reach and serve their customers through our</w:t>
      </w:r>
      <w:r>
        <w:rPr>
          <w:rFonts w:ascii="Arial" w:cs="Arial" w:eastAsia="Arial" w:hAnsi="Arial"/>
          <w:sz w:val="16"/>
          <w:szCs w:val="16"/>
          <w:i w:val="1"/>
          <w:iCs w:val="1"/>
          <w:color w:val="auto"/>
        </w:rPr>
        <w:t xml:space="preserve"> </w:t>
      </w:r>
      <w:r>
        <w:rPr>
          <w:rFonts w:ascii="Arial" w:cs="Arial" w:eastAsia="Arial" w:hAnsi="Arial"/>
          <w:sz w:val="16"/>
          <w:szCs w:val="16"/>
          <w:color w:val="0E101A"/>
        </w:rPr>
        <w:t>network of automated teller machines (</w:t>
      </w:r>
      <w:r>
        <w:rPr>
          <w:rFonts w:ascii="Arial" w:cs="Arial" w:eastAsia="Arial" w:hAnsi="Arial"/>
          <w:sz w:val="16"/>
          <w:szCs w:val="16"/>
          <w:color w:val="000000"/>
        </w:rPr>
        <w:t>“</w:t>
      </w:r>
      <w:r>
        <w:rPr>
          <w:rFonts w:ascii="Arial" w:cs="Arial" w:eastAsia="Arial" w:hAnsi="Arial"/>
          <w:sz w:val="16"/>
          <w:szCs w:val="16"/>
          <w:color w:val="0E101A"/>
        </w:rPr>
        <w:t>ATMs</w:t>
      </w:r>
      <w:r>
        <w:rPr>
          <w:rFonts w:ascii="Arial" w:cs="Arial" w:eastAsia="Arial" w:hAnsi="Arial"/>
          <w:sz w:val="16"/>
          <w:szCs w:val="16"/>
          <w:color w:val="000000"/>
        </w:rPr>
        <w:t>”</w:t>
      </w:r>
      <w:r>
        <w:rPr>
          <w:rFonts w:ascii="Arial" w:cs="Arial" w:eastAsia="Arial" w:hAnsi="Arial"/>
          <w:sz w:val="16"/>
          <w:szCs w:val="16"/>
          <w:color w:val="0E101A"/>
        </w:rPr>
        <w:t>) and multi-functioning financial services kiosks. We offer credit unions, banks, digital banks, fintechs, stored-value debit card issuers, and other consumer financial services providers access to our Allpoint retail-based ATM network, providing convenient and fee-free cash withdrawal and deposit access to their customers and cardholders as well as the ability to convert a digital value to cash, or vice versa, via NCRPay360. We also provide ATM branding solutions to financial institutions, ATM management and services to retailers and other businesses, as well as payment processing and merchant acquiring services in the retail, hospitality and other industries.</w:t>
      </w:r>
    </w:p>
    <w:p>
      <w:pPr>
        <w:spacing w:after="0" w:line="195" w:lineRule="exact"/>
        <w:rPr>
          <w:rFonts w:ascii="Arial" w:cs="Arial" w:eastAsia="Arial" w:hAnsi="Arial"/>
          <w:sz w:val="18"/>
          <w:szCs w:val="18"/>
          <w:b w:val="1"/>
          <w:bCs w:val="1"/>
          <w:i w:val="1"/>
          <w:iCs w:val="1"/>
          <w:color w:val="auto"/>
        </w:rPr>
      </w:pPr>
    </w:p>
    <w:p>
      <w:pPr>
        <w:jc w:val="both"/>
        <w:ind w:left="620" w:hanging="305"/>
        <w:spacing w:after="0" w:line="264" w:lineRule="auto"/>
        <w:tabs>
          <w:tab w:leader="none" w:pos="61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Self-Service Banking </w:t>
      </w:r>
      <w:r>
        <w:rPr>
          <w:rFonts w:ascii="Arial" w:cs="Arial" w:eastAsia="Arial" w:hAnsi="Arial"/>
          <w:sz w:val="17"/>
          <w:szCs w:val="17"/>
          <w:color w:val="auto"/>
        </w:rPr>
        <w:t>- We offer solutions to enable customers in the financial services industry to reduce costs, generate new revenue streams and</w:t>
      </w:r>
      <w:r>
        <w:rPr>
          <w:rFonts w:ascii="Arial" w:cs="Arial" w:eastAsia="Arial" w:hAnsi="Arial"/>
          <w:sz w:val="17"/>
          <w:szCs w:val="17"/>
          <w:i w:val="1"/>
          <w:iCs w:val="1"/>
          <w:color w:val="auto"/>
        </w:rPr>
        <w:t xml:space="preserve"> </w:t>
      </w:r>
      <w:r>
        <w:rPr>
          <w:rFonts w:ascii="Arial" w:cs="Arial" w:eastAsia="Arial" w:hAnsi="Arial"/>
          <w:sz w:val="17"/>
          <w:szCs w:val="17"/>
          <w:color w:val="auto"/>
        </w:rPr>
        <w:t>enhance customer loyalty. These solutions include a comprehensive line of ATM hardware and software, and related installation, maintenance, and managed and professional services. We also offer solutions to manage and run the ATM channel end-to-end for financial institutions that includes back office, cash management, software management and ATM deployment, among others.</w:t>
      </w:r>
    </w:p>
    <w:p>
      <w:pPr>
        <w:spacing w:after="0" w:line="20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Corporate and Other includes income and expenses related to corporate functions that are not specifically attributable to an individual reportable segment along with any immaterial operating segment(s).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Eliminations include revenues from contracts with customers and the related costs that are reported in the Payments &amp; Network segment as well as in the Retail or Hospitality segments, including merchant acquiring services that are monetized via payments.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segments represent components of the Company for which separate financial information is available that is utilized on a regular basis by the chief operating decision maker in assessing segment performance and in allocating the Company’s resources. Management evaluates the performance of the segments based on revenue and Adjusted EBITDA. Adjusted EBITDA is defined as GAAP net income (loss) from continuing operations attributable to the Company plus interest expense, net; plus income tax expense (benefit); plus depreciation and amortization; plus stock-based compensation expense; plus other income (expense); plus pension mark-to-market adjustments and other special items, including amortization of acquisition-related intangibles, separation-related costs, cyber ransomware incident recovery costs, and transformation and restructuring charges (which includes integration, severance and other exit and disposal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GAAP net income (loss) from continuing operations attributable to NCR.</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i w:val="1"/>
          <w:iCs w:val="1"/>
          <w:color w:val="auto"/>
        </w:rPr>
        <w:t xml:space="preserve">Special Item Related to Russia </w:t>
      </w:r>
      <w:r>
        <w:rPr>
          <w:rFonts w:ascii="Arial" w:cs="Arial" w:eastAsia="Arial" w:hAnsi="Arial"/>
          <w:sz w:val="15"/>
          <w:szCs w:val="15"/>
          <w:color w:val="auto"/>
        </w:rPr>
        <w:t>The war in Eastern Europe and related sanctions imposed on Russia and related actors by the United States and other jurisdictions</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us to commence the orderly wind down of our operations in Russia in the first quarter of 2022. We have ceased operations in Russia and are in the process of dissolving our only subsidiary in Russia. As a result, for the three and nine months ended September 30, 2022, our presentation of segment revenue and Adjusted EBITDA excludes the immaterial impact of our operating results in Russia, as well as the impact of impairments taken to write down the carrying value of assets and liabilities, severance charges, and the assessment of collectability on revenue recognition. We recognized a pre-tax net loss of $22 million for the nine months ended September 30, 2022 related to these actions, recognized primarily in Cost of products, Cost of services and Selling, general and administrative expenses on the Condensed Consolidated Statement of Operations. No charges have been recognized for the nine months ended September 30, 2023. We consider this to be a non-recurring special item and management has reviewed the results of its business segments excluding these impacts.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condensed consolidated financial statements as a whole. Intersegment sales and transfers are not material.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revenue and Adjusted EBITDA by segment: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5"/>
                <w:szCs w:val="15"/>
                <w:color w:val="auto"/>
              </w:rPr>
            </w:pPr>
          </w:p>
        </w:tc>
        <w:tc>
          <w:tcPr>
            <w:tcW w:w="302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 by segment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Arial" w:cs="Arial" w:eastAsia="Arial" w:hAnsi="Arial"/>
                <w:sz w:val="17"/>
                <w:szCs w:val="17"/>
                <w:color w:val="auto"/>
              </w:rPr>
              <w:t>Retail</w:t>
            </w:r>
          </w:p>
        </w:tc>
        <w:tc>
          <w:tcPr>
            <w:tcW w:w="40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568</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575</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1,696</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1,683</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Hospitality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Arial" w:cs="Arial" w:eastAsia="Arial" w:hAnsi="Arial"/>
                <w:sz w:val="17"/>
                <w:szCs w:val="17"/>
                <w:color w:val="auto"/>
              </w:rPr>
              <w:t>Digital Banking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&amp; Network</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Self-Service Banking</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1,930</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segment revenue</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5,671</w:t>
            </w:r>
          </w:p>
        </w:tc>
        <w:tc>
          <w:tcPr>
            <w:tcW w:w="0" w:type="dxa"/>
            <w:vAlign w:val="bottom"/>
          </w:tcPr>
          <w:p>
            <w:pPr>
              <w:spacing w:after="0"/>
              <w:rPr>
                <w:sz w:val="1"/>
                <w:szCs w:val="1"/>
                <w:color w:val="auto"/>
              </w:rPr>
            </w:pPr>
          </w:p>
        </w:tc>
      </w:tr>
      <w:tr>
        <w:trPr>
          <w:trHeight w:val="220"/>
        </w:trPr>
        <w:tc>
          <w:tcPr>
            <w:tcW w:w="4320" w:type="dxa"/>
            <w:vAlign w:val="bottom"/>
          </w:tcPr>
          <w:p>
            <w:pPr>
              <w:ind w:left="200"/>
              <w:spacing w:after="0" w:line="221"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Eliminations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line="221" w:lineRule="exact"/>
              <w:rPr>
                <w:sz w:val="20"/>
                <w:szCs w:val="20"/>
                <w:color w:val="auto"/>
              </w:rPr>
            </w:pPr>
            <w:r>
              <w:rPr>
                <w:rFonts w:ascii="Arial" w:cs="Arial" w:eastAsia="Arial" w:hAnsi="Arial"/>
                <w:sz w:val="17"/>
                <w:szCs w:val="17"/>
                <w:color w:val="auto"/>
              </w:rPr>
              <w:t xml:space="preserve">Other adjustment </w:t>
            </w:r>
            <w:r>
              <w:rPr>
                <w:rFonts w:ascii="Arial" w:cs="Arial" w:eastAsia="Arial" w:hAnsi="Arial"/>
                <w:sz w:val="22"/>
                <w:szCs w:val="22"/>
                <w:color w:val="auto"/>
                <w:vertAlign w:val="superscript"/>
              </w:rPr>
              <w:t>(2)</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revenue</w:t>
            </w: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 by segment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Arial" w:cs="Arial" w:eastAsia="Arial" w:hAnsi="Arial"/>
                <w:sz w:val="17"/>
                <w:szCs w:val="17"/>
                <w:color w:val="auto"/>
              </w:rPr>
              <w:t>Retail</w:t>
            </w:r>
          </w:p>
        </w:tc>
        <w:tc>
          <w:tcPr>
            <w:tcW w:w="40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132</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352</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Hospitality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Arial" w:cs="Arial" w:eastAsia="Arial" w:hAnsi="Arial"/>
                <w:sz w:val="17"/>
                <w:szCs w:val="17"/>
                <w:color w:val="auto"/>
              </w:rPr>
              <w:t>Digital Banking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&amp; Network</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Self-Service Banking</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3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Adjusted EBITDA</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140" w:hanging="136"/>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Other immaterial business operations that do not represent a reportable segment.</w:t>
      </w:r>
    </w:p>
    <w:p>
      <w:pPr>
        <w:spacing w:after="0" w:line="88" w:lineRule="exact"/>
        <w:rPr>
          <w:rFonts w:ascii="Arial" w:cs="Arial" w:eastAsia="Arial" w:hAnsi="Arial"/>
          <w:sz w:val="16"/>
          <w:szCs w:val="16"/>
          <w:color w:val="auto"/>
          <w:vertAlign w:val="superscript"/>
        </w:rPr>
      </w:pPr>
    </w:p>
    <w:p>
      <w:pPr>
        <w:ind w:firstLine="4"/>
        <w:spacing w:after="0" w:line="258" w:lineRule="auto"/>
        <w:tabs>
          <w:tab w:leader="none" w:pos="161"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Other adjustment reflects the revenue attributable to the Company’s operations in Russia for the nine months ended September 30, 2022 that were excluded from management’s measure of revenue due to our previous announcement to suspend sales to Russia and orderly wind down of our operations in Russia beginning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Segment Adjusted EBITDA to Net income (loss) from continuing operations attributable to NCR: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5"/>
                <w:szCs w:val="15"/>
                <w:color w:val="auto"/>
              </w:rPr>
            </w:pPr>
          </w:p>
        </w:tc>
        <w:tc>
          <w:tcPr>
            <w:tcW w:w="300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6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Adjusted EBITDA</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7"/>
                <w:szCs w:val="17"/>
                <w:color w:val="auto"/>
              </w:rPr>
              <w:t>Less unallocated amounts: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Pension mark-to-market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line="182" w:lineRule="exact"/>
              <w:rPr>
                <w:sz w:val="20"/>
                <w:szCs w:val="20"/>
                <w:color w:val="auto"/>
              </w:rPr>
            </w:pPr>
            <w:r>
              <w:rPr>
                <w:rFonts w:ascii="Arial" w:cs="Arial" w:eastAsia="Arial" w:hAnsi="Arial"/>
                <w:sz w:val="17"/>
                <w:szCs w:val="17"/>
                <w:color w:val="auto"/>
                <w:w w:val="93"/>
              </w:rPr>
              <w:t>Corporate and other income and expenses not allocated to</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341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20"/>
              <w:spacing w:after="0"/>
              <w:rPr>
                <w:sz w:val="20"/>
                <w:szCs w:val="20"/>
                <w:color w:val="auto"/>
              </w:rPr>
            </w:pPr>
            <w:r>
              <w:rPr>
                <w:rFonts w:ascii="Arial" w:cs="Arial" w:eastAsia="Arial" w:hAnsi="Arial"/>
                <w:sz w:val="17"/>
                <w:szCs w:val="17"/>
                <w:color w:val="auto"/>
              </w:rPr>
              <w:t>reportable segments</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Eliminations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0"/>
        </w:trPr>
        <w:tc>
          <w:tcPr>
            <w:tcW w:w="4360" w:type="dxa"/>
            <w:vAlign w:val="bottom"/>
          </w:tcPr>
          <w:p>
            <w:pPr>
              <w:ind w:left="220"/>
              <w:spacing w:after="0" w:line="221" w:lineRule="exact"/>
              <w:rPr>
                <w:sz w:val="20"/>
                <w:szCs w:val="20"/>
                <w:color w:val="auto"/>
              </w:rPr>
            </w:pPr>
            <w:r>
              <w:rPr>
                <w:rFonts w:ascii="Arial" w:cs="Arial" w:eastAsia="Arial" w:hAnsi="Arial"/>
                <w:sz w:val="17"/>
                <w:szCs w:val="17"/>
                <w:color w:val="auto"/>
              </w:rPr>
              <w:t xml:space="preserve">Transformation and restructuring costs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amortization of intangibles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4360" w:type="dxa"/>
            <w:vAlign w:val="bottom"/>
          </w:tcPr>
          <w:p>
            <w:pPr>
              <w:ind w:left="220"/>
              <w:spacing w:after="0" w:line="221" w:lineRule="exact"/>
              <w:rPr>
                <w:sz w:val="20"/>
                <w:szCs w:val="20"/>
                <w:color w:val="auto"/>
              </w:rPr>
            </w:pPr>
            <w:r>
              <w:rPr>
                <w:rFonts w:ascii="Arial" w:cs="Arial" w:eastAsia="Arial" w:hAnsi="Arial"/>
                <w:sz w:val="17"/>
                <w:szCs w:val="17"/>
                <w:color w:val="auto"/>
              </w:rPr>
              <w:t xml:space="preserve">Acquisition-related costs </w:t>
            </w:r>
            <w:r>
              <w:rPr>
                <w:rFonts w:ascii="Arial" w:cs="Arial" w:eastAsia="Arial" w:hAnsi="Arial"/>
                <w:sz w:val="22"/>
                <w:szCs w:val="22"/>
                <w:color w:val="auto"/>
                <w:vertAlign w:val="superscript"/>
              </w:rPr>
              <w:t>(2)</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line="221" w:lineRule="exact"/>
              <w:rPr>
                <w:sz w:val="20"/>
                <w:szCs w:val="20"/>
                <w:color w:val="auto"/>
              </w:rPr>
            </w:pPr>
            <w:r>
              <w:rPr>
                <w:rFonts w:ascii="Arial" w:cs="Arial" w:eastAsia="Arial" w:hAnsi="Arial"/>
                <w:sz w:val="17"/>
                <w:szCs w:val="17"/>
                <w:color w:val="auto"/>
                <w:w w:val="94"/>
              </w:rPr>
              <w:t xml:space="preserve">Gain on terminated interest rate derivative agreements </w:t>
            </w:r>
            <w:r>
              <w:rPr>
                <w:rFonts w:ascii="Arial" w:cs="Arial" w:eastAsia="Arial" w:hAnsi="Arial"/>
                <w:sz w:val="22"/>
                <w:szCs w:val="22"/>
                <w:color w:val="auto"/>
                <w:w w:val="94"/>
                <w:vertAlign w:val="superscript"/>
              </w:rPr>
              <w:t>(3)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tcPr>
          <w:p>
            <w:pPr>
              <w:ind w:left="220"/>
              <w:spacing w:after="0" w:line="221"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2"/>
                <w:szCs w:val="22"/>
                <w:color w:val="auto"/>
                <w:vertAlign w:val="superscript"/>
              </w:rPr>
              <w:t>(3)</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line="182" w:lineRule="exact"/>
              <w:rPr>
                <w:sz w:val="20"/>
                <w:szCs w:val="20"/>
                <w:color w:val="auto"/>
              </w:rPr>
            </w:pPr>
            <w:r>
              <w:rPr>
                <w:rFonts w:ascii="Arial" w:cs="Arial" w:eastAsia="Arial" w:hAnsi="Arial"/>
                <w:sz w:val="17"/>
                <w:szCs w:val="17"/>
                <w:color w:val="auto"/>
              </w:rPr>
              <w:t>Depreciation and amortization (excluding acquisition-</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20"/>
              <w:spacing w:after="0"/>
              <w:rPr>
                <w:sz w:val="20"/>
                <w:szCs w:val="20"/>
                <w:color w:val="auto"/>
              </w:rPr>
            </w:pPr>
            <w:r>
              <w:rPr>
                <w:rFonts w:ascii="Arial" w:cs="Arial" w:eastAsia="Arial" w:hAnsi="Arial"/>
                <w:sz w:val="17"/>
                <w:szCs w:val="17"/>
                <w:color w:val="auto"/>
              </w:rPr>
              <w:t>related amortization of intangibles)</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 expense (benefit)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0"/>
        </w:trPr>
        <w:tc>
          <w:tcPr>
            <w:tcW w:w="436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line="221" w:lineRule="exact"/>
              <w:rPr>
                <w:sz w:val="20"/>
                <w:szCs w:val="20"/>
                <w:color w:val="auto"/>
              </w:rPr>
            </w:pPr>
            <w:r>
              <w:rPr>
                <w:rFonts w:ascii="Arial" w:cs="Arial" w:eastAsia="Arial" w:hAnsi="Arial"/>
                <w:sz w:val="17"/>
                <w:szCs w:val="17"/>
                <w:color w:val="auto"/>
              </w:rPr>
              <w:t xml:space="preserve">Separation costs </w:t>
            </w:r>
            <w:r>
              <w:rPr>
                <w:rFonts w:ascii="Arial" w:cs="Arial" w:eastAsia="Arial" w:hAnsi="Arial"/>
                <w:sz w:val="22"/>
                <w:szCs w:val="22"/>
                <w:color w:val="auto"/>
                <w:vertAlign w:val="superscript"/>
              </w:rPr>
              <w:t>(4)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tcPr>
          <w:p>
            <w:pPr>
              <w:ind w:left="220"/>
              <w:spacing w:after="0" w:line="221" w:lineRule="exact"/>
              <w:rPr>
                <w:sz w:val="20"/>
                <w:szCs w:val="20"/>
                <w:color w:val="auto"/>
              </w:rPr>
            </w:pPr>
            <w:r>
              <w:rPr>
                <w:rFonts w:ascii="Arial" w:cs="Arial" w:eastAsia="Arial" w:hAnsi="Arial"/>
                <w:sz w:val="17"/>
                <w:szCs w:val="17"/>
                <w:color w:val="auto"/>
              </w:rPr>
              <w:t xml:space="preserve">Cyber ransomware incident recovery costs </w:t>
            </w:r>
            <w:r>
              <w:rPr>
                <w:rFonts w:ascii="Arial" w:cs="Arial" w:eastAsia="Arial" w:hAnsi="Arial"/>
                <w:sz w:val="22"/>
                <w:szCs w:val="22"/>
                <w:color w:val="auto"/>
                <w:vertAlign w:val="superscript"/>
              </w:rPr>
              <w:t>(5)</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Russia</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56"/>
        </w:trPr>
        <w:tc>
          <w:tcPr>
            <w:tcW w:w="4360" w:type="dxa"/>
            <w:vAlign w:val="bottom"/>
          </w:tcPr>
          <w:p>
            <w:pPr>
              <w:ind w:left="20"/>
              <w:spacing w:after="0" w:line="156" w:lineRule="exact"/>
              <w:rPr>
                <w:sz w:val="20"/>
                <w:szCs w:val="20"/>
                <w:color w:val="auto"/>
              </w:rPr>
            </w:pPr>
            <w:r>
              <w:rPr>
                <w:rFonts w:ascii="Arial" w:cs="Arial" w:eastAsia="Arial" w:hAnsi="Arial"/>
                <w:sz w:val="17"/>
                <w:szCs w:val="17"/>
                <w:b w:val="1"/>
                <w:bCs w:val="1"/>
                <w:color w:val="auto"/>
                <w:w w:val="92"/>
              </w:rPr>
              <w:t>Net income (loss) from continuing operations attributable</w:t>
            </w:r>
          </w:p>
        </w:tc>
        <w:tc>
          <w:tcPr>
            <w:tcW w:w="38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(124)</w:t>
            </w:r>
          </w:p>
        </w:tc>
        <w:tc>
          <w:tcPr>
            <w:tcW w:w="100" w:type="dxa"/>
            <w:vAlign w:val="bottom"/>
          </w:tcPr>
          <w:p>
            <w:pPr>
              <w:spacing w:after="0"/>
              <w:rPr>
                <w:sz w:val="13"/>
                <w:szCs w:val="13"/>
                <w:color w:val="auto"/>
              </w:rPr>
            </w:pPr>
          </w:p>
        </w:tc>
        <w:tc>
          <w:tcPr>
            <w:tcW w:w="400" w:type="dxa"/>
            <w:vAlign w:val="bottom"/>
            <w:vMerge w:val="restart"/>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3"/>
                <w:szCs w:val="13"/>
                <w:color w:val="auto"/>
              </w:rPr>
            </w:pPr>
          </w:p>
        </w:tc>
        <w:tc>
          <w:tcPr>
            <w:tcW w:w="40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(95)</w:t>
            </w:r>
          </w:p>
        </w:tc>
        <w:tc>
          <w:tcPr>
            <w:tcW w:w="80" w:type="dxa"/>
            <w:vAlign w:val="bottom"/>
          </w:tcPr>
          <w:p>
            <w:pPr>
              <w:spacing w:after="0"/>
              <w:rPr>
                <w:sz w:val="13"/>
                <w:szCs w:val="13"/>
                <w:color w:val="auto"/>
              </w:rPr>
            </w:pPr>
          </w:p>
        </w:tc>
        <w:tc>
          <w:tcPr>
            <w:tcW w:w="400" w:type="dxa"/>
            <w:vAlign w:val="bottom"/>
            <w:vMerge w:val="restart"/>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0"/>
        </w:trPr>
        <w:tc>
          <w:tcPr>
            <w:tcW w:w="4360" w:type="dxa"/>
            <w:vAlign w:val="bottom"/>
          </w:tcPr>
          <w:p>
            <w:pPr>
              <w:ind w:left="20"/>
              <w:spacing w:after="0"/>
              <w:rPr>
                <w:sz w:val="20"/>
                <w:szCs w:val="20"/>
                <w:color w:val="auto"/>
              </w:rPr>
            </w:pPr>
            <w:r>
              <w:rPr>
                <w:rFonts w:ascii="Arial" w:cs="Arial" w:eastAsia="Arial" w:hAnsi="Arial"/>
                <w:sz w:val="17"/>
                <w:szCs w:val="17"/>
                <w:b w:val="1"/>
                <w:bCs w:val="1"/>
                <w:color w:val="auto"/>
              </w:rPr>
              <w:t>to NCR</w:t>
            </w: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40" w:hanging="136"/>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Represents integration, severance, and other exit and disposal costs, which are considered non-operational in nature.</w:t>
      </w:r>
    </w:p>
    <w:p>
      <w:pPr>
        <w:spacing w:after="0" w:line="68" w:lineRule="exact"/>
        <w:rPr>
          <w:rFonts w:ascii="Arial" w:cs="Arial" w:eastAsia="Arial" w:hAnsi="Arial"/>
          <w:sz w:val="16"/>
          <w:szCs w:val="16"/>
          <w:color w:val="auto"/>
          <w:vertAlign w:val="superscript"/>
        </w:rPr>
      </w:pPr>
    </w:p>
    <w:p>
      <w:pPr>
        <w:ind w:left="160" w:hanging="156"/>
        <w:spacing w:after="0"/>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Represents professional fees, retention bonuses, and other costs incurred related to acquisitions, which are considered non-operational in nature.</w:t>
      </w:r>
    </w:p>
    <w:p>
      <w:pPr>
        <w:spacing w:after="0" w:line="73" w:lineRule="exact"/>
        <w:rPr>
          <w:rFonts w:ascii="Arial" w:cs="Arial" w:eastAsia="Arial" w:hAnsi="Arial"/>
          <w:sz w:val="19"/>
          <w:szCs w:val="19"/>
          <w:color w:val="auto"/>
          <w:vertAlign w:val="superscript"/>
        </w:rPr>
      </w:pPr>
    </w:p>
    <w:p>
      <w:pPr>
        <w:jc w:val="both"/>
        <w:ind w:firstLine="4"/>
        <w:spacing w:after="0" w:line="269"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 xml:space="preserve">During the three months ended September 30, 2023, it was determined that the transactions underlying the unrealized gains on terminated interest rate swap and cap agreements reported in Accumulated other comprehensive income were probable of not occurring under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As such, $85 million of unrealized gains were recognized in Cost of services and $18 million of unrealized gains were recognized in Interest expense. Refer to Note 13, “Derivatives and Hedging Instruments”.</w:t>
      </w:r>
    </w:p>
    <w:p>
      <w:pPr>
        <w:spacing w:after="0" w:line="55" w:lineRule="exact"/>
        <w:rPr>
          <w:rFonts w:ascii="Arial" w:cs="Arial" w:eastAsia="Arial" w:hAnsi="Arial"/>
          <w:sz w:val="18"/>
          <w:szCs w:val="18"/>
          <w:color w:val="auto"/>
          <w:vertAlign w:val="superscript"/>
        </w:rPr>
      </w:pPr>
    </w:p>
    <w:p>
      <w:pPr>
        <w:ind w:left="140" w:hanging="136"/>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Represents primarily professional fees specific to separation preparation including separation management, organizational design, and legal fees.</w:t>
      </w:r>
    </w:p>
    <w:p>
      <w:pPr>
        <w:spacing w:after="0" w:line="88" w:lineRule="exact"/>
        <w:rPr>
          <w:rFonts w:ascii="Arial" w:cs="Arial" w:eastAsia="Arial" w:hAnsi="Arial"/>
          <w:sz w:val="16"/>
          <w:szCs w:val="16"/>
          <w:color w:val="auto"/>
          <w:vertAlign w:val="superscript"/>
        </w:rPr>
      </w:pPr>
    </w:p>
    <w:p>
      <w:pPr>
        <w:ind w:firstLine="4"/>
        <w:spacing w:after="0" w:line="233"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Represents expenses to respond to, remediate and investigate the April 13, 2023 cyber ransomware incident, which is considered a non-recurring special item. Additional details regarding this cyber ransomware incident are discussed in Note 1, “Basis of Presentation and Summary of Significant Accounting Policies”.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revenue by geography for the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5"/>
                <w:szCs w:val="15"/>
                <w:color w:val="auto"/>
              </w:rPr>
            </w:pPr>
          </w:p>
        </w:tc>
        <w:tc>
          <w:tcPr>
            <w:tcW w:w="300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6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7"/>
                <w:szCs w:val="17"/>
                <w:color w:val="auto"/>
              </w:rPr>
              <w:t>Americas (excluding United States)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 Middle East and Africa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2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98"/>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recurring revenue for the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28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6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Recurring revenue </w:t>
            </w:r>
            <w:r>
              <w:rPr>
                <w:rFonts w:ascii="Arial" w:cs="Arial" w:eastAsia="Arial" w:hAnsi="Arial"/>
                <w:sz w:val="22"/>
                <w:szCs w:val="22"/>
                <w:color w:val="auto"/>
                <w:vertAlign w:val="superscript"/>
              </w:rPr>
              <w:t>(1)</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7"/>
                <w:szCs w:val="17"/>
                <w:b w:val="1"/>
                <w:bCs w:val="1"/>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3,796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0" w:type="dxa"/>
            <w:vAlign w:val="bottom"/>
          </w:tcPr>
          <w:p>
            <w:pPr>
              <w:spacing w:after="0"/>
              <w:rPr>
                <w:sz w:val="1"/>
                <w:szCs w:val="1"/>
                <w:color w:val="auto"/>
              </w:rPr>
            </w:pPr>
          </w:p>
        </w:tc>
      </w:tr>
      <w:tr>
        <w:trPr>
          <w:trHeight w:val="22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products and services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2,098</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5,894</w:t>
            </w:r>
          </w:p>
        </w:tc>
        <w:tc>
          <w:tcPr>
            <w:tcW w:w="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540" w:hanging="225"/>
        <w:spacing w:after="0" w:line="305" w:lineRule="auto"/>
        <w:tabs>
          <w:tab w:leader="none" w:pos="45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interchange and network revenue, Bitcoin-related revenue, and certain professional services arrangements, as well as term-based software license arrangements that include customer termination rights.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Concurrently with the Spin-Off on October 16, 2023, the Company made a number of changes to its organizational structure and management system, including the Company’s reportable segments. Following the Spin-Off, the Company will manage its reports and operations using three reportable segments - Retail, Restaurant (formerly reported as Hospitality) and Digital Banking. These changes will impact the Company’s reportable segments beginning in the fourth quarter of 2023.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5. DEBT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short-term borrowings and long-term debt:</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4"/>
          </w:tcPr>
          <w:p>
            <w:pPr>
              <w:ind w:left="62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5"/>
                <w:szCs w:val="15"/>
                <w:color w:val="auto"/>
              </w:rPr>
            </w:pPr>
          </w:p>
        </w:tc>
        <w:tc>
          <w:tcPr>
            <w:tcW w:w="2680" w:type="dxa"/>
            <w:vAlign w:val="bottom"/>
            <w:gridSpan w:val="3"/>
          </w:tcPr>
          <w:p>
            <w:pPr>
              <w:ind w:left="6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87"/>
              </w:rPr>
              <w:t>Weighted-Average</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87"/>
              </w:rPr>
              <w:t>Weighted-Average</w:t>
            </w:r>
          </w:p>
        </w:tc>
        <w:tc>
          <w:tcPr>
            <w:tcW w:w="0" w:type="dxa"/>
            <w:vAlign w:val="bottom"/>
          </w:tcPr>
          <w:p>
            <w:pPr>
              <w:spacing w:after="0"/>
              <w:rPr>
                <w:sz w:val="1"/>
                <w:szCs w:val="1"/>
                <w:color w:val="auto"/>
              </w:rPr>
            </w:pPr>
          </w:p>
        </w:tc>
      </w:tr>
      <w:tr>
        <w:trPr>
          <w:trHeight w:val="185"/>
        </w:trPr>
        <w:tc>
          <w:tcPr>
            <w:tcW w:w="44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 Rate</w:t>
            </w: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0" w:type="dxa"/>
            <w:vAlign w:val="bottom"/>
          </w:tcPr>
          <w:p>
            <w:pPr>
              <w:spacing w:after="0"/>
              <w:rPr>
                <w:sz w:val="1"/>
                <w:szCs w:val="1"/>
                <w:color w:val="auto"/>
              </w:rPr>
            </w:pPr>
          </w:p>
        </w:tc>
      </w:tr>
      <w:tr>
        <w:trPr>
          <w:trHeight w:val="206"/>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rPr>
              <w:t>Short-Term Borrowings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tcPr>
          <w:p>
            <w:pPr>
              <w:spacing w:after="0" w:line="221" w:lineRule="exact"/>
              <w:rPr>
                <w:sz w:val="20"/>
                <w:szCs w:val="20"/>
                <w:color w:val="auto"/>
              </w:rPr>
            </w:pPr>
            <w:r>
              <w:rPr>
                <w:rFonts w:ascii="Arial" w:cs="Arial" w:eastAsia="Arial" w:hAnsi="Arial"/>
                <w:sz w:val="17"/>
                <w:szCs w:val="17"/>
                <w:color w:val="auto"/>
              </w:rPr>
              <w:t xml:space="preserve">Current portion of Senior Secured Credit Facility </w:t>
            </w:r>
            <w:r>
              <w:rPr>
                <w:rFonts w:ascii="Arial" w:cs="Arial" w:eastAsia="Arial" w:hAnsi="Arial"/>
                <w:sz w:val="22"/>
                <w:szCs w:val="22"/>
                <w:color w:val="auto"/>
                <w:vertAlign w:val="superscript"/>
              </w:rPr>
              <w:t>(1)</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102</w:t>
            </w:r>
          </w:p>
        </w:tc>
        <w:tc>
          <w:tcPr>
            <w:tcW w:w="1560" w:type="dxa"/>
            <w:vAlign w:val="bottom"/>
            <w:gridSpan w:val="2"/>
          </w:tcPr>
          <w:p>
            <w:pPr>
              <w:jc w:val="center"/>
              <w:ind w:left="34"/>
              <w:spacing w:after="0"/>
              <w:rPr>
                <w:sz w:val="20"/>
                <w:szCs w:val="20"/>
                <w:color w:val="auto"/>
              </w:rPr>
            </w:pPr>
            <w:r>
              <w:rPr>
                <w:rFonts w:ascii="Arial" w:cs="Arial" w:eastAsia="Arial" w:hAnsi="Arial"/>
                <w:sz w:val="17"/>
                <w:szCs w:val="17"/>
                <w:b w:val="1"/>
                <w:bCs w:val="1"/>
                <w:color w:val="auto"/>
                <w:w w:val="99"/>
              </w:rPr>
              <w:t>7.47%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100</w:t>
            </w:r>
          </w:p>
        </w:tc>
        <w:tc>
          <w:tcPr>
            <w:tcW w:w="1540" w:type="dxa"/>
            <w:vAlign w:val="bottom"/>
            <w:gridSpan w:val="2"/>
          </w:tcPr>
          <w:p>
            <w:pPr>
              <w:jc w:val="center"/>
              <w:ind w:left="14"/>
              <w:spacing w:after="0"/>
              <w:rPr>
                <w:sz w:val="20"/>
                <w:szCs w:val="20"/>
                <w:color w:val="auto"/>
              </w:rPr>
            </w:pPr>
            <w:r>
              <w:rPr>
                <w:rFonts w:ascii="Arial" w:cs="Arial" w:eastAsia="Arial" w:hAnsi="Arial"/>
                <w:sz w:val="17"/>
                <w:szCs w:val="17"/>
                <w:color w:val="auto"/>
                <w:w w:val="91"/>
              </w:rPr>
              <w:t>6.54%</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spacing w:after="0" w:line="221" w:lineRule="exact"/>
              <w:rPr>
                <w:sz w:val="20"/>
                <w:szCs w:val="20"/>
                <w:color w:val="auto"/>
              </w:rPr>
            </w:pPr>
            <w:r>
              <w:rPr>
                <w:rFonts w:ascii="Arial" w:cs="Arial" w:eastAsia="Arial" w:hAnsi="Arial"/>
                <w:sz w:val="17"/>
                <w:szCs w:val="17"/>
                <w:color w:val="auto"/>
                <w:w w:val="96"/>
              </w:rPr>
              <w:t xml:space="preserve">Current portion of Atleos Senior Secured Credit Facility </w:t>
            </w:r>
            <w:r>
              <w:rPr>
                <w:rFonts w:ascii="Arial" w:cs="Arial" w:eastAsia="Arial" w:hAnsi="Arial"/>
                <w:sz w:val="22"/>
                <w:szCs w:val="22"/>
                <w:color w:val="auto"/>
                <w:w w:val="96"/>
                <w:vertAlign w:val="superscript"/>
              </w:rPr>
              <w:t>(1)(2)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5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b w:val="1"/>
                <w:bCs w:val="1"/>
                <w:color w:val="auto"/>
                <w:w w:val="97"/>
              </w:rPr>
              <w:t>10.17%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spacing w:after="0" w:line="221"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156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b w:val="1"/>
                <w:bCs w:val="1"/>
                <w:color w:val="auto"/>
                <w:w w:val="99"/>
              </w:rPr>
              <w:t>7.23%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54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91"/>
              </w:rPr>
              <w:t>7.05%</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short-term borrowings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113</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7"/>
                <w:szCs w:val="17"/>
                <w:b w:val="1"/>
                <w:bCs w:val="1"/>
                <w:i w:val="1"/>
                <w:iCs w:val="1"/>
                <w:color w:val="auto"/>
              </w:rPr>
              <w:t>Long-Term Debt</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Senior Secured Credit Facility: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line="221" w:lineRule="exact"/>
              <w:rPr>
                <w:sz w:val="20"/>
                <w:szCs w:val="20"/>
                <w:color w:val="auto"/>
              </w:rPr>
            </w:pPr>
            <w:r>
              <w:rPr>
                <w:rFonts w:ascii="Arial" w:cs="Arial" w:eastAsia="Arial" w:hAnsi="Arial"/>
                <w:sz w:val="17"/>
                <w:szCs w:val="17"/>
                <w:color w:val="auto"/>
              </w:rPr>
              <w:t xml:space="preserve">Term loan facility </w:t>
            </w:r>
            <w:r>
              <w:rPr>
                <w:rFonts w:ascii="Arial" w:cs="Arial" w:eastAsia="Arial" w:hAnsi="Arial"/>
                <w:sz w:val="22"/>
                <w:szCs w:val="22"/>
                <w:color w:val="auto"/>
                <w:vertAlign w:val="superscript"/>
              </w:rPr>
              <w:t>(1)</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1,699</w:t>
            </w:r>
          </w:p>
        </w:tc>
        <w:tc>
          <w:tcPr>
            <w:tcW w:w="1560" w:type="dxa"/>
            <w:vAlign w:val="bottom"/>
            <w:gridSpan w:val="2"/>
          </w:tcPr>
          <w:p>
            <w:pPr>
              <w:jc w:val="center"/>
              <w:ind w:left="34"/>
              <w:spacing w:after="0"/>
              <w:rPr>
                <w:sz w:val="20"/>
                <w:szCs w:val="20"/>
                <w:color w:val="auto"/>
              </w:rPr>
            </w:pPr>
            <w:r>
              <w:rPr>
                <w:rFonts w:ascii="Arial" w:cs="Arial" w:eastAsia="Arial" w:hAnsi="Arial"/>
                <w:sz w:val="17"/>
                <w:szCs w:val="17"/>
                <w:b w:val="1"/>
                <w:bCs w:val="1"/>
                <w:color w:val="auto"/>
                <w:w w:val="99"/>
              </w:rPr>
              <w:t>7.65%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1,778</w:t>
            </w:r>
          </w:p>
        </w:tc>
        <w:tc>
          <w:tcPr>
            <w:tcW w:w="1540" w:type="dxa"/>
            <w:vAlign w:val="bottom"/>
            <w:gridSpan w:val="2"/>
          </w:tcPr>
          <w:p>
            <w:pPr>
              <w:jc w:val="center"/>
              <w:ind w:left="14"/>
              <w:spacing w:after="0"/>
              <w:rPr>
                <w:sz w:val="20"/>
                <w:szCs w:val="20"/>
                <w:color w:val="auto"/>
              </w:rPr>
            </w:pPr>
            <w:r>
              <w:rPr>
                <w:rFonts w:ascii="Arial" w:cs="Arial" w:eastAsia="Arial" w:hAnsi="Arial"/>
                <w:sz w:val="17"/>
                <w:szCs w:val="17"/>
                <w:color w:val="auto"/>
                <w:w w:val="91"/>
              </w:rPr>
              <w:t>6.69%</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line="221" w:lineRule="exact"/>
              <w:rPr>
                <w:sz w:val="20"/>
                <w:szCs w:val="20"/>
                <w:color w:val="auto"/>
              </w:rPr>
            </w:pPr>
            <w:r>
              <w:rPr>
                <w:rFonts w:ascii="Arial" w:cs="Arial" w:eastAsia="Arial" w:hAnsi="Arial"/>
                <w:sz w:val="17"/>
                <w:szCs w:val="17"/>
                <w:color w:val="auto"/>
              </w:rPr>
              <w:t xml:space="preserve">Revolving credit facility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438</w:t>
            </w:r>
          </w:p>
        </w:tc>
        <w:tc>
          <w:tcPr>
            <w:tcW w:w="15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b w:val="1"/>
                <w:bCs w:val="1"/>
                <w:color w:val="auto"/>
                <w:w w:val="99"/>
              </w:rPr>
              <w:t>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5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1"/>
              </w:rPr>
              <w:t>6.79%</w:t>
            </w: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Arial" w:cs="Arial" w:eastAsia="Arial" w:hAnsi="Arial"/>
                <w:sz w:val="17"/>
                <w:szCs w:val="17"/>
                <w:color w:val="auto"/>
              </w:rPr>
              <w:t>Senior notes: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5.750% Senior Notes due 2027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rPr>
                <w:sz w:val="20"/>
                <w:szCs w:val="20"/>
                <w:color w:val="auto"/>
              </w:rPr>
            </w:pPr>
            <w:r>
              <w:rPr>
                <w:rFonts w:ascii="Arial" w:cs="Arial" w:eastAsia="Arial" w:hAnsi="Arial"/>
                <w:sz w:val="17"/>
                <w:szCs w:val="17"/>
                <w:color w:val="auto"/>
              </w:rPr>
              <w:t>5.000% Senior Notes due 2028</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650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5.125% Senior Notes due 2029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rPr>
                <w:sz w:val="20"/>
                <w:szCs w:val="20"/>
                <w:color w:val="auto"/>
              </w:rPr>
            </w:pPr>
            <w:r>
              <w:rPr>
                <w:rFonts w:ascii="Arial" w:cs="Arial" w:eastAsia="Arial" w:hAnsi="Arial"/>
                <w:sz w:val="17"/>
                <w:szCs w:val="17"/>
                <w:color w:val="auto"/>
              </w:rPr>
              <w:t>6.125% Senior Notes due 2029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500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5.250% Senior Notes due 2030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Arial" w:cs="Arial" w:eastAsia="Arial" w:hAnsi="Arial"/>
                <w:sz w:val="17"/>
                <w:szCs w:val="17"/>
                <w:color w:val="auto"/>
              </w:rPr>
              <w:t>Deferred financing fees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(42)</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spacing w:after="0" w:line="221"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5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b w:val="1"/>
                <w:bCs w:val="1"/>
                <w:color w:val="auto"/>
                <w:w w:val="99"/>
              </w:rPr>
              <w:t>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5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1"/>
              </w:rPr>
              <w:t>7.10%</w:t>
            </w: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Arial" w:cs="Arial" w:eastAsia="Arial" w:hAnsi="Arial"/>
                <w:sz w:val="17"/>
                <w:szCs w:val="17"/>
                <w:color w:val="auto"/>
              </w:rPr>
              <w:t>Separation Related Financing:</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line="221" w:lineRule="exact"/>
              <w:rPr>
                <w:sz w:val="20"/>
                <w:szCs w:val="20"/>
                <w:color w:val="auto"/>
              </w:rPr>
            </w:pPr>
            <w:r>
              <w:rPr>
                <w:rFonts w:ascii="Arial" w:cs="Arial" w:eastAsia="Arial" w:hAnsi="Arial"/>
                <w:sz w:val="17"/>
                <w:szCs w:val="17"/>
                <w:color w:val="auto"/>
              </w:rPr>
              <w:t xml:space="preserve">Atleos Senior Secured Credit Facility </w:t>
            </w:r>
            <w:r>
              <w:rPr>
                <w:rFonts w:ascii="Arial" w:cs="Arial" w:eastAsia="Arial" w:hAnsi="Arial"/>
                <w:sz w:val="22"/>
                <w:szCs w:val="22"/>
                <w:color w:val="auto"/>
                <w:vertAlign w:val="superscript"/>
              </w:rPr>
              <w:t>(1)(2)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742</w:t>
            </w:r>
          </w:p>
        </w:tc>
        <w:tc>
          <w:tcPr>
            <w:tcW w:w="15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b w:val="1"/>
                <w:bCs w:val="1"/>
                <w:color w:val="auto"/>
                <w:w w:val="97"/>
              </w:rPr>
              <w:t>10.17%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line="221" w:lineRule="exact"/>
              <w:rPr>
                <w:sz w:val="20"/>
                <w:szCs w:val="20"/>
                <w:color w:val="auto"/>
              </w:rPr>
            </w:pPr>
            <w:r>
              <w:rPr>
                <w:rFonts w:ascii="Arial" w:cs="Arial" w:eastAsia="Arial" w:hAnsi="Arial"/>
                <w:sz w:val="17"/>
                <w:szCs w:val="17"/>
                <w:color w:val="auto"/>
              </w:rPr>
              <w:t xml:space="preserve">Atleos 9.500% Senior Secured Notes due 2029 </w:t>
            </w:r>
            <w:r>
              <w:rPr>
                <w:rFonts w:ascii="Arial" w:cs="Arial" w:eastAsia="Arial" w:hAnsi="Arial"/>
                <w:sz w:val="22"/>
                <w:szCs w:val="22"/>
                <w:color w:val="auto"/>
                <w:vertAlign w:val="superscript"/>
              </w:rPr>
              <w:t>(2)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1,350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line="221" w:lineRule="exact"/>
              <w:rPr>
                <w:sz w:val="20"/>
                <w:szCs w:val="20"/>
                <w:color w:val="auto"/>
              </w:rPr>
            </w:pPr>
            <w:r>
              <w:rPr>
                <w:rFonts w:ascii="Arial" w:cs="Arial" w:eastAsia="Arial" w:hAnsi="Arial"/>
                <w:sz w:val="17"/>
                <w:szCs w:val="17"/>
                <w:color w:val="auto"/>
              </w:rPr>
              <w:t xml:space="preserve">Atleos discount and deferred financing fees </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7"/>
                <w:szCs w:val="17"/>
                <w:color w:val="auto"/>
              </w:rPr>
              <w:t>Total long-term debt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7,416</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280" w:hanging="276"/>
        <w:spacing w:after="0"/>
        <w:tabs>
          <w:tab w:leader="none" w:pos="28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Interest rates are weighted-average interest rates as of September 30, 2023 and December 31, 2022.</w:t>
      </w:r>
    </w:p>
    <w:p>
      <w:pPr>
        <w:spacing w:after="0" w:line="200" w:lineRule="exact"/>
        <w:rPr>
          <w:rFonts w:ascii="Arial" w:cs="Arial" w:eastAsia="Arial" w:hAnsi="Arial"/>
          <w:sz w:val="20"/>
          <w:szCs w:val="20"/>
          <w:color w:val="auto"/>
          <w:vertAlign w:val="superscript"/>
        </w:rPr>
      </w:pPr>
    </w:p>
    <w:p>
      <w:pPr>
        <w:spacing w:after="0" w:line="350"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30" w:lineRule="exact"/>
        <w:rPr>
          <w:sz w:val="20"/>
          <w:szCs w:val="20"/>
          <w:color w:val="auto"/>
        </w:rPr>
      </w:pPr>
    </w:p>
    <w:p>
      <w:pPr>
        <w:ind w:left="240" w:hanging="236"/>
        <w:spacing w:after="0" w:line="230" w:lineRule="auto"/>
        <w:tabs>
          <w:tab w:leader="none" w:pos="168"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Concurrent with the Spin-Off, on October 16, 2023, all short-term borrowings and long-term debt of and issued by Atleos in connection with the Spin-Off remained obligations of Atleos (see section below titled “Separation Related Financing Transactions” for further detail). Beginning with the fourth quarter of 2023, such short-term borrowings and long-term debt will not be reported as obligations of the Company.</w:t>
      </w:r>
    </w:p>
    <w:p>
      <w:pPr>
        <w:spacing w:after="0" w:line="3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Senior Secured Credit Facility </w:t>
      </w:r>
      <w:r>
        <w:rPr>
          <w:rFonts w:ascii="Arial" w:cs="Arial" w:eastAsia="Arial" w:hAnsi="Arial"/>
          <w:sz w:val="17"/>
          <w:szCs w:val="17"/>
          <w:color w:val="auto"/>
        </w:rPr>
        <w:t>As of September 30, 2023, the Company was party to a Senior Secured Credit Facility, as amended, which provided for a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term loan A facility in an aggregate principal amount of $1.305 billion (the “TLA Facility”), a senior secured term loan B facility in an aggregate principal amount of $750 million (the “TLB Facility” and together with the TLA Facility, the “Term Loan Facilities”), and a revolving credit facility with commitments in an initial aggregate principal amount of $1.3 billion (the “Revolving Credit Facility”).</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September 30, 2023, the term loan facilities (the TLA Facility and the TLB Facility) under the Senior Secured Credit Facility had an aggregate principal amount of $2.055 billion, of which $1.801 billion remained outstanding. Additionally, as of September 30, 2023, there was $438 million outstanding under the Revolving Credit Facility. The Revolving Credit Facility also contained a sub-facility to be used for letters of credit, and, as of September 30, 2023, outstanding letters of credit were $29 million. Our borrowing capacity under our Revolving Credit Facility was $833 million at September 30, 2023.</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outstanding principal balance of the TLB Facility was required to be repaid in equal quarterly installments of 0.25% of the original aggregate principal amount thereof beginning with the fiscal quarter ended December 31, 2019, with the balance being due at maturity on August 28, 2026 (the “TLB Maturity Date”).</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outstanding principal balance of the TLA Facility was required to be repaid in equal quarterly installments of 1.875% of the original aggregate principal amount thereof, beginning with the fiscal quarter ended September 30, 2021, with the balance being due at maturity on the earlier of (a) June 21, 2026 and (b) unless the loans under TLB Facility had been repaid prior to such date, the date that is 91 days prior to the TLB Maturity Date (the “Maturity Trigger Date”).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Commitments under the Revolving Credit Facility were scheduled to terminate on the earlier of (a) June 21, 2026 and (b) unless the loans under TLB Facility have been repaid prior to such date, the Maturity Trigger Date. Loans under the Revolving Credit Facility were able to be repaid and reborrowed prior to the applicable maturity date, subject to the satisfaction of customary conditions.</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obligations under the Senior Secured Credit Facility were guaranteed by certain of the Company’s domestic material subsidiaries including NCR International, Inc. (the “Guarantor Subsidiary”) and certain domestic material subsidiaries acquired through the Cardtronics Transaction (collectively, the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“Cardtronics Guarantors” and together with the Guarantor Subsidiary, the “Guarantors”). The obligations under the Senior Secured Credit Facility and the above described guarantee were secured by a first priority lien and security interest in substantially all of the assets of the Company and the Guarantors, including directly owned equity interests of their wholly-owned subsidiaries, in each case, subject to certain exclusions.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Senior Secured Credit Facility included affirmative and negative covenants that restricted or limited the ability of the Company and its subsidiaries to, among other things, incur indebtedness; create liens on assets; engage in certain fundamental corporate changes or changes to the Company’s business activities; make investments; sell or otherwise dispose of assets; engage in sale-leaseback or hedging transactions; repurchase stock, pay dividends or make similar distributions; repay other indebtedness; engage in certain affiliate transactions; or enter into agreements that restrict the Company’s ability to create liens, pay dividends or make loan repayments. The Senior Secured Credit Facility also included a financial covenant with respect to the Revolving Credit Facility and the TLA Facility. The financial covenant required the Company to maintain a consolidated leverage ratio on the last day of any fiscal quarter, not to exceed (i) in the case of any fiscal quarter ending on or prior to December 31, 2021, 5.50 to 1.00, (ii) in the case of any fiscal quarter ending after December 31, 2021, and on or prior to September 30, 2022, 5.25 to 1.00, and (iii) in the case of any fiscal quarter ending on or after December 31, 2022, 4.75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122" w:lineRule="exact"/>
        <w:rPr>
          <w:sz w:val="20"/>
          <w:szCs w:val="20"/>
          <w:color w:val="auto"/>
        </w:rPr>
      </w:pPr>
    </w:p>
    <w:p>
      <w:pPr>
        <w:jc w:val="both"/>
        <w:spacing w:after="0" w:line="310" w:lineRule="auto"/>
        <w:rPr>
          <w:sz w:val="20"/>
          <w:szCs w:val="20"/>
          <w:color w:val="auto"/>
        </w:rPr>
      </w:pPr>
      <w:r>
        <w:rPr>
          <w:rFonts w:ascii="Arial" w:cs="Arial" w:eastAsia="Arial" w:hAnsi="Arial"/>
          <w:sz w:val="15"/>
          <w:szCs w:val="15"/>
          <w:i w:val="1"/>
          <w:iCs w:val="1"/>
          <w:color w:val="auto"/>
        </w:rPr>
        <w:t xml:space="preserve">Senior Unsecured Notes </w:t>
      </w:r>
      <w:r>
        <w:rPr>
          <w:rFonts w:ascii="Arial" w:cs="Arial" w:eastAsia="Arial" w:hAnsi="Arial"/>
          <w:sz w:val="15"/>
          <w:szCs w:val="15"/>
          <w:color w:val="auto"/>
        </w:rPr>
        <w:t>As of September 30, 2023, the Company’s senior unsecured notes were guaranteed by certain of the Company’s domestic material</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(including the Guarantor Subsidiary and the Cardtronics Guarantors that joined as guarantors on October 14, 2021), which have guaranteed fully and unconditionally the obligations to pay principal and interest for the Company’s senior unsecured notes. The terms of the indentures for the Company’s senior unsecured notes limit the ability of the Company and certain of its subsidiaries to, among other things, incur additional debt or issue redeemable preferred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3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stock; pay dividends or make certain other restricted payments or investments; incur liens; sell assets; incur restrictions on the ability of the Company’s subsidiaries to pay dividends to the Company; enter into affiliate transactions; engage in sale and leaseback transactions; and consolidate, merge, sell or otherwise dispose of all or substantially all of the Company’s or such subsidiaries’ assets. These covenants are subject to significant exceptions and qualifications. For example, if these notes are assigned an “investment grade” rating by Moody’s or S&amp;P and no default has occurred or is continuing, certain covenants will be terminated.</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Other Debt </w:t>
      </w:r>
      <w:r>
        <w:rPr>
          <w:rFonts w:ascii="Arial" w:cs="Arial" w:eastAsia="Arial" w:hAnsi="Arial"/>
          <w:sz w:val="16"/>
          <w:szCs w:val="16"/>
          <w:color w:val="auto"/>
        </w:rPr>
        <w:t>In December 2022, the Company and Cardtronics USA, Inc. entered into a master loan agreement (the “ATMaaS Facility”) with Banc of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Leasing &amp; Capital, LLC (“BALCAP”) pursuant to which either the Company or Cardtronics USA, Inc., as applicable, may specify one or more ATM-as-a-Service contracts, including any rights to receive payment thereunder, and the ATM equipment thereto (“ATMaaS Assets”). The total amount available under the ATMaaS Facility is $20 million with repayment terms up to four years. As of September 30, 2023 total debt outstanding under the ATMaaS Facility was $10 million with a weighted average interest rate of 7.20% and a weighted average term of 3.0 years. As of December 31, 2022, total debt outstanding was $12 million with a weighted average interest rate of 7.21% and a weighted average term of 3.7 years. In connection with the Spin-Off, the Company, Cardtronics USA, Inc. and BALCAP amended the ATMaaS Facility in order to, among other things, cause the assignment by the Company of all of its ATMaaS Assets and all of its obligations under the ATMaaS Facility to Cardtronics USA, Inc. and release the Company from all of its obligations under the ATMaaS Facility.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Separation-Related Financing Transactions</w:t>
      </w: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Atleos Senior Secured Credit Facility </w:t>
      </w:r>
      <w:r>
        <w:rPr>
          <w:rFonts w:ascii="Arial" w:cs="Arial" w:eastAsia="Arial" w:hAnsi="Arial"/>
          <w:sz w:val="16"/>
          <w:szCs w:val="16"/>
          <w:color w:val="auto"/>
        </w:rPr>
        <w:t>On September 27, 2023, Atleos entered into a credit agreement (the “Atleos Credit Agreement”) with NCR Atleos Escrow</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“Escrow Issuer”), a wholly-owned subsidiary of Atleos, subsidiaries of Atleos that may become party thereto as foreign borrowers (if any), the lenders party thereto and Bank of America, N.A., as administrative agent. The Atleos Credit Agreement provides for new senior secured credit facilities in an aggregate principal amount of $2,085 million, which are comprised of (i) a five-year multicurrency revolving credit facility in the aggregate principal amount of $500 million (including (a) a letters of credit sub-facility in an aggregate face amount of up to $75 million and (b) a sub-facility in an aggregate principal amount of up to $200 million for borrowings and Letters of Credit in certain agreed foreign currencies) (the “Atleos Revolving Credit Facility”, and the loans thereunder, the “Atleos Revolving Loans”), (ii) a five-year term loan “A” facility in the aggregate principal amount of $835 million (the “Atleos Term Loan A Facility”, and the loans thereunder, the “Atleos Term A Loans”) and (iii) a five and a half-year term loan “B” facility in the aggregate principal amount of $750 million (the “Atleos Term Loan B Facility”, the loans thereunder, the “Atleos Term B Loans” and, the Atleos Term Loan B Facility, together with the Atleos Term Loan A Facility and the Atleos Revolving Credit Facility, the “Atleos Credit Facilities”).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received total proceeds of $726 million upon funding of the Atleos Term Loan B Facility, resulting in an original issue discount of $24 million that will be amortized to interest expense over the life of the facility. As of September 30, 2023, the net proceeds of the Atleos Term Loan B Facility, together with certain other amounts (collectively, the “TLB Escrow Amounts”) were held in escrow pending consummation of the Spin-Off, and such proceeds were included in non-current restricted cash on the Condensed Consolidated Balance Sheets. As of September 30, 2023, the Atleos Term Loan A Facility and the Atleos Revolving Credit Facility had been committed to by the lenders providing such facilities, but drawings thereunder were not permitted until the effective date of the Spin-Off. Additionally, as of September 30, 2023, there was no balance outstanding under the Atleos Revolving Credit Facility and no outstanding letters of credit issued under the sub-facility.</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October 16, 2023, the Escrow Issuer merged with and into Atleos (the “Escrow Merger”) and Atleos assumed the obligations of the Escrow Issuer under the Atleos Credit Agreement. As of the Spin-Off, the Atleos Credit Facilities are not obligations of the Company.</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Atleos Senior Secured Notes </w:t>
      </w:r>
      <w:r>
        <w:rPr>
          <w:rFonts w:ascii="Arial" w:cs="Arial" w:eastAsia="Arial" w:hAnsi="Arial"/>
          <w:sz w:val="16"/>
          <w:szCs w:val="16"/>
          <w:color w:val="auto"/>
        </w:rPr>
        <w:t>On September 27, 2023, the Escrow Issuer issued $1,350 million aggregate principal amount of 9.500% senior secured notes due in</w:t>
      </w:r>
      <w:r>
        <w:rPr>
          <w:rFonts w:ascii="Arial" w:cs="Arial" w:eastAsia="Arial" w:hAnsi="Arial"/>
          <w:sz w:val="16"/>
          <w:szCs w:val="16"/>
          <w:i w:val="1"/>
          <w:iCs w:val="1"/>
          <w:color w:val="auto"/>
        </w:rPr>
        <w:t xml:space="preserve"> </w:t>
      </w:r>
      <w:r>
        <w:rPr>
          <w:rFonts w:ascii="Arial" w:cs="Arial" w:eastAsia="Arial" w:hAnsi="Arial"/>
          <w:sz w:val="16"/>
          <w:szCs w:val="16"/>
          <w:color w:val="auto"/>
        </w:rPr>
        <w:t>2029 (the “Atleos Notes”). The Company received total proceeds of $1,333 million for the Atleos Notes, resulting in an original issue discount of $17 million that will be amortized to interest expense over the life of the Atleos Notes. As of September 30, 2023, the gross proceeds of the Atleos Notes were held in escrow pending consummation of the Spin-Off and are included in non-current restricted cash on the Condensed Consolidated Balance Sheets. On October 16, 2023, in connection with the Escrow Merger, Atleos assumed the obligations of the Escrow Issuer under the Atleos Notes and the indenture governing the Atleos notes by executing a supplemental indenture thereto (the “Assumption”). Upon completion of the Escrow Merger, the Assumption, the Spin-Off and transactions contemplated thereby (collectively, the “Transactions”), the Atleos Notes became jointly and severally and unconditionally guaranteed on a senior secured basis by Atleos’s wholly-owned domestic subsidiaries, subject to certain limitations (the “Atleos Subsidiary Guarantors”), that guarantee the Atleos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Credit Facilities. Upon completion of the Transactions, the Atleos Notes and related guarantees became secured, subject to permitted liens and certain other exceptions, by first-priority liens on substantially all of Atleos’s assets and the assets of the Atleos Subsidiary Guarantors. As of the Spin-Off, the Atleos Notes are not obligations of the Company.</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October 16, 2023, Atleos used a portion of the proceeds from the financing transactions discussed above to make a cash distribution of approximately $3.0 billion to the Company, which the Company used to repay a portion of its existing indebtedness, as discussed further below.</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Company Senior Secured Credit Facility </w:t>
      </w:r>
      <w:r>
        <w:rPr>
          <w:rFonts w:ascii="Arial" w:cs="Arial" w:eastAsia="Arial" w:hAnsi="Arial"/>
          <w:sz w:val="17"/>
          <w:szCs w:val="17"/>
          <w:color w:val="auto"/>
        </w:rPr>
        <w:t>On October 16, 2023 (the “Closing Date”), the Company repaid all accrued and unpaid loans and other amounts due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Senior Secured Credit Facility and terminated all commitments and obligations thereunder. Additionally, on October 16, 2023, the Company entered into a credit agreement (the “New Credit Agreement”), with certain subsidiaries of the Company party thereto as foreign borrowers, the lenders party thereto and Bank of America, N.A., as administrative agent (in such capacity, the “Administrative Agent”). The New Credit Agreement provides for new senior secured credit facilities in an aggregate principal amount of $700 million, which are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 certain agreed foreign currencies) (the “New Revolving Credit Facility,” and the loans thereunder, the “New Revolving Loans”) and (ii) a five-year term loan “A” facility in the aggregate principal amount of $200 million (the “New Term Loan A Facility,” and the loans thereunder, the “New Term A Loans” and, the Term Loan A Facility, together with the Revolving Credit Facility, the “New Credit Facilities”).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October 16, 2023, the Company borrowed the full amount under the New Term Loan A Facility and drew $63 million in New Revolving Loans under the New Revolving Credit Facility.</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New Term A Loans and the New Revolving Loans (collectively, the “New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New Loans and ranging from 1.25% to 2.25% per annum for Base Rate-based New Loans, in each case, depending on the Company’s consolidated leverage ratio.</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outstanding principal balance of the New Term Loan A Facility is required to be repaid in quarterly installments beginning with the first full fiscal quarter after the Closing Date in an amount equal to (i) 1.875% of the original principal amount of the New Term A Loans during the first three years and (ii) 2.50% of the original principal amount of the New Term A Loans during final two years. Any remaining outstanding balance will be due at maturity on the fifth anniversary of the Closing Date. The New Revolving Credit Facility is not subject to amortization and will mature on the fifth anniversary of the Closing Date.</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New Credit Agreement contains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New Credit Agreement also contains a financial covenant that does not permit the Company to allow its consolidated leverage ratio to exceed (i) in the case of any fiscal quarter ending on or prior to September 30, 2024, 4.75 to 1.00, (ii) in the case of any fiscal quarter ending on or following September 30, 2024 and prior to September 30, 2025, 4.50 to 1.00 and (iii)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Guarantees of Senior Unsecured Notes </w:t>
      </w:r>
      <w:r>
        <w:rPr>
          <w:rFonts w:ascii="Arial" w:cs="Arial" w:eastAsia="Arial" w:hAnsi="Arial"/>
          <w:sz w:val="17"/>
          <w:szCs w:val="17"/>
          <w:color w:val="auto"/>
        </w:rPr>
        <w:t>On September 14, 2023, Atleos became a guarantor of the Company’s senior unsecured notes pursuant to supplemental</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indentures governing each series of senior unsecured notes whereby Atleos agreed to unconditionally guarantee the Company’s senior unsecured notes. On the Closing Date, in connection with the Spin-Off and the Company’s entry into the New Credit Agreement, Atleos and the Cardtronics Guarantors were automatically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unconditionally released and discharged from all obligations under the indentures governing the Company’s senior unsecured notes. On October 30, 2023, the Company’s senior unsecured notes then outstanding became jointly and severally and unconditionally guaranteed on a senior unsecured basis by the Company’s wholly-owned domestic subsidiaries, subject to certain limitations, that guarantee the New Credit Facilities pursuant to supplemental indentures governing each applicable series of senior unsecured notes.</w:t>
      </w:r>
    </w:p>
    <w:p>
      <w:pPr>
        <w:spacing w:after="0" w:line="20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Redemption of Certain Senior Unsecured Notes </w:t>
      </w:r>
      <w:r>
        <w:rPr>
          <w:rFonts w:ascii="Arial" w:cs="Arial" w:eastAsia="Arial" w:hAnsi="Arial"/>
          <w:sz w:val="16"/>
          <w:szCs w:val="16"/>
          <w:color w:val="auto"/>
        </w:rPr>
        <w:t>On October 17, 2023 (the “Redemption Date”), the $500 million aggregate principal amount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5.750% senior notes due 2027 were redeemed at a redemption premium of 101.438% of the aggregate principal amount and the $500 million aggregate principal amount of the Company’s 6.125% senior notes due 2029 were redeemed at a redemption premium of 103.074% of the aggregate principal amount.</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 xml:space="preserve">Fair Value of Debt </w:t>
      </w:r>
      <w:r>
        <w:rPr>
          <w:rFonts w:ascii="Arial" w:cs="Arial" w:eastAsia="Arial" w:hAnsi="Arial"/>
          <w:sz w:val="16"/>
          <w:szCs w:val="16"/>
          <w:color w:val="auto"/>
        </w:rPr>
        <w:t>The Company utilized Level 2 inputs, as defined in the fair value hierarchy, to measure the fair value of the long-term debt, which, as of</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2023 and December 31, 2022 was $7.30 billion and $5.25 billion, respectively. Management’s fair value estimates were based on quoted prices for recent trades of the Company’s long-term debt, quoted prices for similar instruments, and inquiries with certain investment communities.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6. TRADE RECEIVABLES FACILITY</w:t>
      </w:r>
    </w:p>
    <w:p>
      <w:pPr>
        <w:spacing w:after="0" w:line="25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Company maintains a trade receivables facility (the “T/R Facility”) pursuant to which the Company’s wholly-owned, bankruptcy remote subsidiary, NCR Receivables LLC (the “U.S. SPE”), may sell certain trade receivables acquired by it from the Company and other affiliates to the T/R Facility to PNC Bank, National Association, MUFG Bank, Ltd. and other unaffiliated purchasers that may from time to time be party to the T/R Facility (the “Purchasers”). The T/R Facility was originally established on November 21, 2014 and was amended and restated on September 30, 2021. In connection with the Spin-Off, on October 16, 2023, the Company entered into amendments to the T/R Facility to, among other things, provide for the repurchase by Cardtronics USA, Inc., ATM National, LLC, and Cardtronics Canada Holdings Inc. (the “Released Originators”) of any receivables originated by them that were owned by the U.S. SPE, the Canadian SPE (as defined below) and/or the Purchasers, release the Released Originators from all of their obligations under the T/R Facility, extend the scheduled maturity of the T/R Facility by two years, and make adjustments to the factors used to determine the availability of capital for investment by the Purchasers in the pool of receivables subject to the T/R Facility. The maximum amount of capital committed by the Purchasers under the T/R Facility remained $300 million.</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September 30, 2023, under the T/R Facility, the Company and certain United States and Canadian operating subsidiaries of the Company continuously sold their trade receivables as they were originated to the U.S. SPE and a Canadian bankruptcy-remote special purpose entity (the “Canadian SPE” and collectively with the U.S. SPE, the “SPEs”), as applicable. None of the assets or credit of either SPE is available to satisfy the debts and obligations owed to the creditors of the Company or any other person until the obligations of the SPEs under the T/R Facility have been satisfied. The Company controls and therefore consolidates the SPEs in its condensed consolidated financial statements.</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As cash is collected on the trade receivables, the U.S. SPE has the ability to continuously transfer ownership and control of new qualifying trade receivables the Purchasers such that the total outstanding balance of trade receivables sold can be up to $300 million at any point in time, which is the maximum purchase commitment of the Purchasers. The future outstanding balance of trade receivables that are sold is expected to vary based on the level of activity and other factors and could be less than the maximum purchase commitment of $300 million. The total outstanding balance of trade receivables that were sold to the Purchasers and derecognized by the U.S. SPE was approximately $300 million and $300 million as of September 30, 2023 and December 31, 2022, respectively. Excluding the trade receivables sold to the Purchasers, the SPEs collectively owned $316 million and $321 million of trade receivables as of September 30, 2023 and December 31, 2022, respectively, and these amounts are included in Accounts receivable, net in the Company’s Condensed Consolidated Balance Sheets.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Continuous cash activity related to the T/R Facility is reflected in Net cash provided by operating activities in the Condensed Consolidated Statements of Cash Flows. During the nine months ended September 30, 2023, the Company paid $99 million to the Purchasers and received $99 million as the outstanding balance of trade receivables sold fluctuated during the quarter. The U.S. SPE incurs fees under the T/R Facility, including fees due and payable to the Purchasers. Those fees, which are immaterial, are recorded within Other income (expense), net in the Condensed Consolidated Statements of Operations. In addition, each of the SPEs has provided a full recourse guarantee in favor of the Purchasers of the full and timely payment of all trade receivables sold to them by the U.S. SPE. The guarantee is secured by all the trade receivables owned by each of the SPEs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 w:name="page24"/>
    <w:bookmarkEnd w:id="23"/>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that have not been sold to the Purchasers. The reserve recognized for this recourse obligation as of September 30, 2023 is not material.</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or in the case of any Canadian trade receivables, NCR Canada Corp., continues to be involved with the trade receivables even after they are transferred to the SPEs (or further transferred to the Purchasers) by acting as servicer. In addition to any obligations as servicer, the Company and each of its subsidiaries acting as an originator under the T/R Facility provide the SPEs with customary recourse in respect of (i) certain dilutive events with respect to the trade receivables sold to the SPEs that are caused by the Company or other applicable originator and (ii) in the event of certain violations by the Company or other applicable originator of its respective representations and warranties with respect to the trade receivables sold to the SPEs. The Company guarantees that any of its subsidiaries (other than the SPEs) party to the T/R Facility will duly and punctually perform its obligations under the T/R Facility (whether as servicer or as originator). These servicer and originator liabilities of the Company and its subsidiaries (other than the SPEs) under the T/R Facility are not expected to be material, given the high quality of the customers underlying the receivables and the anticipated short collection period.</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T/R Facility includes other customary representations and warranties, affirmative and negative covenants and default and termination provisions, which provide for the acceleration of amounts owed to the Purchasers thereunder in circumstances including, but not limited to, failure to pay capital or yield when due, breach of representation, warranty or covenant, certain insolvency events or failure to maintain the security interest in the trade receivables, and defaults under other material indebtedness.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7. INCOME TAXES</w:t>
      </w:r>
    </w:p>
    <w:p>
      <w:pPr>
        <w:spacing w:after="0" w:line="25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Income tax provisions for interim (quarterly) periods are based on an estimated annual effective income tax rate calculated separately from the effect of significant, infrequent or unusual items. Income tax expense was $236 million for the three months ended September 30, 2023 compared to income tax expense of $43 million for the three months ended September 30, 2022. In the three months ended September 30, 2023, the Company completed certain internal restructuring transactions in connection with the Spin-Off, resulting in a net of $195 million discrete tax expenses. Approximately $171 million of the discrete tax expense is for non-cash deferred tax items, primarily related to the tax effects upon the transfer of certain intangible assets among our wholly-owned subsidiaries prior to the Spin-Off. In the three months ended September 30, 2022, the Company did not recognize any material discrete tax expenses or benefits.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Income tax expense was $280 million for the nine months ended September 30, 2023 compared to income tax expense of $56 million for the nine months ended September 30, 2022. In the nine months ended September 30, 2023, the Company completed certain internal restructuring transactions in connection with the Spin-Off, resulting in a net of $195 million discrete tax expenses. Approximately $171 million of the discrete tax expense is for non-cash deferred tax items, primarily related to the tax effects upon the transfer of certain intangible assets among our wholly-owned subsidiaries prior to the Spin-Off. In addition, the increase in tax expense was impacted by the increase in the income from continuing operations. In the nine months ended September 30, 2022, the Company recognized a $7 million benefit from provision to return adjustments and a $7 million benefit related to uncertain tax position settlements and statute of limitation lapses.</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September 30, 2023, the Company estimates that it is reasonably possible that gross unrecognized tax benefits may decrease by $3 million to $5 million in the next 12 months.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8. STOCK COMPENSATION PLANS</w:t>
      </w:r>
    </w:p>
    <w:p>
      <w:pPr>
        <w:spacing w:after="0" w:line="25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September 30, 2023, the Company’s stock-based compensation consisted of restricted stock units, employee stock purchase plan and stock options. Stock-based compensation expense for the following periods were:</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79"/>
        </w:trPr>
        <w:tc>
          <w:tcPr>
            <w:tcW w:w="4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52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5"/>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units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7"/>
                <w:szCs w:val="17"/>
                <w:b w:val="1"/>
                <w:bCs w:val="1"/>
                <w:color w:val="auto"/>
              </w:rPr>
              <w:t>90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0"/>
        </w:trPr>
        <w:tc>
          <w:tcPr>
            <w:tcW w:w="4340" w:type="dxa"/>
            <w:vAlign w:val="bottom"/>
          </w:tcPr>
          <w:p>
            <w:pPr>
              <w:spacing w:after="0"/>
              <w:rPr>
                <w:sz w:val="20"/>
                <w:szCs w:val="20"/>
                <w:color w:val="auto"/>
              </w:rPr>
            </w:pPr>
            <w:r>
              <w:rPr>
                <w:rFonts w:ascii="Arial" w:cs="Arial" w:eastAsia="Arial" w:hAnsi="Arial"/>
                <w:sz w:val="17"/>
                <w:szCs w:val="17"/>
                <w:color w:val="auto"/>
              </w:rPr>
              <w:t>Stock options</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purchase plan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98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Tax benefit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7"/>
                <w:szCs w:val="17"/>
                <w:b w:val="1"/>
                <w:bCs w:val="1"/>
                <w:color w:val="auto"/>
                <w:w w:val="96"/>
              </w:rPr>
              <w:t>(6)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7"/>
                <w:szCs w:val="17"/>
                <w:color w:val="auto"/>
              </w:rPr>
              <w:t>Stock-based compensation expense (net of tax)</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7"/>
                <w:szCs w:val="17"/>
                <w:b w:val="1"/>
                <w:bCs w:val="1"/>
                <w:color w:val="auto"/>
              </w:rPr>
              <w:t>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7"/>
                <w:szCs w:val="17"/>
                <w:b w:val="1"/>
                <w:bCs w:val="1"/>
                <w:color w:val="auto"/>
              </w:rPr>
              <w:t>92</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recognized in the Condensed Consolidated Financial Statements based upon fair value.</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13, 2023, the Company granted market-based restricted stock units vesting on December 31, 2025. The number of awards that vest are subject to the compound annual growth rate (“CAGR”) of the Company’s stock price from January 1, 2023 to December 31, 2025 (the “performance period”), subject to an alternative level of achievement based on the Company’s relative total shareholder return ranking among a comparison group. The fair value of the awards was determined to be $35.04 per share based on using a Monte-Carlo simulation model and will be recognized over the requisite service period.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details the significant assumptions used in determining the fair value of the market-based restricted stock units granted on February 13,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5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r>
      <w:tr>
        <w:trPr>
          <w:trHeight w:val="220"/>
        </w:trPr>
        <w:tc>
          <w:tcPr>
            <w:tcW w:w="60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7"/>
                <w:szCs w:val="17"/>
                <w:b w:val="1"/>
                <w:bCs w:val="1"/>
                <w:color w:val="auto"/>
              </w:rPr>
              <w:t>4.15 %</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5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55.90 %</w:t>
            </w:r>
          </w:p>
        </w:tc>
      </w:tr>
    </w:tbl>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Approximately 50% of these market-based restricted stock units granted include an accelerated vesting provision if a Qualified Transaction, including a spin-off, as defined in the award agreement, takes place during the performance period (with a minimum vesting period of one year from the grant date). Upon the occurrence of a Qualified Transaction, the number of shares that vest are then based on the Company’s 20-day volume-weighted average closing stock price immediately preceding the transaction date. If a qualifying transaction is deemed probable, the award will be recognized over the adjusted requisite service period at a fair value determined using a Monte-Carlo simulation model ranging from $35.09 to $41.77 per unit, dependent upon the estimated timing of the transaction. In connection with the Spin-Off that occurred on October 16, 2023, the accelerated vesting provision was activated as the Separation occurred during the performance period and will maintain a minimum vesting period within one year from the grant dates of December 21, 2022 and February 13, 2023, respectively. In accordance with the provision, 50% of the market-based restricted stock units will be recognized over the adjusted service period, vesting on December 21, 2023 and February 13, 2024, respectively, at a fair value of $30.00 and $35.09, respectively.</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September 30, 2023, the total unrecognized compensation cost of $172 million related to unvested restricted stock grants is expected to be recognized over a weighted average period of approximately 1 year. As of September 30, 2023, all stock option grants have vested.</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connection with the Spin-Off, certain of the outstanding restricted stock units and stock options of the Company, as well as the strike price for the stock options, will be adjusted pursuant to a conversion ratio determined by the post Spin-Off average trading price of each of the Company and Atleos during a specified period following the Spin-Off. All adjustments are made with the intent to preserve the intrinsic value of each award immediately before and after the Spin-Off.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Employee Stock Purchase Plan </w:t>
      </w:r>
      <w:r>
        <w:rPr>
          <w:rFonts w:ascii="Arial" w:cs="Arial" w:eastAsia="Arial" w:hAnsi="Arial"/>
          <w:sz w:val="17"/>
          <w:szCs w:val="17"/>
          <w:color w:val="auto"/>
        </w:rPr>
        <w:t>The Company’s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three months ended September 30, 2023, employees purchased 0.3 million shares, at a discounted price of $21.78. For the three months ended September 30, 2022, employees purchased 0.4 million shares, at a discounted price of $16.16.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9. EMPLOYEE BENEFIT PLANS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(income) of the pension plans for the three months ended September 30 were as follows:</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179"/>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ind w:left="340"/>
              <w:spacing w:after="0"/>
              <w:rPr>
                <w:sz w:val="20"/>
                <w:szCs w:val="20"/>
                <w:color w:val="auto"/>
              </w:rPr>
            </w:pPr>
            <w:r>
              <w:rPr>
                <w:rFonts w:ascii="Arial" w:cs="Arial" w:eastAsia="Arial" w:hAnsi="Arial"/>
                <w:sz w:val="14"/>
                <w:szCs w:val="14"/>
                <w:b w:val="1"/>
                <w:bCs w:val="1"/>
                <w:color w:val="auto"/>
              </w:rPr>
              <w:t>U.S. Pension Benefits</w:t>
            </w:r>
          </w:p>
        </w:tc>
        <w:tc>
          <w:tcPr>
            <w:tcW w:w="22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International Pension Benefits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Total Pension Benefits</w:t>
            </w:r>
          </w:p>
        </w:tc>
        <w:tc>
          <w:tcPr>
            <w:tcW w:w="0" w:type="dxa"/>
            <w:vAlign w:val="bottom"/>
          </w:tcPr>
          <w:p>
            <w:pPr>
              <w:spacing w:after="0"/>
              <w:rPr>
                <w:sz w:val="1"/>
                <w:szCs w:val="1"/>
                <w:color w:val="auto"/>
              </w:rPr>
            </w:pPr>
          </w:p>
        </w:tc>
      </w:tr>
      <w:tr>
        <w:trPr>
          <w:trHeight w:val="25"/>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3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service cost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CEEFF"/>
          </w:tcPr>
          <w:p>
            <w:pPr>
              <w:jc w:val="center"/>
              <w:ind w:left="498"/>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19"/>
                <w:szCs w:val="19"/>
                <w:color w:val="auto"/>
              </w:rPr>
            </w:pPr>
          </w:p>
        </w:tc>
        <w:tc>
          <w:tcPr>
            <w:tcW w:w="920" w:type="dxa"/>
            <w:vAlign w:val="bottom"/>
          </w:tcPr>
          <w:p>
            <w:pPr>
              <w:jc w:val="center"/>
              <w:ind w:left="498"/>
              <w:spacing w:after="0"/>
              <w:rPr>
                <w:sz w:val="20"/>
                <w:szCs w:val="20"/>
                <w:color w:val="auto"/>
              </w:rPr>
            </w:pPr>
            <w:r>
              <w:rPr>
                <w:rFonts w:ascii="Arial" w:cs="Arial" w:eastAsia="Arial" w:hAnsi="Arial"/>
                <w:sz w:val="17"/>
                <w:szCs w:val="17"/>
                <w:b w:val="1"/>
                <w:bCs w:val="1"/>
                <w:color w:val="auto"/>
                <w:w w:val="94"/>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Expected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78"/>
              <w:spacing w:after="0"/>
              <w:rPr>
                <w:sz w:val="20"/>
                <w:szCs w:val="20"/>
                <w:color w:val="auto"/>
              </w:rPr>
            </w:pPr>
            <w:r>
              <w:rPr>
                <w:rFonts w:ascii="Arial" w:cs="Arial" w:eastAsia="Arial" w:hAnsi="Arial"/>
                <w:sz w:val="17"/>
                <w:szCs w:val="17"/>
                <w:b w:val="1"/>
                <w:bCs w:val="1"/>
                <w:color w:val="auto"/>
                <w:w w:val="92"/>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Amortization of prior service cost</w:t>
            </w:r>
          </w:p>
        </w:tc>
        <w:tc>
          <w:tcPr>
            <w:tcW w:w="280" w:type="dxa"/>
            <w:vAlign w:val="bottom"/>
          </w:tcPr>
          <w:p>
            <w:pPr>
              <w:spacing w:after="0"/>
              <w:rPr>
                <w:sz w:val="19"/>
                <w:szCs w:val="19"/>
                <w:color w:val="auto"/>
              </w:rPr>
            </w:pPr>
          </w:p>
        </w:tc>
        <w:tc>
          <w:tcPr>
            <w:tcW w:w="1020" w:type="dxa"/>
            <w:vAlign w:val="bottom"/>
            <w:gridSpan w:val="2"/>
          </w:tcPr>
          <w:p>
            <w:pPr>
              <w:jc w:val="center"/>
              <w:ind w:left="398"/>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Actuarial loss (gain)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8"/>
              <w:spacing w:after="0"/>
              <w:rPr>
                <w:sz w:val="20"/>
                <w:szCs w:val="20"/>
                <w:color w:val="auto"/>
              </w:rPr>
            </w:pPr>
            <w:r>
              <w:rPr>
                <w:rFonts w:ascii="Arial" w:cs="Arial" w:eastAsia="Arial" w:hAnsi="Arial"/>
                <w:sz w:val="17"/>
                <w:szCs w:val="17"/>
                <w:b w:val="1"/>
                <w:bCs w:val="1"/>
                <w:color w:val="auto"/>
                <w:w w:val="94"/>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Arial" w:cs="Arial" w:eastAsia="Arial" w:hAnsi="Arial"/>
                <w:sz w:val="17"/>
                <w:szCs w:val="17"/>
                <w:color w:val="auto"/>
              </w:rPr>
              <w:t>Net periodic benefit cost (income)</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center"/>
              <w:ind w:left="498"/>
              <w:spacing w:after="0"/>
              <w:rPr>
                <w:sz w:val="20"/>
                <w:szCs w:val="20"/>
                <w:color w:val="auto"/>
              </w:rPr>
            </w:pPr>
            <w:r>
              <w:rPr>
                <w:rFonts w:ascii="Arial" w:cs="Arial" w:eastAsia="Arial" w:hAnsi="Arial"/>
                <w:sz w:val="17"/>
                <w:szCs w:val="17"/>
                <w:b w:val="1"/>
                <w:bCs w:val="1"/>
                <w:color w:val="auto"/>
                <w:w w:val="94"/>
              </w:rPr>
              <w:t>25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(income) of the pension plans for the nine months ended September 30 were as follows:</w:t>
      </w:r>
    </w:p>
    <w:p>
      <w:pPr>
        <w:spacing w:after="0" w:line="132" w:lineRule="exact"/>
        <w:rPr>
          <w:sz w:val="20"/>
          <w:szCs w:val="20"/>
          <w:color w:val="auto"/>
        </w:rPr>
      </w:pPr>
    </w:p>
    <w:tbl>
      <w:tblPr>
        <w:tblLayout w:type="fixed"/>
        <w:tblInd w:w="100" w:type="dxa"/>
        <w:tblCellMar>
          <w:top w:w="0" w:type="dxa"/>
          <w:left w:w="0" w:type="dxa"/>
          <w:bottom w:w="0" w:type="dxa"/>
          <w:right w:w="0" w:type="dxa"/>
        </w:tblCellMar>
      </w:tblPr>
      <w:tr>
        <w:trPr>
          <w:trHeight w:val="179"/>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ind w:left="340"/>
              <w:spacing w:after="0"/>
              <w:rPr>
                <w:sz w:val="20"/>
                <w:szCs w:val="20"/>
                <w:color w:val="auto"/>
              </w:rPr>
            </w:pPr>
            <w:r>
              <w:rPr>
                <w:rFonts w:ascii="Arial" w:cs="Arial" w:eastAsia="Arial" w:hAnsi="Arial"/>
                <w:sz w:val="14"/>
                <w:szCs w:val="14"/>
                <w:b w:val="1"/>
                <w:bCs w:val="1"/>
                <w:color w:val="auto"/>
              </w:rPr>
              <w:t>U.S. Pension Benefits</w:t>
            </w:r>
          </w:p>
        </w:tc>
        <w:tc>
          <w:tcPr>
            <w:tcW w:w="2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International Pension Benefits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Total Pension Benefits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3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service cost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CEEFF"/>
          </w:tcPr>
          <w:p>
            <w:pPr>
              <w:jc w:val="center"/>
              <w:ind w:left="498"/>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center"/>
              <w:ind w:left="3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7"/>
                <w:szCs w:val="17"/>
                <w:b w:val="1"/>
                <w:bCs w:val="1"/>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19"/>
                <w:szCs w:val="19"/>
                <w:color w:val="auto"/>
              </w:rPr>
            </w:pPr>
          </w:p>
        </w:tc>
        <w:tc>
          <w:tcPr>
            <w:tcW w:w="920" w:type="dxa"/>
            <w:vAlign w:val="bottom"/>
          </w:tcPr>
          <w:p>
            <w:pPr>
              <w:jc w:val="center"/>
              <w:ind w:left="498"/>
              <w:spacing w:after="0"/>
              <w:rPr>
                <w:sz w:val="20"/>
                <w:szCs w:val="20"/>
                <w:color w:val="auto"/>
              </w:rPr>
            </w:pPr>
            <w:r>
              <w:rPr>
                <w:rFonts w:ascii="Arial" w:cs="Arial" w:eastAsia="Arial" w:hAnsi="Arial"/>
                <w:sz w:val="17"/>
                <w:szCs w:val="17"/>
                <w:b w:val="1"/>
                <w:bCs w:val="1"/>
                <w:color w:val="auto"/>
                <w:w w:val="94"/>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left="496"/>
              <w:spacing w:after="0"/>
              <w:rPr>
                <w:sz w:val="20"/>
                <w:szCs w:val="20"/>
                <w:color w:val="auto"/>
              </w:rPr>
            </w:pPr>
            <w:r>
              <w:rPr>
                <w:rFonts w:ascii="Arial" w:cs="Arial" w:eastAsia="Arial" w:hAnsi="Arial"/>
                <w:sz w:val="17"/>
                <w:szCs w:val="17"/>
                <w:color w:val="auto"/>
                <w:w w:val="94"/>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75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Expected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78"/>
              <w:spacing w:after="0"/>
              <w:rPr>
                <w:sz w:val="20"/>
                <w:szCs w:val="20"/>
                <w:color w:val="auto"/>
              </w:rPr>
            </w:pPr>
            <w:r>
              <w:rPr>
                <w:rFonts w:ascii="Arial" w:cs="Arial" w:eastAsia="Arial" w:hAnsi="Arial"/>
                <w:sz w:val="17"/>
                <w:szCs w:val="17"/>
                <w:b w:val="1"/>
                <w:bCs w:val="1"/>
                <w:color w:val="auto"/>
                <w:w w:val="92"/>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76"/>
              <w:spacing w:after="0"/>
              <w:rPr>
                <w:sz w:val="20"/>
                <w:szCs w:val="20"/>
                <w:color w:val="auto"/>
              </w:rPr>
            </w:pPr>
            <w:r>
              <w:rPr>
                <w:rFonts w:ascii="Arial" w:cs="Arial" w:eastAsia="Arial" w:hAnsi="Arial"/>
                <w:sz w:val="17"/>
                <w:szCs w:val="17"/>
                <w:color w:val="auto"/>
                <w:w w:val="92"/>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Amortization of prior service cost</w:t>
            </w:r>
          </w:p>
        </w:tc>
        <w:tc>
          <w:tcPr>
            <w:tcW w:w="280" w:type="dxa"/>
            <w:vAlign w:val="bottom"/>
          </w:tcPr>
          <w:p>
            <w:pPr>
              <w:spacing w:after="0"/>
              <w:rPr>
                <w:sz w:val="19"/>
                <w:szCs w:val="19"/>
                <w:color w:val="auto"/>
              </w:rPr>
            </w:pPr>
          </w:p>
        </w:tc>
        <w:tc>
          <w:tcPr>
            <w:tcW w:w="1020" w:type="dxa"/>
            <w:vAlign w:val="bottom"/>
            <w:gridSpan w:val="2"/>
          </w:tcPr>
          <w:p>
            <w:pPr>
              <w:jc w:val="center"/>
              <w:ind w:left="398"/>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20" w:type="dxa"/>
            <w:vAlign w:val="bottom"/>
            <w:gridSpan w:val="2"/>
          </w:tcPr>
          <w:p>
            <w:pPr>
              <w:jc w:val="center"/>
              <w:ind w:left="39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Actuarial loss (gain)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8"/>
              <w:spacing w:after="0"/>
              <w:rPr>
                <w:sz w:val="20"/>
                <w:szCs w:val="20"/>
                <w:color w:val="auto"/>
              </w:rPr>
            </w:pPr>
            <w:r>
              <w:rPr>
                <w:rFonts w:ascii="Arial" w:cs="Arial" w:eastAsia="Arial" w:hAnsi="Arial"/>
                <w:sz w:val="17"/>
                <w:szCs w:val="17"/>
                <w:b w:val="1"/>
                <w:bCs w:val="1"/>
                <w:color w:val="auto"/>
                <w:w w:val="94"/>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Arial" w:cs="Arial" w:eastAsia="Arial" w:hAnsi="Arial"/>
                <w:sz w:val="17"/>
                <w:szCs w:val="17"/>
                <w:color w:val="auto"/>
              </w:rPr>
              <w:t>Net periodic benefit cost (income)</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center"/>
              <w:ind w:left="498"/>
              <w:spacing w:after="0"/>
              <w:rPr>
                <w:sz w:val="20"/>
                <w:szCs w:val="20"/>
                <w:color w:val="auto"/>
              </w:rPr>
            </w:pPr>
            <w:r>
              <w:rPr>
                <w:rFonts w:ascii="Arial" w:cs="Arial" w:eastAsia="Arial" w:hAnsi="Arial"/>
                <w:sz w:val="17"/>
                <w:szCs w:val="17"/>
                <w:b w:val="1"/>
                <w:bCs w:val="1"/>
                <w:color w:val="auto"/>
                <w:w w:val="94"/>
              </w:rPr>
              <w:t>28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center"/>
              <w:ind w:left="476"/>
              <w:spacing w:after="0"/>
              <w:rPr>
                <w:sz w:val="20"/>
                <w:szCs w:val="20"/>
                <w:color w:val="auto"/>
              </w:rPr>
            </w:pPr>
            <w:r>
              <w:rPr>
                <w:rFonts w:ascii="Arial" w:cs="Arial" w:eastAsia="Arial" w:hAnsi="Arial"/>
                <w:sz w:val="17"/>
                <w:szCs w:val="17"/>
                <w:color w:val="auto"/>
                <w:w w:val="92"/>
              </w:rPr>
              <w:t>(20)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7"/>
                <w:szCs w:val="17"/>
                <w:b w:val="1"/>
                <w:bCs w:val="1"/>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Prior to the Spin-Off, whereby Atleos assumed the U.S. and certain international pension plan assets and liabilities, the pension plans were remeasured, resulting in actuarial losses (gains) of $19 million being recognized during the three and nine months ended September 30, 2023.</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benefit from the postretirement plan for the following periods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0" w:type="dxa"/>
            <w:vAlign w:val="bottom"/>
          </w:tcPr>
          <w:p>
            <w:pPr>
              <w:spacing w:after="0"/>
              <w:rPr>
                <w:sz w:val="15"/>
                <w:szCs w:val="15"/>
                <w:color w:val="auto"/>
              </w:rPr>
            </w:pPr>
          </w:p>
        </w:tc>
        <w:tc>
          <w:tcPr>
            <w:tcW w:w="270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00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7"/>
                <w:szCs w:val="17"/>
                <w:b w:val="1"/>
                <w:bCs w:val="1"/>
                <w:color w:val="auto"/>
                <w:w w:val="84"/>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00" w:type="dxa"/>
            <w:vAlign w:val="bottom"/>
          </w:tcPr>
          <w:p>
            <w:pPr>
              <w:ind w:left="140"/>
              <w:spacing w:after="0"/>
              <w:rPr>
                <w:sz w:val="20"/>
                <w:szCs w:val="20"/>
                <w:color w:val="auto"/>
              </w:rPr>
            </w:pPr>
            <w:r>
              <w:rPr>
                <w:rFonts w:ascii="Arial" w:cs="Arial" w:eastAsia="Arial" w:hAnsi="Arial"/>
                <w:sz w:val="17"/>
                <w:szCs w:val="17"/>
                <w:color w:val="auto"/>
              </w:rPr>
              <w:t>Amortization of:</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Prior service benefit</w:t>
            </w: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00" w:type="dxa"/>
            <w:vAlign w:val="bottom"/>
          </w:tcPr>
          <w:p>
            <w:pPr>
              <w:ind w:left="260"/>
              <w:spacing w:after="0"/>
              <w:rPr>
                <w:sz w:val="20"/>
                <w:szCs w:val="20"/>
                <w:color w:val="auto"/>
              </w:rPr>
            </w:pPr>
            <w:r>
              <w:rPr>
                <w:rFonts w:ascii="Arial" w:cs="Arial" w:eastAsia="Arial" w:hAnsi="Arial"/>
                <w:sz w:val="17"/>
                <w:szCs w:val="17"/>
                <w:color w:val="auto"/>
              </w:rPr>
              <w:t>Actuarial loss</w:t>
            </w:r>
          </w:p>
        </w:tc>
        <w:tc>
          <w:tcPr>
            <w:tcW w:w="106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8"/>
        </w:trPr>
        <w:tc>
          <w:tcPr>
            <w:tcW w:w="5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postretirement benefit</w:t>
            </w:r>
          </w:p>
        </w:tc>
        <w:tc>
          <w:tcPr>
            <w:tcW w:w="106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7"/>
                <w:szCs w:val="17"/>
                <w:b w:val="1"/>
                <w:bCs w:val="1"/>
                <w:color w:val="auto"/>
                <w:w w:val="84"/>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net cost of the postemployment plan for the following periods were:</w:t>
      </w:r>
    </w:p>
    <w:p>
      <w:pPr>
        <w:spacing w:after="0" w:line="119" w:lineRule="exact"/>
        <w:rPr>
          <w:sz w:val="20"/>
          <w:szCs w:val="20"/>
          <w:color w:val="auto"/>
        </w:rPr>
      </w:pPr>
    </w:p>
    <w:tbl>
      <w:tblPr>
        <w:tblLayout w:type="fixed"/>
        <w:tblInd w:w="260" w:type="dxa"/>
        <w:tblCellMar>
          <w:top w:w="0" w:type="dxa"/>
          <w:left w:w="0" w:type="dxa"/>
          <w:bottom w:w="0" w:type="dxa"/>
          <w:right w:w="0" w:type="dxa"/>
        </w:tblCellMar>
      </w:tblPr>
      <w:tr>
        <w:trPr>
          <w:trHeight w:val="179"/>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8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5"/>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7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service cost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0"/>
        </w:trPr>
        <w:tc>
          <w:tcPr>
            <w:tcW w:w="4720" w:type="dxa"/>
            <w:vAlign w:val="bottom"/>
          </w:tcPr>
          <w:p>
            <w:pPr>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140"/>
              <w:spacing w:after="0"/>
              <w:rPr>
                <w:sz w:val="20"/>
                <w:szCs w:val="20"/>
                <w:color w:val="auto"/>
              </w:rPr>
            </w:pPr>
            <w:r>
              <w:rPr>
                <w:rFonts w:ascii="Arial" w:cs="Arial" w:eastAsia="Arial" w:hAnsi="Arial"/>
                <w:sz w:val="17"/>
                <w:szCs w:val="17"/>
                <w:color w:val="auto"/>
              </w:rPr>
              <w:t>Prior service benefit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Actuarial gain</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7"/>
                <w:szCs w:val="17"/>
                <w:color w:val="auto"/>
              </w:rPr>
              <w:t>Net benefit cost</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Employer Contributions</w:t>
      </w:r>
    </w:p>
    <w:p>
      <w:pPr>
        <w:spacing w:after="0" w:line="24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i w:val="1"/>
          <w:iCs w:val="1"/>
          <w:color w:val="auto"/>
        </w:rPr>
        <w:t xml:space="preserve">Pension </w:t>
      </w:r>
      <w:r>
        <w:rPr>
          <w:rFonts w:ascii="Arial" w:cs="Arial" w:eastAsia="Arial" w:hAnsi="Arial"/>
          <w:sz w:val="15"/>
          <w:szCs w:val="15"/>
          <w:color w:val="auto"/>
        </w:rPr>
        <w:t>For the three and nine months ended September 30, 2023, the Company contributed $5 million and $13 million respectively, to its international pension</w:t>
      </w:r>
      <w:r>
        <w:rPr>
          <w:rFonts w:ascii="Arial" w:cs="Arial" w:eastAsia="Arial" w:hAnsi="Arial"/>
          <w:sz w:val="15"/>
          <w:szCs w:val="15"/>
          <w:i w:val="1"/>
          <w:iCs w:val="1"/>
          <w:color w:val="auto"/>
        </w:rPr>
        <w:t xml:space="preserve"> </w:t>
      </w:r>
      <w:r>
        <w:rPr>
          <w:rFonts w:ascii="Arial" w:cs="Arial" w:eastAsia="Arial" w:hAnsi="Arial"/>
          <w:sz w:val="15"/>
          <w:szCs w:val="15"/>
          <w:color w:val="auto"/>
        </w:rPr>
        <w:t>plans. The Company anticipates contributing an additional $4 million to its international pension plans for a total of $17 million in 2023. For the three and nine months ended September 30, 2023, the Company contributed $6 million to its U.S. pension plan. In October 2023, the Company contributed an additional $8 million to its U.S. pension plan. In accordance with the Employee Matters Agreement, Atleos will make an additional $136 million contribution to the U.S. pension plan following the Spin-Off for total contributions of $150 million in 2023. Following the Spin-Off,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U.S. pension plan to Atleos to the extent Atleos contributes more than $40 million on an annual basis beginning with the plan year ending December 31, 2024.</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Postretirement </w:t>
      </w:r>
      <w:r>
        <w:rPr>
          <w:rFonts w:ascii="Arial" w:cs="Arial" w:eastAsia="Arial" w:hAnsi="Arial"/>
          <w:sz w:val="17"/>
          <w:szCs w:val="17"/>
          <w:color w:val="auto"/>
        </w:rPr>
        <w:t>For the three and nine months ended September 30, 2023, the Company made no contributions to its U.S. postretirement plan.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anticipates contributing an additional $2 million to its U.S. postretirement plan for a total of $2 million in 2023.</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Postemployment </w:t>
      </w:r>
      <w:r>
        <w:rPr>
          <w:rFonts w:ascii="Arial" w:cs="Arial" w:eastAsia="Arial" w:hAnsi="Arial"/>
          <w:sz w:val="17"/>
          <w:szCs w:val="17"/>
          <w:color w:val="auto"/>
        </w:rPr>
        <w:t>For the three and nine months ended September 30, 2023, the Company contributed $7 million and $30 million, respectively, to its</w:t>
      </w:r>
      <w:r>
        <w:rPr>
          <w:rFonts w:ascii="Arial" w:cs="Arial" w:eastAsia="Arial" w:hAnsi="Arial"/>
          <w:sz w:val="17"/>
          <w:szCs w:val="17"/>
          <w:i w:val="1"/>
          <w:iCs w:val="1"/>
          <w:color w:val="auto"/>
        </w:rPr>
        <w:t xml:space="preserve"> </w:t>
      </w:r>
      <w:r>
        <w:rPr>
          <w:rFonts w:ascii="Arial" w:cs="Arial" w:eastAsia="Arial" w:hAnsi="Arial"/>
          <w:sz w:val="17"/>
          <w:szCs w:val="17"/>
          <w:color w:val="auto"/>
        </w:rPr>
        <w:t>postemployment plan. The Company anticipates contributing an additional $45 million to its postemployment plan for a total of $75 million in 2023.</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10. COMMITMENTS AND CONTINGENCIES</w:t>
      </w:r>
    </w:p>
    <w:p>
      <w:pPr>
        <w:spacing w:after="0" w:line="25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the normal course of business, the Company is subject to various proceedings, lawsuits, claims and other matters, including, for example, those that relate to the environment and health and safety, labor and employment, employee benefits, import/export compliance, patents or other intellectual property, data privacy and security, product liability, commercial disputes and regulatory compliance, among others. Additionally, the Company is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including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Condensed Consolidated Financial Statements. We do not believe there is a reasonable possibility that losses exceeding amounts already recognized have been incurred, but there can be no assurances that the amounts required to satisfy alleged liabilities from such matters will not</w:t>
      </w:r>
    </w:p>
    <w:p>
      <w:pPr>
        <w:jc w:val="both"/>
        <w:spacing w:after="0" w:line="282" w:lineRule="auto"/>
        <w:rPr>
          <w:sz w:val="20"/>
          <w:szCs w:val="20"/>
          <w:color w:val="auto"/>
        </w:rPr>
      </w:pPr>
      <w:r>
        <w:rPr>
          <w:rFonts w:ascii="Arial" w:cs="Arial" w:eastAsia="Arial" w:hAnsi="Arial"/>
          <w:sz w:val="16"/>
          <w:szCs w:val="16"/>
          <w:color w:val="auto"/>
        </w:rPr>
        <w:t>impact future operating results. Other than as stated below, the Company does not currently expect to incur material capital expenditures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Condensed Consolidated Financial Statements or will not have a material adverse effect on its consolidated results of operations, capital expenditures, competitive position, financial condition or cash flows.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 xml:space="preserve">Environmental Matters </w:t>
      </w:r>
      <w:r>
        <w:rPr>
          <w:rFonts w:ascii="Arial" w:cs="Arial" w:eastAsia="Arial" w:hAnsi="Arial"/>
          <w:sz w:val="16"/>
          <w:szCs w:val="16"/>
          <w:color w:val="auto"/>
        </w:rPr>
        <w:t>The Company’s facilities and operations are subject to a wide range of environmental protection laws, and the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will retain the responsibility to manage the identified environmental liabilities and remediations, subject however to an indemnity obligation by Atleos to contribute 50% of the costs of certain environmental liabilities after an annual $15 million funding threshold is met. Other than the Kalamazoo River matter and the Ebina matter discussed below, we currently do not anticipate material expenses and liabilities from these environmental matters.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Fox River </w:t>
      </w:r>
      <w:r>
        <w:rPr>
          <w:rFonts w:ascii="Arial" w:cs="Arial" w:eastAsia="Arial" w:hAnsi="Arial"/>
          <w:sz w:val="17"/>
          <w:szCs w:val="17"/>
          <w:color w:val="auto"/>
        </w:rPr>
        <w:t>The Company was one of eight entities that was formally notified by governmental and other entities that it was a PRP for environmental claims (under</w:t>
      </w:r>
      <w:r>
        <w:rPr>
          <w:rFonts w:ascii="Arial" w:cs="Arial" w:eastAsia="Arial" w:hAnsi="Arial"/>
          <w:sz w:val="17"/>
          <w:szCs w:val="17"/>
          <w:i w:val="1"/>
          <w:iCs w:val="1"/>
          <w:color w:val="auto"/>
        </w:rPr>
        <w:t xml:space="preserve"> </w:t>
      </w:r>
      <w:r>
        <w:rPr>
          <w:rFonts w:ascii="Arial" w:cs="Arial" w:eastAsia="Arial" w:hAnsi="Arial"/>
          <w:sz w:val="17"/>
          <w:szCs w:val="17"/>
          <w:color w:val="auto"/>
        </w:rPr>
        <w:t>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cost of the Fox River remediation has been shared with three parties (the previously reported API having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(“NRD”).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 (1) the difference between BAT’s 60% obligation under the Cost Sharing Agreement on the one hand and their ongoing (since September 2014) 50% payments under the Funding Agreement on the other, as well as (2) the difference between the amount the Company received under the Funding Agreement and the amount owed to it under the Cost Sharing Agreement for the period from April 2012 through September 2014 (collectively, the “Funding Agreement Receivable”). Pursuant to a June 12, 2015 Letter Agreement, the Company’s contractual avenue for direct payment by BAT was effectively stayed pending completion of other unrelated lawsuits by BAT against third-parties. As of September 30, 2023 and December 31, 2022, the Funding Agreement Receivable was approximately $54 million and was included in Other assets in the Condensed Consolidated Balance Sheets. The timing of collection of sums related to the receivable is uncertain, subject and pursuant to the terms of the Funding Agreement and related agreements. This receivable is not taken into account in calculating the Company’s Fox River remaining reserve.</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under a 1996 Divestiture Agreement, AT&amp;T and Nokia have been responsible severally (not jointly) for indemnifying the Company for certain portions of the amounts paid by the Company for the Fox River matter over a defined threshold and subject to certain offsets for insurance recoveries and net tax benefits (the “Divestiture Agreement Offsets”), if any. (The Divestiture Agreement governs certain aspects of AT&amp;T’s divestiture of the Company and of what was then known as Lucent Technologies.) Those companies have made the payments requested of them by the Company on an ongoing basis.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There could be additional changes to some elements of the Company’s remaining obligation over upcoming periods, in view of a final reconciliation of the Funding Agreement Receivable and the Divestiture Agreement Offsets. Thus, there can be no assurance that unexpected expenditures and liabilities will not have a material effect on the Company’s capital expenditures, earnings, financial condition, cash flows, or competitive position. As of September 30, 2023 and December 31, 2022, we have no remaining liability for remedial obligations for the Fox River matter. As of September 30, 2023 and December 31, 2022, the liability subject to final reconciliation with indemnitors under the Divestiture Agreement was approximately $22 million.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 w:name="page29"/>
    <w:bookmarkEnd w:id="28"/>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Kalamazoo River </w:t>
      </w:r>
      <w:r>
        <w:rPr>
          <w:rFonts w:ascii="Arial" w:cs="Arial" w:eastAsia="Arial" w:hAnsi="Arial"/>
          <w:sz w:val="17"/>
          <w:szCs w:val="17"/>
          <w:color w:val="auto"/>
        </w:rPr>
        <w:t>In November 2010, The United States Environmental Protection Agency (“USEPA”) issued a “general notice letter” to the Company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Allied Paper, Inc./Portage Creek/Kalamazoo River Superfund Site (“Kalamazoo River site”) in Michigan. Three other companies - International Paper, Mead Corporation, and Consumers Energy - also received general notice letters at or about the same time. USEPA asserts that the site is contaminated by various substances, primarily PCBs, as a result of discharges by various paper mills located along the river. USEPA does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connection with the Kalamazoo River site, in December 2010 the Company, along with two other defendants, was sued in federal court by three GP affiliate corporations in a private-party contribution and cost recovery action for alleged pollution. The suit, pending in Michigan, asks that the Company and other defendants pay a “fair portion” of these companies’ costs. Various removal and remedial actions remain to be decided upon and performed at the Kalamazoo River site, the total costs for which generally remain undetermined; in 2017, Records of Decisions were issued for two parts of the river, and in 2018 such a decision was issued for another part of the river, but such decisions for the majority of the work are expected to be made only over the next several years. The suit alleges that the Company is liable to the GP entities as an “arranger” under CERCLA. The initial phase of the case was tried in a Michigan federal court in February 2013; on September 26,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The Company preserved its right to appeal the September 2013 decision.</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2013 decision the Court did not determine the Company’s share of the overall liability. Relative shares of liability for the four companies were tried to the court in a subsequent phase of the case in December 2015. In a ruling issued on March 29, 2018, the court addressed responsibility for the costs that GP had incurred in the past, totaling to approximately $50 million (GP had sought approximately $105 million, but $55 million of those claims were removed by the court upon motions filed by the Company and other parties); the Company and GP were each assigned a 40% share of those costs, and the other two companies were assigned 15% and 5% as their allocations. The court entered a judgment in the case on June 19, 2018, in which it indicated that it would not allocate future costs, but would enter a declaratory judgment that the four companies together had responsibility for future costs, in amounts and shares to be determined. Cross-proceedings have been commenced to obtain recoveries from the other parties pursuant to the judgment; those proceedings were stayed pending the appeal referenced below.</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July 2018, the Company appealed to the United States Court of Appeals for the Sixth Circuit both the 2013 court decision, which it believes is in conflict with a decision from the Fox River trial court as to Operable Unit 1 of that site and an affirmance of that decision from the Court of Appeals for the Seventh Circuit, and the 2018 court decision, on various legal grounds. The Company filed a bond to stay any execution of the judgment pending the appeal, and its application for a stay was approved by the court and remains stayed until the Company filed its dismissal of the appeal on December 31, 2020 pursuant to a Consent Decree, noted below.</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During the pendency of the Sixth Circuit stay, the Company negotiated a settlement of the Kalamazoo River matter with the USEPA and other government agencies having oversight over the river. On December 5, 2019, the Company entered into a Consent Decree, filed with the District Court on December 11, 2019, and on December 2, 2020, the District Court approved the Consent Decree, which has now resolved all litigation associated with the river clean-up, including the Sixth Circuit appeal. The Consent Decree requires the Company to pay GP its 40% share of past costs, to pay the USEPA and state agencies their past and future administrative costs, and to dismiss its Sixth Circuit appeal. The Consent Decree further requires the Company to take responsibility for the remediation of a portion, but not all, of the Kalamazoo River. The Consent Decree further provides the Company protection from other PRPs, including GP, seeking contribution for their costs associated with the clean-up anywhere on the river, thereby resolving the allocation of future costs left unresolved by the June 19, 2019 judgment.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believes it has meritorious claims against BAT under the Cost Sharing Agreement, discussed above, for the Kalamazoo River remediation expenses as a so-called “future site.” To date, BAT has denied that the Kalamazoo River is a “future site.” On February 10, 2023, the Company filed an action against BAT in the Southern District of New York seeking a declaration that the Kalamazoo River is indeed a future site under the Cost Sharing Agreement. The Company will also have indemnity or reimbursement claims against AT&amp;T and Nokia under the arrangement discussed above in connection with the Fox River matter after expenses have met a contractual threshold set out in the 1996 Divestiture Agreement referenced above in the Fox River discussion. The Company believes that contractual threshold was met in December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September 30, 2023 and December 31, 2022, the total reserve for Kalamazoo was $96 million and $90 million, respectively. The reserve is reported on a basis that is net of expected contributions from the Company’s co-obligors and indemnitors, subject to when the applicable threshold is reached. While the Company believes its co-obligors’ and indemnitors’ obligations are as previously reported, the reserve reflects changes in positions taken by some of those co-obligors and indemnitors with respect to the Kalamazoo River. The contributions from its co-obligors and indemnitors are expected to range from $70 million to $155 million and the Company will continue to pursue such contribution.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of the costs of investigations and studies for areas of the river where remedies have not yet been determined, and the reserve is informed by those estimates. The extent of the Company’s potential liability remains subject to many uncertainties, notwithstanding the settlement of this matter and related Consent Decree noted above, particularly in as much as remedy decisions and cost estimates will not be generated until times in the future and as most of the work to be performed will take place through the 2030s. Under other assumptions or estimates for possible costs of remediation, which the Company does not at this point consider to be reasonably estimable or verifiable, it is possible that the reserve the Company has taken to discontinued operations reflected in this paragraph could more than approximately double the reflected reserve.</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Ebina </w:t>
      </w:r>
      <w:r>
        <w:rPr>
          <w:rFonts w:ascii="Arial" w:cs="Arial" w:eastAsia="Arial" w:hAnsi="Arial"/>
          <w:sz w:val="17"/>
          <w:szCs w:val="17"/>
          <w:color w:val="auto"/>
        </w:rPr>
        <w:t>The Company is engaged in cooperative regulatory compliance activities with the government of Japan in connection with certain environmental</w:t>
      </w:r>
      <w:r>
        <w:rPr>
          <w:rFonts w:ascii="Arial" w:cs="Arial" w:eastAsia="Arial" w:hAnsi="Arial"/>
          <w:sz w:val="17"/>
          <w:szCs w:val="17"/>
          <w:i w:val="1"/>
          <w:iCs w:val="1"/>
          <w:color w:val="auto"/>
        </w:rPr>
        <w:t xml:space="preserve"> </w:t>
      </w:r>
      <w:r>
        <w:rPr>
          <w:rFonts w:ascii="Arial" w:cs="Arial" w:eastAsia="Arial" w:hAnsi="Arial"/>
          <w:sz w:val="17"/>
          <w:szCs w:val="17"/>
          <w:color w:val="auto"/>
        </w:rPr>
        <w:t>contaminants generated in its past operations in that country. The Company has quantities of PCB and other wastes primarily from its former plant at Oiso, Japan, including capsulated undiluted solutions manufactured in the past, capacitors, light ballasts and PCB-affected soil from the Oiso plant that was excavated and placed in steel drums. These wastes are stored in a facility at Ebina, Japan in accordance with Japanese regulations governing such materials. Over the past several years Japan has enacted and amended legislation governing such wastes, and has set a current deadline for treating and disposing of (at government-constructed disposal facilities) the highest-concentration wastes by 2027. Lower-concentration wastes can be and have been disposed of via private contractors, and as of September 30, 2023, the Company had disposed of approximately 99% of its lower-concentration wastes and approximately 92% of its higher-concentration wastes.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and its consultants have met and communicated regularly with the Japanese agency charged with administration of the law, and are working with that agency on a program to manage disposal of the high-concentration wastes, including tests of technologies to make the disposal more efficient. The government has given its final approvals, and the Company started to dispose of the high-concentration wastes in 2021, with final deadlines for various of the government-constructed disposal sites currently set for 2023 and later. Low-concentration wastes are required to be contracted for disposal by 2027, a timetable that the Company expects to meet. In September 2019, the Company’s environmental consultants, following a series of communications and meetings with the Japanese agency, at the Company’s request prepared an estimate of remaining disposal costs over the coming several years. While the estimate is subject to a range of assumptions and uncertainties, including prospects of cost reduction in coordination with the agency as certain field testing to separate high-concentration and low-concentration waste progresses over the coming years, the Company adjusted its existing reserve for the matter to take into account this cost estimate. The reserve as of September 30, 2023 and December 31, 2022 is $1 million and $7 million, respectively. The Japan environmental waste issue is treated as a compliance matter and not as litigation or enforcement, and the Company has received no threats of litigation or enforcement. Atleos does not have any indemnification obligations to the Company in connection with the Ebina matter, and this remediation is expected to be completed during the remainder of the year or early next year.</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Environmental-Related Insurance Recoveries </w:t>
      </w:r>
      <w:r>
        <w:rPr>
          <w:rFonts w:ascii="Arial" w:cs="Arial" w:eastAsia="Arial" w:hAnsi="Arial"/>
          <w:sz w:val="17"/>
          <w:szCs w:val="17"/>
          <w:color w:val="auto"/>
        </w:rPr>
        <w:t>In connection with the Fox River and other environmental sites, through September 30, 2023,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a combined gross total of approximately $212 million in settlements reached with various of its insurance carriers. Portions of many of these settlements agreed in the 2010 through 2013 timeframe are payable to a law firm that litigated the claims on the Company’s behalf. Some of the settlements cover not only the Fox River but also other environmental sites;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to it, but it has recovered some amounts as a result of settlement discussions with certain carriers. Claims with respect to Kalamazoo River defense costs have now been settled, with the amounts of those settlements included in the sum reported above.</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 xml:space="preserve">Environmental Remediation Estimates </w:t>
      </w:r>
      <w:r>
        <w:rPr>
          <w:rFonts w:ascii="Arial" w:cs="Arial" w:eastAsia="Arial" w:hAnsi="Arial"/>
          <w:sz w:val="17"/>
          <w:szCs w:val="17"/>
          <w:color w:val="auto"/>
        </w:rPr>
        <w:t>It is difficult to estimate the future financial impact of environmental laws, including potential liabilities.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records environmental provisions when it is probable that a liability has been incurred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0" w:name="page31"/>
    <w:bookmarkEnd w:id="30"/>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provided for environmental matters in the Company’s Condensed Consolidated Financial Statements are the estimated gross undiscounted amounts of such liabilities, without deductions for indemnity insurance, third-party indemnity claims or recoveries from other PRPs, except as qualified in the following sentences. In those cases where insurance carriers or third-party indemnitors have agreed to pay any amounts and management believes that collectability of such amounts is probable, the amounts are recorded in the Condensed Consolidated Financial Statements. For the Fox River and Kalamazoo River sites, as described above, assets relating to the AT&amp;T and Nokia indemnities and to the BAT obligations are recorded as payment is supported by contractual agreements, public filings and/or payment history.</w:t>
      </w:r>
    </w:p>
    <w:p>
      <w:pPr>
        <w:spacing w:after="0" w:line="19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 xml:space="preserve">Guarantees and Product Warranties </w:t>
      </w:r>
      <w:r>
        <w:rPr>
          <w:rFonts w:ascii="Arial" w:cs="Arial" w:eastAsia="Arial" w:hAnsi="Arial"/>
          <w:sz w:val="16"/>
          <w:szCs w:val="16"/>
          <w:color w:val="auto"/>
        </w:rPr>
        <w:t>In the ordinary course of business, the Company may issue performance guarantees on behalf of its subsidiaries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September 30, 2023 and December 31, 2022, the Company had no material obligations related to such guarantees, and therefore its Condensed Consolidated Financial Statements do not have any associated liability balance.</w:t>
      </w:r>
    </w:p>
    <w:p>
      <w:pPr>
        <w:spacing w:after="0" w:line="19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 provides its customers a standard manufacturer’s warranty and records, at the time of the sale, a corresponding estimated liability for potential warranty costs. Estimated future obligations due to warranty claims are based upon historical factors, such as labor rates, average repair time, travel time, number of service calls per machine and cost of replacement parts. When a sale is consummated, the total customer revenue is recognized, provided that all revenue recognition criteria are otherwise satisfied, and the associated warranty liability is recorded using pre-established warranty percentages for the respective product classes. Warranty reserve liabilities are presented in Other current liabilities and Other liabilities in the Condensed Consolidated Balance Sheets.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From time to time, product design or quality corrections are accomplished through modification programs. When identified, associated costs of labor and parts for such programs are estimated and accrued as part of the warranty reserve.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the activity related to the warranty reserve for the nine months ended September 30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1200" w:type="dxa"/>
            <w:vAlign w:val="bottom"/>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25"/>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Warranty reserve liability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0"/>
        </w:trPr>
        <w:tc>
          <w:tcPr>
            <w:tcW w:w="7940" w:type="dxa"/>
            <w:vAlign w:val="bottom"/>
          </w:tcPr>
          <w:p>
            <w:pPr>
              <w:ind w:left="20"/>
              <w:spacing w:after="0"/>
              <w:rPr>
                <w:sz w:val="20"/>
                <w:szCs w:val="20"/>
                <w:color w:val="auto"/>
              </w:rPr>
            </w:pPr>
            <w:r>
              <w:rPr>
                <w:rFonts w:ascii="Arial" w:cs="Arial" w:eastAsia="Arial" w:hAnsi="Arial"/>
                <w:sz w:val="17"/>
                <w:szCs w:val="17"/>
                <w:color w:val="auto"/>
              </w:rPr>
              <w:t>Beginning balance as of January 1</w:t>
            </w: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center"/>
              <w:ind w:left="797"/>
              <w:spacing w:after="0"/>
              <w:rPr>
                <w:sz w:val="20"/>
                <w:szCs w:val="20"/>
                <w:color w:val="auto"/>
              </w:rPr>
            </w:pPr>
            <w:r>
              <w:rPr>
                <w:rFonts w:ascii="Arial" w:cs="Arial" w:eastAsia="Arial" w:hAnsi="Arial"/>
                <w:sz w:val="17"/>
                <w:szCs w:val="17"/>
                <w:color w:val="auto"/>
                <w:w w:val="94"/>
              </w:rPr>
              <w:t>19</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Accruals for warranties issued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7"/>
                <w:szCs w:val="17"/>
                <w:color w:val="auto"/>
                <w:w w:val="94"/>
              </w:rPr>
              <w:t>14</w:t>
            </w:r>
          </w:p>
        </w:tc>
      </w:tr>
      <w:tr>
        <w:trPr>
          <w:trHeight w:val="22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Settlements (in cash or in kind)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77"/>
              <w:spacing w:after="0"/>
              <w:rPr>
                <w:sz w:val="20"/>
                <w:szCs w:val="20"/>
                <w:color w:val="auto"/>
              </w:rPr>
            </w:pPr>
            <w:r>
              <w:rPr>
                <w:rFonts w:ascii="Arial" w:cs="Arial" w:eastAsia="Arial" w:hAnsi="Arial"/>
                <w:sz w:val="17"/>
                <w:szCs w:val="17"/>
                <w:color w:val="auto"/>
                <w:w w:val="92"/>
              </w:rPr>
              <w:t>(19)</w:t>
            </w: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 as of September 30</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center"/>
              <w:ind w:left="797"/>
              <w:spacing w:after="0"/>
              <w:rPr>
                <w:sz w:val="20"/>
                <w:szCs w:val="20"/>
                <w:color w:val="auto"/>
              </w:rPr>
            </w:pPr>
            <w:r>
              <w:rPr>
                <w:rFonts w:ascii="Arial" w:cs="Arial" w:eastAsia="Arial" w:hAnsi="Arial"/>
                <w:sz w:val="17"/>
                <w:szCs w:val="17"/>
                <w:color w:val="auto"/>
                <w:w w:val="94"/>
              </w:rPr>
              <w:t>14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the Company provides its customers with certain indemnification rights, subject to certain limitations and exceptions.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Purchase Commitments </w:t>
      </w:r>
      <w:r>
        <w:rPr>
          <w:rFonts w:ascii="Arial" w:cs="Arial" w:eastAsia="Arial" w:hAnsi="Arial"/>
          <w:sz w:val="17"/>
          <w:szCs w:val="17"/>
          <w:color w:val="auto"/>
        </w:rPr>
        <w:t>The Company has purchase commitments for materials, supplies, services, and property, plant and equipment as part of the normal</w:t>
      </w:r>
      <w:r>
        <w:rPr>
          <w:rFonts w:ascii="Arial" w:cs="Arial" w:eastAsia="Arial" w:hAnsi="Arial"/>
          <w:sz w:val="17"/>
          <w:szCs w:val="17"/>
          <w:b w:val="1"/>
          <w:bCs w:val="1"/>
          <w:color w:val="auto"/>
        </w:rPr>
        <w:t xml:space="preserve"> </w:t>
      </w:r>
      <w:r>
        <w:rPr>
          <w:rFonts w:ascii="Arial" w:cs="Arial" w:eastAsia="Arial" w:hAnsi="Arial"/>
          <w:sz w:val="17"/>
          <w:szCs w:val="17"/>
          <w:color w:val="auto"/>
        </w:rPr>
        <w:t>course of business. This includes a long-term service agreement with Accenture, under which many of the Company’s key transaction processing activities and functions are performed.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11. SERIES A CONVERTIBLE PREFERRED STOCK</w:t>
      </w:r>
    </w:p>
    <w:p>
      <w:pPr>
        <w:spacing w:after="0" w:line="25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Holders of Series A Convertible Preferred Stock are entitled to a cumulative dividend at the rate of 5.5% per annum, payable quarterly in arrears. Beginning in the first quarter of 2020, dividends are payable in cash or in-kind at the option of the Company. If the Company does not declare and pay a dividend, the dividend rate will increase to 8.0% per annum until all accrued but unpaid dividends have been paid in full. During the three months ended September 30, 2023 and 2022, the Company paid cash dividends of $3 million. During the nine months ended September 30, 2023 and 2022, the Company paid cash dividends of $11 million.</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Series A Convertible Preferred Stock is convertible at the option of the holders at any time into shares of common stock at a conversion price of $30.00 per share, or a conversion rate of 33.333 shares of common stock per share of Series A Convertible Preferred Stock. As of September 30, 2023 and December 31, 2022, the maximum number of common shares that could be required to be issued upon conversion of the outstanding shares of Series A Convertible Preferred Stock was 9.2 million shares. As a result of the Spin-Off and pursuant to the Company’s Articles of Amendment and Restatement, the adjusted conversion ratio is 57.5601 shares of common stock per share of Series A Convertible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12. EARNINGS PER SHARE</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Basic earnings per share (“EPS”) is calculated by dividing net income or loss attributable to NCR, less any dividends (declared or cumulative undeclared), deemed dividends, accretion or decretion, redemption or induced conversion on our Series A Convertible Preferred Stock, by the weighted average number of shares outstanding during the period.</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w:t>
      </w:r>
    </w:p>
    <w:p>
      <w:pPr>
        <w:spacing w:after="0" w:line="19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8, “Stock Compensation Plans”, for share information on the Company’s stock compensation plans.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2" w:name="page33"/>
    <w:bookmarkEnd w:id="32"/>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basic earnings per share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8"/>
          </w:tcPr>
          <w:p>
            <w:pPr>
              <w:jc w:val="right"/>
              <w:ind w:right="376"/>
              <w:spacing w:after="0"/>
              <w:rPr>
                <w:sz w:val="20"/>
                <w:szCs w:val="20"/>
                <w:color w:val="auto"/>
              </w:rPr>
            </w:pPr>
            <w:r>
              <w:rPr>
                <w:rFonts w:ascii="Arial" w:cs="Arial" w:eastAsia="Arial" w:hAnsi="Arial"/>
                <w:sz w:val="14"/>
                <w:szCs w:val="14"/>
                <w:b w:val="1"/>
                <w:bCs w:val="1"/>
                <w:color w:val="auto"/>
                <w:w w:val="94"/>
              </w:rPr>
              <w:t>Three months ended September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96"/>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7"/>
                <w:szCs w:val="17"/>
                <w:color w:val="auto"/>
              </w:rPr>
              <w:t>Income (loss) from continuing operations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(124)</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w:t>
            </w:r>
          </w:p>
        </w:tc>
        <w:tc>
          <w:tcPr>
            <w:tcW w:w="28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(95)</w:t>
            </w:r>
          </w:p>
        </w:tc>
        <w:tc>
          <w:tcPr>
            <w:tcW w:w="120" w:type="dxa"/>
            <w:vAlign w:val="bottom"/>
          </w:tcPr>
          <w:p>
            <w:pPr>
              <w:spacing w:after="0"/>
              <w:rPr>
                <w:sz w:val="19"/>
                <w:szCs w:val="19"/>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Dividends on Series A Convertible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49"/>
        </w:trPr>
        <w:tc>
          <w:tcPr>
            <w:tcW w:w="5120" w:type="dxa"/>
            <w:vAlign w:val="bottom"/>
            <w:gridSpan w:val="2"/>
          </w:tcPr>
          <w:p>
            <w:pPr>
              <w:ind w:left="20"/>
              <w:spacing w:after="0" w:line="149" w:lineRule="exact"/>
              <w:rPr>
                <w:sz w:val="20"/>
                <w:szCs w:val="20"/>
                <w:color w:val="auto"/>
              </w:rPr>
            </w:pPr>
            <w:r>
              <w:rPr>
                <w:rFonts w:ascii="Arial" w:cs="Arial" w:eastAsia="Arial" w:hAnsi="Arial"/>
                <w:sz w:val="17"/>
                <w:szCs w:val="17"/>
                <w:b w:val="1"/>
                <w:bCs w:val="1"/>
                <w:color w:val="auto"/>
              </w:rPr>
              <w:t>Income (loss) from continuing operations attributable to NCR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120" w:type="dxa"/>
            <w:vAlign w:val="bottom"/>
            <w:gridSpan w:val="2"/>
          </w:tcPr>
          <w:p>
            <w:pPr>
              <w:ind w:left="20"/>
              <w:spacing w:after="0"/>
              <w:rPr>
                <w:sz w:val="20"/>
                <w:szCs w:val="20"/>
                <w:color w:val="auto"/>
              </w:rPr>
            </w:pPr>
            <w:r>
              <w:rPr>
                <w:rFonts w:ascii="Arial" w:cs="Arial" w:eastAsia="Arial" w:hAnsi="Arial"/>
                <w:sz w:val="17"/>
                <w:szCs w:val="17"/>
                <w:b w:val="1"/>
                <w:bCs w:val="1"/>
                <w:color w:val="auto"/>
              </w:rPr>
              <w:t>common stockholders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(loss) from discontinued operations, net of tax</w:t>
            </w:r>
          </w:p>
        </w:tc>
        <w:tc>
          <w:tcPr>
            <w:tcW w:w="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 (loss) attributable to NCR common stockholders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(128)</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(108)</w:t>
            </w:r>
          </w:p>
        </w:tc>
        <w:tc>
          <w:tcPr>
            <w:tcW w:w="12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20" w:type="dxa"/>
            <w:vAlign w:val="bottom"/>
            <w:gridSpan w:val="2"/>
          </w:tcPr>
          <w:p>
            <w:pPr>
              <w:ind w:left="20"/>
              <w:spacing w:after="0"/>
              <w:rPr>
                <w:sz w:val="20"/>
                <w:szCs w:val="20"/>
                <w:color w:val="auto"/>
              </w:rPr>
            </w:pPr>
            <w:r>
              <w:rPr>
                <w:rFonts w:ascii="Arial" w:cs="Arial" w:eastAsia="Arial" w:hAnsi="Arial"/>
                <w:sz w:val="17"/>
                <w:szCs w:val="17"/>
                <w:b w:val="1"/>
                <w:bCs w:val="1"/>
                <w:color w:val="auto"/>
              </w:rPr>
              <w:t>Denominator:</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Basic weighted average number of shares outstanding</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per share:</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320"/>
              <w:spacing w:after="0"/>
              <w:rPr>
                <w:sz w:val="20"/>
                <w:szCs w:val="20"/>
                <w:color w:val="auto"/>
              </w:rPr>
            </w:pPr>
            <w:r>
              <w:rPr>
                <w:rFonts w:ascii="Arial" w:cs="Arial" w:eastAsia="Arial" w:hAnsi="Arial"/>
                <w:sz w:val="17"/>
                <w:szCs w:val="17"/>
                <w:color w:val="auto"/>
              </w:rPr>
              <w:t>From continuing operations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(0.91)</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0.47</w:t>
            </w:r>
          </w:p>
        </w:tc>
        <w:tc>
          <w:tcPr>
            <w:tcW w:w="28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(0.76)</w:t>
            </w:r>
          </w:p>
        </w:tc>
        <w:tc>
          <w:tcPr>
            <w:tcW w:w="120" w:type="dxa"/>
            <w:vAlign w:val="bottom"/>
          </w:tcPr>
          <w:p>
            <w:pPr>
              <w:spacing w:after="0"/>
              <w:rPr>
                <w:sz w:val="19"/>
                <w:szCs w:val="19"/>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(0.01)</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7"/>
                <w:szCs w:val="17"/>
                <w:color w:val="auto"/>
              </w:rPr>
              <w:t>Total basic earnings per share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(0.91)</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(0.77)</w:t>
            </w:r>
          </w:p>
        </w:tc>
        <w:tc>
          <w:tcPr>
            <w:tcW w:w="12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color w:val="auto"/>
              </w:rPr>
              <w:t>The components of diluted earnings per share are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1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6"/>
          </w:tcPr>
          <w:p>
            <w:pPr>
              <w:jc w:val="right"/>
              <w:spacing w:after="0"/>
              <w:rPr>
                <w:sz w:val="20"/>
                <w:szCs w:val="20"/>
                <w:color w:val="auto"/>
              </w:rPr>
            </w:pPr>
            <w:r>
              <w:rPr>
                <w:rFonts w:ascii="Arial" w:cs="Arial" w:eastAsia="Arial" w:hAnsi="Arial"/>
                <w:sz w:val="14"/>
                <w:szCs w:val="14"/>
                <w:b w:val="1"/>
                <w:bCs w:val="1"/>
                <w:color w:val="auto"/>
                <w:w w:val="87"/>
              </w:rPr>
              <w:t>Three months ended 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Income (loss) from continuing operations</w:t>
            </w:r>
          </w:p>
        </w:tc>
        <w:tc>
          <w:tcPr>
            <w:tcW w:w="320" w:type="dxa"/>
            <w:vAlign w:val="bottom"/>
          </w:tcPr>
          <w:p>
            <w:pPr>
              <w:spacing w:after="0"/>
              <w:rPr>
                <w:sz w:val="19"/>
                <w:szCs w:val="19"/>
                <w:color w:val="auto"/>
              </w:rPr>
            </w:pPr>
          </w:p>
        </w:tc>
        <w:tc>
          <w:tcPr>
            <w:tcW w:w="560" w:type="dxa"/>
            <w:vAlign w:val="bottom"/>
            <w:gridSpan w:val="2"/>
          </w:tcPr>
          <w:p>
            <w:pPr>
              <w:jc w:val="right"/>
              <w:ind w:right="154"/>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b w:val="1"/>
                <w:bCs w:val="1"/>
                <w:color w:val="auto"/>
                <w:w w:val="90"/>
              </w:rPr>
              <w:t>(124)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tcPr>
          <w:p>
            <w:pPr>
              <w:jc w:val="right"/>
              <w:spacing w:after="0"/>
              <w:rPr>
                <w:sz w:val="20"/>
                <w:szCs w:val="20"/>
                <w:color w:val="auto"/>
              </w:rPr>
            </w:pPr>
            <w:r>
              <w:rPr>
                <w:rFonts w:ascii="Arial" w:cs="Arial" w:eastAsia="Arial" w:hAnsi="Arial"/>
                <w:sz w:val="17"/>
                <w:szCs w:val="17"/>
                <w:b w:val="1"/>
                <w:bCs w:val="1"/>
                <w:color w:val="auto"/>
              </w:rPr>
              <w:t>(95)</w:t>
            </w:r>
          </w:p>
        </w:tc>
        <w:tc>
          <w:tcPr>
            <w:tcW w:w="4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Series A Convertible Preferred Stock</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ind w:left="20"/>
              <w:spacing w:after="0" w:line="149" w:lineRule="exact"/>
              <w:rPr>
                <w:sz w:val="20"/>
                <w:szCs w:val="20"/>
                <w:color w:val="auto"/>
              </w:rPr>
            </w:pPr>
            <w:r>
              <w:rPr>
                <w:rFonts w:ascii="Arial" w:cs="Arial" w:eastAsia="Arial" w:hAnsi="Arial"/>
                <w:sz w:val="17"/>
                <w:szCs w:val="17"/>
                <w:b w:val="1"/>
                <w:bCs w:val="1"/>
                <w:color w:val="auto"/>
                <w:w w:val="94"/>
              </w:rPr>
              <w:t>Income (loss) from continuing operations attributable to NCR common</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stockholders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b w:val="1"/>
                <w:bCs w:val="1"/>
                <w:color w:val="auto"/>
                <w:w w:val="90"/>
              </w:rPr>
              <w:t>(128)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b w:val="1"/>
                <w:bCs w:val="1"/>
                <w:color w:val="auto"/>
              </w:rPr>
              <w:t>(107)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from discontinued operations, net of tax</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Net income (loss) attributable to NCR common stockholders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5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b w:val="1"/>
                <w:bCs w:val="1"/>
                <w:color w:val="auto"/>
                <w:w w:val="90"/>
              </w:rPr>
              <w:t>(128)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tcPr>
          <w:p>
            <w:pPr>
              <w:jc w:val="right"/>
              <w:spacing w:after="0"/>
              <w:rPr>
                <w:sz w:val="20"/>
                <w:szCs w:val="20"/>
                <w:color w:val="auto"/>
              </w:rPr>
            </w:pPr>
            <w:r>
              <w:rPr>
                <w:rFonts w:ascii="Arial" w:cs="Arial" w:eastAsia="Arial" w:hAnsi="Arial"/>
                <w:sz w:val="17"/>
                <w:szCs w:val="17"/>
                <w:b w:val="1"/>
                <w:bCs w:val="1"/>
                <w:color w:val="auto"/>
              </w:rPr>
              <w:t>(108)</w:t>
            </w:r>
          </w:p>
        </w:tc>
        <w:tc>
          <w:tcPr>
            <w:tcW w:w="4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5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7"/>
                <w:szCs w:val="17"/>
                <w:b w:val="1"/>
                <w:bCs w:val="1"/>
                <w:color w:val="auto"/>
              </w:rPr>
              <w:t>Denominator:</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 weighted average number of shares outstanding</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140.9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140.3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7"/>
                <w:szCs w:val="17"/>
                <w:color w:val="auto"/>
              </w:rPr>
              <w:t>Dilutive effect of restricted stock units and stock options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w w:val="84"/>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diluted shares</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140.9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140.3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140.3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340"/>
              <w:spacing w:after="0"/>
              <w:rPr>
                <w:sz w:val="20"/>
                <w:szCs w:val="20"/>
                <w:color w:val="auto"/>
              </w:rPr>
            </w:pPr>
            <w:r>
              <w:rPr>
                <w:rFonts w:ascii="Arial" w:cs="Arial" w:eastAsia="Arial" w:hAnsi="Arial"/>
                <w:sz w:val="17"/>
                <w:szCs w:val="17"/>
                <w:color w:val="auto"/>
              </w:rPr>
              <w:t>From continuing operations</w:t>
            </w:r>
          </w:p>
        </w:tc>
        <w:tc>
          <w:tcPr>
            <w:tcW w:w="320" w:type="dxa"/>
            <w:vAlign w:val="bottom"/>
          </w:tcPr>
          <w:p>
            <w:pPr>
              <w:spacing w:after="0"/>
              <w:rPr>
                <w:sz w:val="19"/>
                <w:szCs w:val="19"/>
                <w:color w:val="auto"/>
              </w:rPr>
            </w:pPr>
          </w:p>
        </w:tc>
        <w:tc>
          <w:tcPr>
            <w:tcW w:w="560" w:type="dxa"/>
            <w:vAlign w:val="bottom"/>
            <w:gridSpan w:val="2"/>
          </w:tcPr>
          <w:p>
            <w:pPr>
              <w:jc w:val="right"/>
              <w:ind w:right="154"/>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3"/>
          </w:tcPr>
          <w:p>
            <w:pPr>
              <w:jc w:val="right"/>
              <w:spacing w:after="0"/>
              <w:rPr>
                <w:sz w:val="20"/>
                <w:szCs w:val="20"/>
                <w:color w:val="auto"/>
              </w:rPr>
            </w:pPr>
            <w:r>
              <w:rPr>
                <w:rFonts w:ascii="Arial" w:cs="Arial" w:eastAsia="Arial" w:hAnsi="Arial"/>
                <w:sz w:val="17"/>
                <w:szCs w:val="17"/>
                <w:b w:val="1"/>
                <w:bCs w:val="1"/>
                <w:color w:val="auto"/>
              </w:rPr>
              <w:t>(0.91)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tcPr>
          <w:p>
            <w:pPr>
              <w:jc w:val="right"/>
              <w:spacing w:after="0"/>
              <w:rPr>
                <w:sz w:val="20"/>
                <w:szCs w:val="20"/>
                <w:color w:val="auto"/>
              </w:rPr>
            </w:pPr>
            <w:r>
              <w:rPr>
                <w:rFonts w:ascii="Arial" w:cs="Arial" w:eastAsia="Arial" w:hAnsi="Arial"/>
                <w:sz w:val="17"/>
                <w:szCs w:val="17"/>
                <w:b w:val="1"/>
                <w:bCs w:val="1"/>
                <w:color w:val="auto"/>
              </w:rPr>
              <w:t>(0.76)</w:t>
            </w:r>
          </w:p>
        </w:tc>
        <w:tc>
          <w:tcPr>
            <w:tcW w:w="4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From discontinued operations</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(0.01)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7"/>
                <w:szCs w:val="17"/>
                <w:color w:val="auto"/>
              </w:rPr>
              <w:t>Total diluted earnings per share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980" w:type="dxa"/>
            <w:vAlign w:val="bottom"/>
            <w:gridSpan w:val="3"/>
          </w:tcPr>
          <w:p>
            <w:pPr>
              <w:jc w:val="right"/>
              <w:spacing w:after="0"/>
              <w:rPr>
                <w:sz w:val="20"/>
                <w:szCs w:val="20"/>
                <w:color w:val="auto"/>
              </w:rPr>
            </w:pPr>
            <w:r>
              <w:rPr>
                <w:rFonts w:ascii="Arial" w:cs="Arial" w:eastAsia="Arial" w:hAnsi="Arial"/>
                <w:sz w:val="17"/>
                <w:szCs w:val="17"/>
                <w:b w:val="1"/>
                <w:bCs w:val="1"/>
                <w:color w:val="auto"/>
              </w:rPr>
              <w:t>(0.91)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tcPr>
          <w:p>
            <w:pPr>
              <w:jc w:val="right"/>
              <w:spacing w:after="0"/>
              <w:rPr>
                <w:sz w:val="20"/>
                <w:szCs w:val="20"/>
                <w:color w:val="auto"/>
              </w:rPr>
            </w:pPr>
            <w:r>
              <w:rPr>
                <w:rFonts w:ascii="Arial" w:cs="Arial" w:eastAsia="Arial" w:hAnsi="Arial"/>
                <w:sz w:val="17"/>
                <w:szCs w:val="17"/>
                <w:b w:val="1"/>
                <w:bCs w:val="1"/>
                <w:color w:val="auto"/>
              </w:rPr>
              <w:t>(0.77)</w:t>
            </w:r>
          </w:p>
        </w:tc>
        <w:tc>
          <w:tcPr>
            <w:tcW w:w="4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the three months ended September 30, 2023, due to the net loss from continuing operations attributable to NCR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9.2 million for the as-if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converted Series A Preferred Stock because their effect would have been anti-dilutive. Additionally, weighted average restricted stock units and stock options of 10.9 million were excluded from the diluted share count because their effect would have been anti-dilutive.</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three months ended September 30, 2022, shares related to the as-if converted Series A Convertible Preferred Stock of 9.2 million were excluded from the diluted share count because their effect would have been anti-dilutive. Additionally, weighted average restricted stock units and stock options of 9.0 million were excluded from the diluted share count because their effect would have been anti-dilutive.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the nine months ended September 30, 2023, due to the net loss from continuing operations attributable to NCR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9.2 million for the as-if converted Series A Preferred Stock because their effect would have been anti-dilutive. Additionally, for the nine months ended September 30, 2023, weighted average restricted stock units and stock options of 14.5 million were excluded from the diluted share count because their effect would have been anti-dilutive.</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the nine months ended September 30, 2022, shares related to the as-if converted Series A Convertible Preferred Stock of 9.2 million were excluded from the dilution share count because their effect would have anti-dilutive. Additionally, for the nine months ended September 30, 2022, weighted average restricted stock units and stock options of 6.2 million were excluded from the diluted share count because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4" w:name="page35"/>
    <w:bookmarkEnd w:id="34"/>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13. DERIVATIVES AND HEDGING INSTRUMENTS</w:t>
      </w:r>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exposed to certain risks arising from both our business operations and economic conditions. We principally manage exposures to a wide variety of business and operational risk through management of core business activities. We manage interest rate risk associated with our vault cash rental obligations and floating rate-debt by managing the amount, sources, and duration of debt funding and the use of derivative financial instruments. The Company uses interest rate cap agreements or interest rate swap contracts (“Interest Rate Derivatives”) to manage differences in the amount, timing and duration of known or expected cash payments related to our existing TLA Facility and vault cash agreements.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Further, a substantial portion of our operations and revenue occur outside the United States and, as such, the Company has exposure to approximately 45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assesses, both at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the Company discontinues hedge accounting prospectively.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accounting guidance for derivatives and hedging requires companies to recognize all derivative instruments as either assets or liabilities at fair value in the Condensed Consolidated Balance Sheets. The Company designates foreign exchange contracts as cash flow hedges of forecasted transactions when they are determined to be highly effective at inception.</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risk management strategy includes hedging, on behalf of certain subsidiaries, a portion of our forecasted, non-functional currency denominated cash flows for a period of up to 15 months. As a result, some of the impact of currency fluctuations on non-functional currency denominated transactions (and hence on subsidiary operating income, as stated in the functional currency), is mitigated in the near term. In the longer term (greater than 15 months), the subsidiaries are still subject to the effect of translating the functional currency results to United States Dollars. To manage our exposures and mitigate the impact of currency fluctuations on the operations of our foreign subsidiaries, we hedge our main transactional exposures through the use of foreign exchange forward and option contracts. This is primarily done through the hedging of foreign currency denominated inter-company inventory purchases by the Company’s marketing units and the foreign currency denominated inputs to our manufacturing units. If the hedge is designated as a highly effective cash flow hedge, the gains or losses are deferred into accumulated other comprehensive income (“AOCI”). The gains or losses from derivative contracts that are designated as highly effective cash flow hedges related to inventory purchases are recorded in cost of products when the inventory is sold to an unrelated third party. Otherwise, they are recorded in earnings when the exchange rates change. As of September 30, 2023 and December 31, 2022, the balance in AOCI related to foreign exchange derivative transactions was zero.</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also utilize foreign exchange contracts to hedge our exposure of assets and liabilities denominated in non-functional currencies. We recognize the gains and losses on these types of hedges in earnings as exchange rates change.</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Interest Rate Risk </w:t>
      </w:r>
      <w:r>
        <w:rPr>
          <w:rFonts w:ascii="Arial" w:cs="Arial" w:eastAsia="Arial" w:hAnsi="Arial"/>
          <w:sz w:val="17"/>
          <w:szCs w:val="17"/>
          <w:color w:val="auto"/>
        </w:rPr>
        <w:t>The Company designates Interest Rate Derivative contracts as cash flow hedges of forecasted transactions when they are determined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highly effective at inception.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utilize interest rate swap contracts or interest rate cap agreements to add stability to interest cost and to manage exposure to interest rate movements as part of our interest rate risk management strategy. Payments and receipts related to Interest Rate Derivatives are included in cash flows from operating activities in the Condensed Consolidated Statements of Cash Flows.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June 2022, the Company executed $2.4 billion aggregate notional amount interest rate swap contracts effective June 1, 2022 and terminating on April 1, 2025. These interest rate swap contracts had fixed rates ranging from 2.790% to 3.251%, and were designated as cash flow hedges of the floating rate interest associated with the Company’s U.S. Dollar and U.K. Pound Sterling vault cash agreements. On June 14, 2023, the Company terminated all open interest rate swap contracts for cash proceeds of $71 million. At the time of termination, based on the assessed “reasonably possible” probability of the future separation of Atleos from the Company, further discussed in Note 1, “Basis of Presentation and Summary of Significant Accounting Policies”, the net derivative-related gains associated with these swaps were deferred into Accumulated other comprehensive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income to be reclassified into earnings from Accumulated other comprehensive income through April 1, 2025, corresponding to the term of the original interest rate swap agreements.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14, 2023, the Company executed new $2.4 billion aggregate notional amount interest rate swap contracts effective June 14, 2023 and terminating on December 31, 2025. These interest rate swap contracts have fixed rates ranging from 4.2395% to 5.2740% and were designed to hedge the floating rate interest associated with the Company’s U.S. Dollar and U.K. Pound Sterling vault cash agreements. However, due to the assessed probability of the future separation of Atleos from the Company at the time of execution, the interest rate swap contracts did not qualify for cash flow hedge accounting treatment and are considered ineffective. As a result, changes in the fair value of the interest rate swaps are recorded to Cost of services in the accompanying Condensed Consolidated Statements of Operations. In the three and nine months ended September 30, 2023, the Company recognized a gain of $5 million and $19 million, respectively, in Cost of services related to the active interest rate swaps.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As of September 30, 2023, it was determined that the transactions underlying the unrealized gains on terminated interest rate swap and cap agreements reported in Accumulated other comprehensive income are probable of not occurring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such, for the three and nine months ended September 30, 2023, $85 million and $18 million of unrealized gains were recognized in Cost of services and Interest expense, respectively, on the Condensed Consolidated Statement of Operations. As of September 30, 2023 and December 31, 2022, the balance in AOCI related to Interest Rate Derivatives was zero and $109 million,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6" w:name="page37"/>
    <w:bookmarkEnd w:id="36"/>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information on the location and amounts of derivative fair values in the Condensed Consolidated Balance Sheets: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9"/>
              </w:rPr>
              <w:t>Fair Values of Derivative Instruments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1400"/>
              <w:spacing w:after="0"/>
              <w:rPr>
                <w:sz w:val="20"/>
                <w:szCs w:val="20"/>
                <w:color w:val="auto"/>
              </w:rPr>
            </w:pPr>
            <w:r>
              <w:rPr>
                <w:rFonts w:ascii="Arial" w:cs="Arial" w:eastAsia="Arial" w:hAnsi="Arial"/>
                <w:sz w:val="14"/>
                <w:szCs w:val="14"/>
                <w:b w:val="1"/>
                <w:bCs w:val="1"/>
                <w:color w:val="auto"/>
                <w:w w:val="88"/>
              </w:rPr>
              <w:t>September 30, 2023</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 Sheet</w:t>
            </w: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54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 Sheet</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4"/>
                <w:szCs w:val="14"/>
                <w:color w:val="auto"/>
              </w:rPr>
            </w:pPr>
          </w:p>
        </w:tc>
        <w:tc>
          <w:tcPr>
            <w:tcW w:w="52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Location</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Location</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5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7"/>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8"/>
              </w:rPr>
              <w:t>Derivatives not designated as hedging instruments</w:t>
            </w: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rPr>
              <w:t>Interest rate swap contracts</w:t>
            </w:r>
          </w:p>
        </w:tc>
        <w:tc>
          <w:tcPr>
            <w:tcW w:w="1920" w:type="dxa"/>
            <w:vAlign w:val="bottom"/>
            <w:gridSpan w:val="2"/>
          </w:tcPr>
          <w:p>
            <w:pPr>
              <w:ind w:left="20"/>
              <w:spacing w:after="0" w:line="169" w:lineRule="exact"/>
              <w:rPr>
                <w:sz w:val="20"/>
                <w:szCs w:val="20"/>
                <w:color w:val="auto"/>
              </w:rPr>
            </w:pPr>
            <w:r>
              <w:rPr>
                <w:rFonts w:ascii="Arial" w:cs="Arial" w:eastAsia="Arial" w:hAnsi="Arial"/>
                <w:sz w:val="17"/>
                <w:szCs w:val="17"/>
                <w:color w:val="auto"/>
                <w:w w:val="97"/>
              </w:rPr>
              <w:t>Prepaid and other current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Other current liabilities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ind w:left="2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 contracts</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b w:val="1"/>
                <w:bCs w:val="1"/>
                <w:color w:val="auto"/>
                <w:w w:val="96"/>
              </w:rPr>
              <w:t>(3)</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Total interest rate swap contracts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2,000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426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ind w:left="300"/>
              <w:spacing w:after="0"/>
              <w:rPr>
                <w:sz w:val="20"/>
                <w:szCs w:val="20"/>
                <w:color w:val="auto"/>
              </w:rPr>
            </w:pPr>
            <w:r>
              <w:rPr>
                <w:rFonts w:ascii="Arial" w:cs="Arial" w:eastAsia="Arial" w:hAnsi="Arial"/>
                <w:sz w:val="17"/>
                <w:szCs w:val="17"/>
                <w:b w:val="1"/>
                <w:bCs w:val="1"/>
                <w:color w:val="auto"/>
                <w:w w:val="96"/>
              </w:rPr>
              <w:t>(3)</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rPr>
              <w:t>Foreign exchange contracts</w:t>
            </w:r>
          </w:p>
        </w:tc>
        <w:tc>
          <w:tcPr>
            <w:tcW w:w="1920" w:type="dxa"/>
            <w:vAlign w:val="bottom"/>
            <w:gridSpan w:val="2"/>
          </w:tcPr>
          <w:p>
            <w:pPr>
              <w:ind w:left="20"/>
              <w:spacing w:after="0" w:line="169" w:lineRule="exact"/>
              <w:rPr>
                <w:sz w:val="20"/>
                <w:szCs w:val="20"/>
                <w:color w:val="auto"/>
              </w:rPr>
            </w:pPr>
            <w:r>
              <w:rPr>
                <w:rFonts w:ascii="Arial" w:cs="Arial" w:eastAsia="Arial" w:hAnsi="Arial"/>
                <w:sz w:val="17"/>
                <w:szCs w:val="17"/>
                <w:color w:val="auto"/>
                <w:w w:val="97"/>
              </w:rPr>
              <w:t>Prepaid and other current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current liabilities</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w w:val="96"/>
              </w:rPr>
              <w:t>(1)</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foreign exchange contracts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b w:val="1"/>
                <w:bCs w:val="1"/>
                <w:color w:val="auto"/>
                <w:w w:val="96"/>
              </w:rPr>
              <w:t>(1)</w:t>
            </w:r>
          </w:p>
        </w:tc>
        <w:tc>
          <w:tcPr>
            <w:tcW w:w="0" w:type="dxa"/>
            <w:vAlign w:val="bottom"/>
          </w:tcPr>
          <w:p>
            <w:pPr>
              <w:spacing w:after="0"/>
              <w:rPr>
                <w:sz w:val="1"/>
                <w:szCs w:val="1"/>
                <w:color w:val="auto"/>
              </w:rPr>
            </w:pPr>
          </w:p>
        </w:tc>
      </w:tr>
      <w:tr>
        <w:trPr>
          <w:trHeight w:val="149"/>
        </w:trPr>
        <w:tc>
          <w:tcPr>
            <w:tcW w:w="4120" w:type="dxa"/>
            <w:vAlign w:val="bottom"/>
          </w:tcPr>
          <w:p>
            <w:pPr>
              <w:ind w:left="20"/>
              <w:spacing w:after="0" w:line="149" w:lineRule="exact"/>
              <w:rPr>
                <w:sz w:val="20"/>
                <w:szCs w:val="20"/>
                <w:color w:val="auto"/>
              </w:rPr>
            </w:pPr>
            <w:r>
              <w:rPr>
                <w:rFonts w:ascii="Arial" w:cs="Arial" w:eastAsia="Arial" w:hAnsi="Arial"/>
                <w:sz w:val="17"/>
                <w:szCs w:val="17"/>
                <w:b w:val="1"/>
                <w:bCs w:val="1"/>
                <w:color w:val="auto"/>
              </w:rPr>
              <w:t>Total derivatives not designated as hedging</w:t>
            </w: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tcPr>
          <w:p>
            <w:pPr>
              <w:ind w:left="300"/>
              <w:spacing w:after="0"/>
              <w:rPr>
                <w:sz w:val="20"/>
                <w:szCs w:val="20"/>
                <w:color w:val="auto"/>
              </w:rPr>
            </w:pPr>
            <w:r>
              <w:rPr>
                <w:rFonts w:ascii="Arial" w:cs="Arial" w:eastAsia="Arial" w:hAnsi="Arial"/>
                <w:sz w:val="17"/>
                <w:szCs w:val="17"/>
                <w:b w:val="1"/>
                <w:bCs w:val="1"/>
                <w:color w:val="auto"/>
                <w:w w:val="96"/>
              </w:rPr>
              <w:t>(4)</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instruments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4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9"/>
              </w:rPr>
              <w:t>Fair Values of Derivative Instruments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1400"/>
              <w:spacing w:after="0"/>
              <w:rPr>
                <w:sz w:val="20"/>
                <w:szCs w:val="20"/>
                <w:color w:val="auto"/>
              </w:rPr>
            </w:pPr>
            <w:r>
              <w:rPr>
                <w:rFonts w:ascii="Arial" w:cs="Arial" w:eastAsia="Arial" w:hAnsi="Arial"/>
                <w:sz w:val="14"/>
                <w:szCs w:val="14"/>
                <w:b w:val="1"/>
                <w:bCs w:val="1"/>
                <w:color w:val="auto"/>
                <w:w w:val="88"/>
              </w:rPr>
              <w:t>December 31, 2022</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 Sheet</w:t>
            </w: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54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 Sheet</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4"/>
                <w:szCs w:val="14"/>
                <w:color w:val="auto"/>
              </w:rPr>
            </w:pPr>
          </w:p>
        </w:tc>
        <w:tc>
          <w:tcPr>
            <w:tcW w:w="52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Location</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Location</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5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7"/>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Derivatives designated as hedging instruments</w:t>
            </w: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rPr>
              <w:t>Interest rate swap contracts</w:t>
            </w:r>
          </w:p>
        </w:tc>
        <w:tc>
          <w:tcPr>
            <w:tcW w:w="1920" w:type="dxa"/>
            <w:vAlign w:val="bottom"/>
            <w:gridSpan w:val="2"/>
          </w:tcPr>
          <w:p>
            <w:pPr>
              <w:ind w:left="20"/>
              <w:spacing w:after="0" w:line="169" w:lineRule="exact"/>
              <w:rPr>
                <w:sz w:val="20"/>
                <w:szCs w:val="20"/>
                <w:color w:val="auto"/>
              </w:rPr>
            </w:pPr>
            <w:r>
              <w:rPr>
                <w:rFonts w:ascii="Arial" w:cs="Arial" w:eastAsia="Arial" w:hAnsi="Arial"/>
                <w:sz w:val="17"/>
                <w:szCs w:val="17"/>
                <w:color w:val="auto"/>
                <w:w w:val="97"/>
              </w:rPr>
              <w:t>Prepaid and other current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Other current liabilities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 contracts</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w w:val="95"/>
              </w:rPr>
              <w:t>Total derivatives designated as hedging instruments</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2,423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8"/>
              </w:rPr>
              <w:t>Derivatives not designated as hedging instruments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rPr>
              <w:t>Foreign exchange contracts</w:t>
            </w:r>
          </w:p>
        </w:tc>
        <w:tc>
          <w:tcPr>
            <w:tcW w:w="1920" w:type="dxa"/>
            <w:vAlign w:val="bottom"/>
            <w:gridSpan w:val="2"/>
          </w:tcPr>
          <w:p>
            <w:pPr>
              <w:ind w:left="20"/>
              <w:spacing w:after="0" w:line="169" w:lineRule="exact"/>
              <w:rPr>
                <w:sz w:val="20"/>
                <w:szCs w:val="20"/>
                <w:color w:val="auto"/>
              </w:rPr>
            </w:pPr>
            <w:r>
              <w:rPr>
                <w:rFonts w:ascii="Arial" w:cs="Arial" w:eastAsia="Arial" w:hAnsi="Arial"/>
                <w:sz w:val="17"/>
                <w:szCs w:val="17"/>
                <w:color w:val="auto"/>
                <w:w w:val="97"/>
              </w:rPr>
              <w:t>Prepaid and other current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current liabilities</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6"/>
              </w:rPr>
              <w:t>(2)</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Total derivatives not designated as hedging</w:t>
            </w: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instruments</w:t>
            </w: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96"/>
              </w:rPr>
              <w:t>(2)</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Total derivatives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6"/>
              </w:rPr>
              <w:t>(2)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7" w:name="page38"/>
    <w:bookmarkEnd w:id="37"/>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The effects of derivative instruments on the Condensed Consolidated Statements of Operations and Condensed Consolidated Statements of Comprehensive Income for the three and nine months ended September 30, 2023 and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center"/>
              <w:ind w:right="14"/>
              <w:spacing w:after="0"/>
              <w:rPr>
                <w:sz w:val="20"/>
                <w:szCs w:val="20"/>
                <w:color w:val="auto"/>
              </w:rPr>
            </w:pPr>
            <w:r>
              <w:rPr>
                <w:rFonts w:ascii="Arial" w:cs="Arial" w:eastAsia="Arial" w:hAnsi="Arial"/>
                <w:sz w:val="14"/>
                <w:szCs w:val="14"/>
                <w:b w:val="1"/>
                <w:bCs w:val="1"/>
                <w:color w:val="auto"/>
                <w:w w:val="89"/>
              </w:rPr>
              <w:t>Amount of Gain (Loss) Recognized in Other</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11"/>
          </w:tcPr>
          <w:p>
            <w:pPr>
              <w:jc w:val="center"/>
              <w:ind w:right="20"/>
              <w:spacing w:after="0"/>
              <w:rPr>
                <w:sz w:val="20"/>
                <w:szCs w:val="20"/>
                <w:color w:val="auto"/>
              </w:rPr>
            </w:pPr>
            <w:r>
              <w:rPr>
                <w:rFonts w:ascii="Arial" w:cs="Arial" w:eastAsia="Arial" w:hAnsi="Arial"/>
                <w:sz w:val="14"/>
                <w:szCs w:val="14"/>
                <w:b w:val="1"/>
                <w:bCs w:val="1"/>
                <w:color w:val="auto"/>
                <w:w w:val="89"/>
              </w:rPr>
              <w:t>Amount of (Gain) Loss Reclassified from</w:t>
            </w:r>
          </w:p>
        </w:tc>
        <w:tc>
          <w:tcPr>
            <w:tcW w:w="0" w:type="dxa"/>
            <w:vAlign w:val="bottom"/>
          </w:tcPr>
          <w:p>
            <w:pPr>
              <w:spacing w:after="0"/>
              <w:rPr>
                <w:sz w:val="1"/>
                <w:szCs w:val="1"/>
                <w:color w:val="auto"/>
              </w:rPr>
            </w:pPr>
          </w:p>
        </w:tc>
      </w:tr>
      <w:tr>
        <w:trPr>
          <w:trHeight w:val="133"/>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2740" w:type="dxa"/>
            <w:vAlign w:val="bottom"/>
            <w:gridSpan w:val="4"/>
          </w:tcPr>
          <w:p>
            <w:pPr>
              <w:jc w:val="center"/>
              <w:ind w:right="14"/>
              <w:spacing w:after="0" w:line="133" w:lineRule="exact"/>
              <w:rPr>
                <w:sz w:val="20"/>
                <w:szCs w:val="20"/>
                <w:color w:val="auto"/>
              </w:rPr>
            </w:pPr>
            <w:r>
              <w:rPr>
                <w:rFonts w:ascii="Arial" w:cs="Arial" w:eastAsia="Arial" w:hAnsi="Arial"/>
                <w:sz w:val="14"/>
                <w:szCs w:val="14"/>
                <w:b w:val="1"/>
                <w:bCs w:val="1"/>
                <w:color w:val="auto"/>
                <w:w w:val="90"/>
              </w:rPr>
              <w:t>Comprehensive Income (OCI) on Derivative</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60" w:type="dxa"/>
            <w:vAlign w:val="bottom"/>
            <w:gridSpan w:val="10"/>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AOCI into the Condensed Consolidated</w:t>
            </w:r>
          </w:p>
        </w:tc>
        <w:tc>
          <w:tcPr>
            <w:tcW w:w="0" w:type="dxa"/>
            <w:vAlign w:val="bottom"/>
          </w:tcPr>
          <w:p>
            <w:pPr>
              <w:spacing w:after="0"/>
              <w:rPr>
                <w:sz w:val="1"/>
                <w:szCs w:val="1"/>
                <w:color w:val="auto"/>
              </w:rPr>
            </w:pPr>
          </w:p>
        </w:tc>
      </w:tr>
      <w:tr>
        <w:trPr>
          <w:trHeight w:val="179"/>
        </w:trPr>
        <w:tc>
          <w:tcPr>
            <w:tcW w:w="2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88"/>
              </w:rPr>
              <w:t>Contracts</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Statement of Operations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380" w:type="dxa"/>
            <w:vAlign w:val="bottom"/>
            <w:gridSpan w:val="2"/>
          </w:tcPr>
          <w:p>
            <w:pPr>
              <w:spacing w:after="0"/>
              <w:rPr>
                <w:sz w:val="2"/>
                <w:szCs w:val="2"/>
                <w:color w:val="auto"/>
              </w:rPr>
            </w:pPr>
          </w:p>
        </w:tc>
        <w:tc>
          <w:tcPr>
            <w:tcW w:w="3020" w:type="dxa"/>
            <w:vAlign w:val="bottom"/>
            <w:gridSpan w:val="8"/>
            <w:vMerge w:val="restart"/>
          </w:tcPr>
          <w:p>
            <w:pPr>
              <w:jc w:val="center"/>
              <w:ind w:left="101"/>
              <w:spacing w:after="0"/>
              <w:rPr>
                <w:sz w:val="20"/>
                <w:szCs w:val="20"/>
                <w:color w:val="auto"/>
              </w:rPr>
            </w:pPr>
            <w:r>
              <w:rPr>
                <w:rFonts w:ascii="Arial" w:cs="Arial" w:eastAsia="Arial" w:hAnsi="Arial"/>
                <w:sz w:val="14"/>
                <w:szCs w:val="14"/>
                <w:b w:val="1"/>
                <w:bCs w:val="1"/>
                <w:color w:val="auto"/>
                <w:w w:val="89"/>
              </w:rPr>
              <w:t>Location of (Gain) Loss Reclassified from AOCI</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w:t>
            </w:r>
          </w:p>
        </w:tc>
        <w:tc>
          <w:tcPr>
            <w:tcW w:w="1460" w:type="dxa"/>
            <w:vAlign w:val="bottom"/>
            <w:tcBorders>
              <w:top w:val="single" w:sz="8" w:color="auto"/>
            </w:tcBorders>
            <w:gridSpan w:val="3"/>
          </w:tcPr>
          <w:p>
            <w:pPr>
              <w:jc w:val="center"/>
              <w:ind w:right="100"/>
              <w:spacing w:after="0" w:line="123" w:lineRule="exact"/>
              <w:rPr>
                <w:sz w:val="20"/>
                <w:szCs w:val="20"/>
                <w:color w:val="auto"/>
              </w:rPr>
            </w:pPr>
            <w:r>
              <w:rPr>
                <w:rFonts w:ascii="Arial" w:cs="Arial" w:eastAsia="Arial" w:hAnsi="Arial"/>
                <w:sz w:val="14"/>
                <w:szCs w:val="14"/>
                <w:b w:val="1"/>
                <w:bCs w:val="1"/>
                <w:color w:val="auto"/>
                <w:w w:val="88"/>
              </w:rPr>
              <w:t>For the three months</w:t>
            </w:r>
          </w:p>
        </w:tc>
        <w:tc>
          <w:tcPr>
            <w:tcW w:w="13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b w:val="1"/>
                <w:bCs w:val="1"/>
                <w:color w:val="auto"/>
                <w:w w:val="88"/>
              </w:rPr>
              <w:t>For the three months</w:t>
            </w:r>
          </w:p>
        </w:tc>
        <w:tc>
          <w:tcPr>
            <w:tcW w:w="3020" w:type="dxa"/>
            <w:vAlign w:val="bottom"/>
            <w:gridSpan w:val="8"/>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jc w:val="center"/>
              <w:ind w:right="300"/>
              <w:spacing w:after="0" w:line="123" w:lineRule="exact"/>
              <w:rPr>
                <w:sz w:val="20"/>
                <w:szCs w:val="20"/>
                <w:color w:val="auto"/>
              </w:rPr>
            </w:pPr>
            <w:r>
              <w:rPr>
                <w:rFonts w:ascii="Arial" w:cs="Arial" w:eastAsia="Arial" w:hAnsi="Arial"/>
                <w:sz w:val="14"/>
                <w:szCs w:val="14"/>
                <w:b w:val="1"/>
                <w:bCs w:val="1"/>
                <w:color w:val="auto"/>
                <w:w w:val="91"/>
              </w:rPr>
              <w:t>For the three</w:t>
            </w: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54"/>
              <w:spacing w:after="0" w:line="123" w:lineRule="exact"/>
              <w:rPr>
                <w:sz w:val="20"/>
                <w:szCs w:val="20"/>
                <w:color w:val="auto"/>
              </w:rPr>
            </w:pPr>
            <w:r>
              <w:rPr>
                <w:rFonts w:ascii="Arial" w:cs="Arial" w:eastAsia="Arial" w:hAnsi="Arial"/>
                <w:sz w:val="14"/>
                <w:szCs w:val="14"/>
                <w:b w:val="1"/>
                <w:bCs w:val="1"/>
                <w:color w:val="auto"/>
                <w:w w:val="88"/>
              </w:rPr>
              <w:t>For the three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80" w:type="dxa"/>
            <w:vAlign w:val="bottom"/>
            <w:vMerge w:val="continue"/>
          </w:tcPr>
          <w:p>
            <w:pPr>
              <w:spacing w:after="0"/>
              <w:rPr>
                <w:sz w:val="12"/>
                <w:szCs w:val="12"/>
                <w:color w:val="auto"/>
              </w:rPr>
            </w:pPr>
          </w:p>
        </w:tc>
        <w:tc>
          <w:tcPr>
            <w:tcW w:w="1460" w:type="dxa"/>
            <w:vAlign w:val="bottom"/>
            <w:gridSpan w:val="3"/>
          </w:tcPr>
          <w:p>
            <w:pPr>
              <w:jc w:val="right"/>
              <w:ind w:right="160"/>
              <w:spacing w:after="0" w:line="143" w:lineRule="exact"/>
              <w:rPr>
                <w:sz w:val="20"/>
                <w:szCs w:val="20"/>
                <w:color w:val="auto"/>
              </w:rPr>
            </w:pPr>
            <w:r>
              <w:rPr>
                <w:rFonts w:ascii="Arial" w:cs="Arial" w:eastAsia="Arial" w:hAnsi="Arial"/>
                <w:sz w:val="14"/>
                <w:szCs w:val="14"/>
                <w:b w:val="1"/>
                <w:bCs w:val="1"/>
                <w:color w:val="auto"/>
                <w:w w:val="90"/>
              </w:rPr>
              <w:t>ended September 30,</w:t>
            </w:r>
          </w:p>
        </w:tc>
        <w:tc>
          <w:tcPr>
            <w:tcW w:w="13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6"/>
              </w:rPr>
              <w:t>ended September 30,</w:t>
            </w:r>
          </w:p>
        </w:tc>
        <w:tc>
          <w:tcPr>
            <w:tcW w:w="3000" w:type="dxa"/>
            <w:vAlign w:val="bottom"/>
            <w:gridSpan w:val="7"/>
          </w:tcPr>
          <w:p>
            <w:pPr>
              <w:jc w:val="center"/>
              <w:ind w:left="121"/>
              <w:spacing w:after="0" w:line="143" w:lineRule="exact"/>
              <w:rPr>
                <w:sz w:val="20"/>
                <w:szCs w:val="20"/>
                <w:color w:val="auto"/>
              </w:rPr>
            </w:pPr>
            <w:r>
              <w:rPr>
                <w:rFonts w:ascii="Arial" w:cs="Arial" w:eastAsia="Arial" w:hAnsi="Arial"/>
                <w:sz w:val="14"/>
                <w:szCs w:val="14"/>
                <w:b w:val="1"/>
                <w:bCs w:val="1"/>
                <w:color w:val="auto"/>
                <w:w w:val="87"/>
              </w:rPr>
              <w:t>into the Condensed Consolidated Statement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tcPr>
          <w:p>
            <w:pPr>
              <w:jc w:val="center"/>
              <w:ind w:right="260"/>
              <w:spacing w:after="0" w:line="143" w:lineRule="exact"/>
              <w:rPr>
                <w:sz w:val="20"/>
                <w:szCs w:val="20"/>
                <w:color w:val="auto"/>
              </w:rPr>
            </w:pPr>
            <w:r>
              <w:rPr>
                <w:rFonts w:ascii="Arial" w:cs="Arial" w:eastAsia="Arial" w:hAnsi="Arial"/>
                <w:sz w:val="14"/>
                <w:szCs w:val="14"/>
                <w:b w:val="1"/>
                <w:bCs w:val="1"/>
                <w:color w:val="auto"/>
                <w:w w:val="85"/>
              </w:rPr>
              <w:t>months ended</w:t>
            </w:r>
          </w:p>
        </w:tc>
        <w:tc>
          <w:tcPr>
            <w:tcW w:w="120" w:type="dxa"/>
            <w:vAlign w:val="bottom"/>
          </w:tcPr>
          <w:p>
            <w:pPr>
              <w:spacing w:after="0"/>
              <w:rPr>
                <w:sz w:val="12"/>
                <w:szCs w:val="12"/>
                <w:color w:val="auto"/>
              </w:rPr>
            </w:pPr>
          </w:p>
        </w:tc>
        <w:tc>
          <w:tcPr>
            <w:tcW w:w="108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87"/>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Pr>
          <w:p>
            <w:pPr>
              <w:spacing w:after="0"/>
              <w:rPr>
                <w:sz w:val="16"/>
                <w:szCs w:val="16"/>
                <w:color w:val="auto"/>
              </w:rPr>
            </w:pPr>
          </w:p>
        </w:tc>
        <w:tc>
          <w:tcPr>
            <w:tcW w:w="126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94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left="466"/>
              <w:spacing w:after="0"/>
              <w:rPr>
                <w:sz w:val="20"/>
                <w:szCs w:val="20"/>
                <w:color w:val="auto"/>
              </w:rPr>
            </w:pPr>
            <w:r>
              <w:rPr>
                <w:rFonts w:ascii="Arial" w:cs="Arial" w:eastAsia="Arial" w:hAnsi="Arial"/>
                <w:sz w:val="14"/>
                <w:szCs w:val="14"/>
                <w:b w:val="1"/>
                <w:bCs w:val="1"/>
                <w:color w:val="auto"/>
                <w:w w:val="89"/>
              </w:rPr>
              <w:t>Operations</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7"/>
          </w:tcPr>
          <w:p>
            <w:pPr>
              <w:ind w:left="20"/>
              <w:spacing w:after="0"/>
              <w:rPr>
                <w:sz w:val="20"/>
                <w:szCs w:val="20"/>
                <w:color w:val="auto"/>
              </w:rPr>
            </w:pPr>
            <w:r>
              <w:rPr>
                <w:rFonts w:ascii="Arial" w:cs="Arial" w:eastAsia="Arial" w:hAnsi="Arial"/>
                <w:sz w:val="14"/>
                <w:szCs w:val="14"/>
                <w:b w:val="1"/>
                <w:bCs w:val="1"/>
                <w:color w:val="auto"/>
                <w:w w:val="97"/>
              </w:rPr>
              <w:t>September 30, 2023</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0"/>
              </w:rPr>
              <w:t>September 30, 2022</w:t>
            </w:r>
          </w:p>
        </w:tc>
        <w:tc>
          <w:tcPr>
            <w:tcW w:w="0" w:type="dxa"/>
            <w:vAlign w:val="bottom"/>
          </w:tcPr>
          <w:p>
            <w:pPr>
              <w:spacing w:after="0"/>
              <w:rPr>
                <w:sz w:val="1"/>
                <w:szCs w:val="1"/>
                <w:color w:val="auto"/>
              </w:rPr>
            </w:pPr>
          </w:p>
        </w:tc>
      </w:tr>
      <w:tr>
        <w:trPr>
          <w:trHeight w:val="228"/>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940" w:type="dxa"/>
            <w:vAlign w:val="bottom"/>
            <w:gridSpan w:val="6"/>
            <w:shd w:val="clear" w:color="auto" w:fill="CCEEFF"/>
          </w:tcPr>
          <w:p>
            <w:pPr>
              <w:ind w:left="120"/>
              <w:spacing w:after="0"/>
              <w:rPr>
                <w:sz w:val="20"/>
                <w:szCs w:val="20"/>
                <w:color w:val="auto"/>
              </w:rPr>
            </w:pPr>
            <w:r>
              <w:rPr>
                <w:rFonts w:ascii="Arial" w:cs="Arial" w:eastAsia="Arial" w:hAnsi="Arial"/>
                <w:sz w:val="17"/>
                <w:szCs w:val="17"/>
                <w:color w:val="auto"/>
              </w:rPr>
              <w:t>Cost of services</w:t>
            </w: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left="14"/>
              <w:spacing w:after="0"/>
              <w:rPr>
                <w:sz w:val="20"/>
                <w:szCs w:val="20"/>
                <w:color w:val="auto"/>
              </w:rPr>
            </w:pPr>
            <w:r>
              <w:rPr>
                <w:rFonts w:ascii="Arial" w:cs="Arial" w:eastAsia="Arial" w:hAnsi="Arial"/>
                <w:sz w:val="17"/>
                <w:szCs w:val="17"/>
                <w:color w:val="auto"/>
                <w:w w:val="96"/>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764"/>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gridSpan w:val="6"/>
          </w:tcPr>
          <w:p>
            <w:pPr>
              <w:ind w:left="120"/>
              <w:spacing w:after="0"/>
              <w:rPr>
                <w:sz w:val="20"/>
                <w:szCs w:val="20"/>
                <w:color w:val="auto"/>
              </w:rPr>
            </w:pPr>
            <w:r>
              <w:rPr>
                <w:rFonts w:ascii="Arial" w:cs="Arial" w:eastAsia="Arial" w:hAnsi="Arial"/>
                <w:sz w:val="17"/>
                <w:szCs w:val="17"/>
                <w:color w:val="auto"/>
              </w:rPr>
              <w:t>Interest expense</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3"/>
          </w:tcPr>
          <w:p>
            <w:pPr>
              <w:ind w:left="2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340" w:type="dxa"/>
            <w:vAlign w:val="bottom"/>
          </w:tcPr>
          <w:p>
            <w:pPr>
              <w:jc w:val="center"/>
              <w:ind w:left="14"/>
              <w:spacing w:after="0"/>
              <w:rPr>
                <w:sz w:val="20"/>
                <w:szCs w:val="20"/>
                <w:color w:val="auto"/>
              </w:rPr>
            </w:pPr>
            <w:r>
              <w:rPr>
                <w:rFonts w:ascii="Arial" w:cs="Arial" w:eastAsia="Arial" w:hAnsi="Arial"/>
                <w:sz w:val="17"/>
                <w:szCs w:val="17"/>
                <w:color w:val="auto"/>
                <w:w w:val="96"/>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vMerge w:val="restart"/>
          </w:tcPr>
          <w:p>
            <w:pPr>
              <w:jc w:val="center"/>
              <w:ind w:right="14"/>
              <w:spacing w:after="0"/>
              <w:rPr>
                <w:sz w:val="20"/>
                <w:szCs w:val="20"/>
                <w:color w:val="auto"/>
              </w:rPr>
            </w:pPr>
            <w:r>
              <w:rPr>
                <w:rFonts w:ascii="Arial" w:cs="Arial" w:eastAsia="Arial" w:hAnsi="Arial"/>
                <w:sz w:val="14"/>
                <w:szCs w:val="14"/>
                <w:b w:val="1"/>
                <w:bCs w:val="1"/>
                <w:color w:val="auto"/>
                <w:w w:val="89"/>
              </w:rPr>
              <w:t>Amount of Gain (Loss) Recognized in Other</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11"/>
          </w:tcPr>
          <w:p>
            <w:pPr>
              <w:jc w:val="center"/>
              <w:ind w:right="20"/>
              <w:spacing w:after="0"/>
              <w:rPr>
                <w:sz w:val="20"/>
                <w:szCs w:val="20"/>
                <w:color w:val="auto"/>
              </w:rPr>
            </w:pPr>
            <w:r>
              <w:rPr>
                <w:rFonts w:ascii="Arial" w:cs="Arial" w:eastAsia="Arial" w:hAnsi="Arial"/>
                <w:sz w:val="14"/>
                <w:szCs w:val="14"/>
                <w:b w:val="1"/>
                <w:bCs w:val="1"/>
                <w:color w:val="auto"/>
                <w:w w:val="89"/>
              </w:rPr>
              <w:t>Amount of (Gain) Loss Reclassified from</w:t>
            </w:r>
          </w:p>
        </w:tc>
        <w:tc>
          <w:tcPr>
            <w:tcW w:w="0" w:type="dxa"/>
            <w:vAlign w:val="bottom"/>
          </w:tcPr>
          <w:p>
            <w:pPr>
              <w:spacing w:after="0"/>
              <w:rPr>
                <w:sz w:val="1"/>
                <w:szCs w:val="1"/>
                <w:color w:val="auto"/>
              </w:rPr>
            </w:pPr>
          </w:p>
        </w:tc>
      </w:tr>
      <w:tr>
        <w:trPr>
          <w:trHeight w:val="143"/>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274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60" w:type="dxa"/>
            <w:vAlign w:val="bottom"/>
            <w:gridSpan w:val="10"/>
          </w:tcPr>
          <w:p>
            <w:pPr>
              <w:jc w:val="center"/>
              <w:ind w:right="80"/>
              <w:spacing w:after="0" w:line="143" w:lineRule="exact"/>
              <w:rPr>
                <w:sz w:val="20"/>
                <w:szCs w:val="20"/>
                <w:color w:val="auto"/>
              </w:rPr>
            </w:pPr>
            <w:r>
              <w:rPr>
                <w:rFonts w:ascii="Arial" w:cs="Arial" w:eastAsia="Arial" w:hAnsi="Arial"/>
                <w:sz w:val="14"/>
                <w:szCs w:val="14"/>
                <w:b w:val="1"/>
                <w:bCs w:val="1"/>
                <w:color w:val="auto"/>
                <w:w w:val="89"/>
              </w:rPr>
              <w:t>AOCI into the Condensed Consolidated</w:t>
            </w:r>
          </w:p>
        </w:tc>
        <w:tc>
          <w:tcPr>
            <w:tcW w:w="0" w:type="dxa"/>
            <w:vAlign w:val="bottom"/>
          </w:tcPr>
          <w:p>
            <w:pPr>
              <w:spacing w:after="0"/>
              <w:rPr>
                <w:sz w:val="1"/>
                <w:szCs w:val="1"/>
                <w:color w:val="auto"/>
              </w:rPr>
            </w:pPr>
          </w:p>
        </w:tc>
      </w:tr>
      <w:tr>
        <w:trPr>
          <w:trHeight w:val="187"/>
        </w:trPr>
        <w:tc>
          <w:tcPr>
            <w:tcW w:w="26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4"/>
                <w:szCs w:val="14"/>
                <w:b w:val="1"/>
                <w:bCs w:val="1"/>
                <w:color w:val="auto"/>
                <w:w w:val="90"/>
              </w:rPr>
              <w:t>Comprehensive Income (OCI) on Derivative</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Statement of Operations</w:t>
            </w:r>
          </w:p>
        </w:tc>
        <w:tc>
          <w:tcPr>
            <w:tcW w:w="3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w:t>
            </w:r>
          </w:p>
        </w:tc>
        <w:tc>
          <w:tcPr>
            <w:tcW w:w="146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For the nine months</w:t>
            </w:r>
          </w:p>
        </w:tc>
        <w:tc>
          <w:tcPr>
            <w:tcW w:w="13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For the nine months</w:t>
            </w:r>
          </w:p>
        </w:tc>
        <w:tc>
          <w:tcPr>
            <w:tcW w:w="3020" w:type="dxa"/>
            <w:vAlign w:val="bottom"/>
            <w:gridSpan w:val="8"/>
          </w:tcPr>
          <w:p>
            <w:pPr>
              <w:jc w:val="center"/>
              <w:ind w:left="101"/>
              <w:spacing w:after="0" w:line="130" w:lineRule="exact"/>
              <w:rPr>
                <w:sz w:val="20"/>
                <w:szCs w:val="20"/>
                <w:color w:val="auto"/>
              </w:rPr>
            </w:pPr>
            <w:r>
              <w:rPr>
                <w:rFonts w:ascii="Arial" w:cs="Arial" w:eastAsia="Arial" w:hAnsi="Arial"/>
                <w:sz w:val="14"/>
                <w:szCs w:val="14"/>
                <w:b w:val="1"/>
                <w:bCs w:val="1"/>
                <w:color w:val="auto"/>
                <w:w w:val="89"/>
              </w:rPr>
              <w:t>Location of (Gain) Loss Reclassified from AOCI</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jc w:val="center"/>
              <w:ind w:right="320"/>
              <w:spacing w:after="0" w:line="130" w:lineRule="exact"/>
              <w:rPr>
                <w:sz w:val="20"/>
                <w:szCs w:val="20"/>
                <w:color w:val="auto"/>
              </w:rPr>
            </w:pPr>
            <w:r>
              <w:rPr>
                <w:rFonts w:ascii="Arial" w:cs="Arial" w:eastAsia="Arial" w:hAnsi="Arial"/>
                <w:sz w:val="14"/>
                <w:szCs w:val="14"/>
                <w:b w:val="1"/>
                <w:bCs w:val="1"/>
                <w:color w:val="auto"/>
                <w:w w:val="89"/>
              </w:rPr>
              <w:t>For the nine</w:t>
            </w:r>
          </w:p>
        </w:tc>
        <w:tc>
          <w:tcPr>
            <w:tcW w:w="120" w:type="dxa"/>
            <w:vAlign w:val="bottom"/>
          </w:tcPr>
          <w:p>
            <w:pPr>
              <w:spacing w:after="0"/>
              <w:rPr>
                <w:sz w:val="11"/>
                <w:szCs w:val="11"/>
                <w:color w:val="auto"/>
              </w:rPr>
            </w:pPr>
          </w:p>
        </w:tc>
        <w:tc>
          <w:tcPr>
            <w:tcW w:w="1060" w:type="dxa"/>
            <w:vAlign w:val="bottom"/>
            <w:gridSpan w:val="2"/>
          </w:tcPr>
          <w:p>
            <w:pPr>
              <w:jc w:val="center"/>
              <w:ind w:right="54"/>
              <w:spacing w:after="0" w:line="130" w:lineRule="exact"/>
              <w:rPr>
                <w:sz w:val="20"/>
                <w:szCs w:val="20"/>
                <w:color w:val="auto"/>
              </w:rPr>
            </w:pPr>
            <w:r>
              <w:rPr>
                <w:rFonts w:ascii="Arial" w:cs="Arial" w:eastAsia="Arial" w:hAnsi="Arial"/>
                <w:sz w:val="14"/>
                <w:szCs w:val="14"/>
                <w:b w:val="1"/>
                <w:bCs w:val="1"/>
                <w:color w:val="auto"/>
                <w:w w:val="89"/>
              </w:rPr>
              <w:t>For the nine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80" w:type="dxa"/>
            <w:vAlign w:val="bottom"/>
            <w:vMerge w:val="continue"/>
          </w:tcPr>
          <w:p>
            <w:pPr>
              <w:spacing w:after="0"/>
              <w:rPr>
                <w:sz w:val="12"/>
                <w:szCs w:val="12"/>
                <w:color w:val="auto"/>
              </w:rPr>
            </w:pPr>
          </w:p>
        </w:tc>
        <w:tc>
          <w:tcPr>
            <w:tcW w:w="1460" w:type="dxa"/>
            <w:vAlign w:val="bottom"/>
            <w:gridSpan w:val="3"/>
          </w:tcPr>
          <w:p>
            <w:pPr>
              <w:jc w:val="right"/>
              <w:ind w:right="160"/>
              <w:spacing w:after="0" w:line="143" w:lineRule="exact"/>
              <w:rPr>
                <w:sz w:val="20"/>
                <w:szCs w:val="20"/>
                <w:color w:val="auto"/>
              </w:rPr>
            </w:pPr>
            <w:r>
              <w:rPr>
                <w:rFonts w:ascii="Arial" w:cs="Arial" w:eastAsia="Arial" w:hAnsi="Arial"/>
                <w:sz w:val="14"/>
                <w:szCs w:val="14"/>
                <w:b w:val="1"/>
                <w:bCs w:val="1"/>
                <w:color w:val="auto"/>
                <w:w w:val="90"/>
              </w:rPr>
              <w:t>ended September 30,</w:t>
            </w:r>
          </w:p>
        </w:tc>
        <w:tc>
          <w:tcPr>
            <w:tcW w:w="13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6"/>
              </w:rPr>
              <w:t>ended September 30,</w:t>
            </w:r>
          </w:p>
        </w:tc>
        <w:tc>
          <w:tcPr>
            <w:tcW w:w="3000" w:type="dxa"/>
            <w:vAlign w:val="bottom"/>
            <w:gridSpan w:val="7"/>
          </w:tcPr>
          <w:p>
            <w:pPr>
              <w:jc w:val="center"/>
              <w:ind w:left="121"/>
              <w:spacing w:after="0" w:line="143" w:lineRule="exact"/>
              <w:rPr>
                <w:sz w:val="20"/>
                <w:szCs w:val="20"/>
                <w:color w:val="auto"/>
              </w:rPr>
            </w:pPr>
            <w:r>
              <w:rPr>
                <w:rFonts w:ascii="Arial" w:cs="Arial" w:eastAsia="Arial" w:hAnsi="Arial"/>
                <w:sz w:val="14"/>
                <w:szCs w:val="14"/>
                <w:b w:val="1"/>
                <w:bCs w:val="1"/>
                <w:color w:val="auto"/>
                <w:w w:val="87"/>
              </w:rPr>
              <w:t>into the Condensed Consolidated Statement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tcPr>
          <w:p>
            <w:pPr>
              <w:jc w:val="center"/>
              <w:ind w:right="260"/>
              <w:spacing w:after="0" w:line="143" w:lineRule="exact"/>
              <w:rPr>
                <w:sz w:val="20"/>
                <w:szCs w:val="20"/>
                <w:color w:val="auto"/>
              </w:rPr>
            </w:pPr>
            <w:r>
              <w:rPr>
                <w:rFonts w:ascii="Arial" w:cs="Arial" w:eastAsia="Arial" w:hAnsi="Arial"/>
                <w:sz w:val="14"/>
                <w:szCs w:val="14"/>
                <w:b w:val="1"/>
                <w:bCs w:val="1"/>
                <w:color w:val="auto"/>
                <w:w w:val="85"/>
              </w:rPr>
              <w:t>months ended</w:t>
            </w:r>
          </w:p>
        </w:tc>
        <w:tc>
          <w:tcPr>
            <w:tcW w:w="120" w:type="dxa"/>
            <w:vAlign w:val="bottom"/>
          </w:tcPr>
          <w:p>
            <w:pPr>
              <w:spacing w:after="0"/>
              <w:rPr>
                <w:sz w:val="12"/>
                <w:szCs w:val="12"/>
                <w:color w:val="auto"/>
              </w:rPr>
            </w:pPr>
          </w:p>
        </w:tc>
        <w:tc>
          <w:tcPr>
            <w:tcW w:w="108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87"/>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Pr>
          <w:p>
            <w:pPr>
              <w:spacing w:after="0"/>
              <w:rPr>
                <w:sz w:val="16"/>
                <w:szCs w:val="16"/>
                <w:color w:val="auto"/>
              </w:rPr>
            </w:pPr>
          </w:p>
        </w:tc>
        <w:tc>
          <w:tcPr>
            <w:tcW w:w="126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94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left="466"/>
              <w:spacing w:after="0"/>
              <w:rPr>
                <w:sz w:val="20"/>
                <w:szCs w:val="20"/>
                <w:color w:val="auto"/>
              </w:rPr>
            </w:pPr>
            <w:r>
              <w:rPr>
                <w:rFonts w:ascii="Arial" w:cs="Arial" w:eastAsia="Arial" w:hAnsi="Arial"/>
                <w:sz w:val="14"/>
                <w:szCs w:val="14"/>
                <w:b w:val="1"/>
                <w:bCs w:val="1"/>
                <w:color w:val="auto"/>
                <w:w w:val="89"/>
              </w:rPr>
              <w:t>Operations</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7"/>
          </w:tcPr>
          <w:p>
            <w:pPr>
              <w:ind w:left="20"/>
              <w:spacing w:after="0"/>
              <w:rPr>
                <w:sz w:val="20"/>
                <w:szCs w:val="20"/>
                <w:color w:val="auto"/>
              </w:rPr>
            </w:pPr>
            <w:r>
              <w:rPr>
                <w:rFonts w:ascii="Arial" w:cs="Arial" w:eastAsia="Arial" w:hAnsi="Arial"/>
                <w:sz w:val="14"/>
                <w:szCs w:val="14"/>
                <w:b w:val="1"/>
                <w:bCs w:val="1"/>
                <w:color w:val="auto"/>
                <w:w w:val="97"/>
              </w:rPr>
              <w:t>September 30, 2023</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0"/>
              </w:rPr>
              <w:t>September 30, 2022</w:t>
            </w:r>
          </w:p>
        </w:tc>
        <w:tc>
          <w:tcPr>
            <w:tcW w:w="0" w:type="dxa"/>
            <w:vAlign w:val="bottom"/>
          </w:tcPr>
          <w:p>
            <w:pPr>
              <w:spacing w:after="0"/>
              <w:rPr>
                <w:sz w:val="1"/>
                <w:szCs w:val="1"/>
                <w:color w:val="auto"/>
              </w:rPr>
            </w:pPr>
          </w:p>
        </w:tc>
      </w:tr>
      <w:tr>
        <w:trPr>
          <w:trHeight w:val="220"/>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contracts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64"/>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940" w:type="dxa"/>
            <w:vAlign w:val="bottom"/>
            <w:tcBorders>
              <w:top w:val="single" w:sz="8" w:color="CCEEFF"/>
            </w:tcBorders>
            <w:gridSpan w:val="6"/>
            <w:shd w:val="clear" w:color="auto" w:fill="CCEEFF"/>
          </w:tcPr>
          <w:p>
            <w:pPr>
              <w:ind w:left="120"/>
              <w:spacing w:after="0"/>
              <w:rPr>
                <w:sz w:val="20"/>
                <w:szCs w:val="20"/>
                <w:color w:val="auto"/>
              </w:rPr>
            </w:pPr>
            <w:r>
              <w:rPr>
                <w:rFonts w:ascii="Arial" w:cs="Arial" w:eastAsia="Arial" w:hAnsi="Arial"/>
                <w:sz w:val="17"/>
                <w:szCs w:val="17"/>
                <w:color w:val="auto"/>
              </w:rPr>
              <w:t>Cost of services</w:t>
            </w:r>
          </w:p>
        </w:tc>
        <w:tc>
          <w:tcPr>
            <w:tcW w:w="10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764"/>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36</w:t>
            </w:r>
          </w:p>
        </w:tc>
        <w:tc>
          <w:tcPr>
            <w:tcW w:w="1940" w:type="dxa"/>
            <w:vAlign w:val="bottom"/>
            <w:gridSpan w:val="6"/>
          </w:tcPr>
          <w:p>
            <w:pPr>
              <w:ind w:left="120"/>
              <w:spacing w:after="0"/>
              <w:rPr>
                <w:sz w:val="20"/>
                <w:szCs w:val="20"/>
                <w:color w:val="auto"/>
              </w:rPr>
            </w:pPr>
            <w:r>
              <w:rPr>
                <w:rFonts w:ascii="Arial" w:cs="Arial" w:eastAsia="Arial" w:hAnsi="Arial"/>
                <w:sz w:val="17"/>
                <w:szCs w:val="17"/>
                <w:color w:val="auto"/>
              </w:rPr>
              <w:t>Interest expense</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3"/>
          </w:tcPr>
          <w:p>
            <w:pPr>
              <w:ind w:left="2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340" w:type="dxa"/>
            <w:vAlign w:val="bottom"/>
          </w:tcPr>
          <w:p>
            <w:pPr>
              <w:jc w:val="center"/>
              <w:ind w:left="14"/>
              <w:spacing w:after="0"/>
              <w:rPr>
                <w:sz w:val="20"/>
                <w:szCs w:val="20"/>
                <w:color w:val="auto"/>
              </w:rPr>
            </w:pPr>
            <w:r>
              <w:rPr>
                <w:rFonts w:ascii="Arial" w:cs="Arial" w:eastAsia="Arial" w:hAnsi="Arial"/>
                <w:sz w:val="17"/>
                <w:szCs w:val="17"/>
                <w:color w:val="auto"/>
                <w:w w:val="96"/>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17"/>
          </w:tcPr>
          <w:p>
            <w:pPr>
              <w:jc w:val="center"/>
              <w:ind w:right="160"/>
              <w:spacing w:after="0"/>
              <w:rPr>
                <w:sz w:val="20"/>
                <w:szCs w:val="20"/>
                <w:color w:val="auto"/>
              </w:rPr>
            </w:pPr>
            <w:r>
              <w:rPr>
                <w:rFonts w:ascii="Arial" w:cs="Arial" w:eastAsia="Arial" w:hAnsi="Arial"/>
                <w:sz w:val="14"/>
                <w:szCs w:val="14"/>
                <w:b w:val="1"/>
                <w:bCs w:val="1"/>
                <w:color w:val="auto"/>
                <w:w w:val="87"/>
              </w:rPr>
              <w:t>Amount of Gain (Loss) Recognized in the Condensed Consolidated Statement of</w:t>
            </w:r>
          </w:p>
        </w:tc>
        <w:tc>
          <w:tcPr>
            <w:tcW w:w="0" w:type="dxa"/>
            <w:vAlign w:val="bottom"/>
          </w:tcPr>
          <w:p>
            <w:pPr>
              <w:spacing w:after="0"/>
              <w:rPr>
                <w:sz w:val="1"/>
                <w:szCs w:val="1"/>
                <w:color w:val="auto"/>
              </w:rPr>
            </w:pPr>
          </w:p>
        </w:tc>
      </w:tr>
      <w:tr>
        <w:trPr>
          <w:trHeight w:val="185"/>
        </w:trPr>
        <w:tc>
          <w:tcPr>
            <w:tcW w:w="2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7"/>
          </w:tcPr>
          <w:p>
            <w:pPr>
              <w:jc w:val="center"/>
              <w:ind w:left="748"/>
              <w:spacing w:after="0"/>
              <w:rPr>
                <w:sz w:val="20"/>
                <w:szCs w:val="20"/>
                <w:color w:val="auto"/>
              </w:rPr>
            </w:pPr>
            <w:r>
              <w:rPr>
                <w:rFonts w:ascii="Arial" w:cs="Arial" w:eastAsia="Arial" w:hAnsi="Arial"/>
                <w:sz w:val="14"/>
                <w:szCs w:val="14"/>
                <w:b w:val="1"/>
                <w:bCs w:val="1"/>
                <w:color w:val="auto"/>
                <w:w w:val="89"/>
              </w:rPr>
              <w:t>Operations</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20"/>
        </w:trPr>
        <w:tc>
          <w:tcPr>
            <w:tcW w:w="2680" w:type="dxa"/>
            <w:vAlign w:val="bottom"/>
          </w:tcPr>
          <w:p>
            <w:pPr>
              <w:ind w:left="20"/>
              <w:spacing w:after="0" w:line="120" w:lineRule="exact"/>
              <w:rPr>
                <w:sz w:val="20"/>
                <w:szCs w:val="20"/>
                <w:color w:val="auto"/>
              </w:rPr>
            </w:pPr>
            <w:r>
              <w:rPr>
                <w:rFonts w:ascii="Arial" w:cs="Arial" w:eastAsia="Arial" w:hAnsi="Arial"/>
                <w:sz w:val="13"/>
                <w:szCs w:val="13"/>
                <w:b w:val="1"/>
                <w:bCs w:val="1"/>
                <w:color w:val="auto"/>
              </w:rPr>
              <w:t>Derivatives not Designated as Hedging</w:t>
            </w:r>
          </w:p>
        </w:tc>
        <w:tc>
          <w:tcPr>
            <w:tcW w:w="100" w:type="dxa"/>
            <w:vAlign w:val="bottom"/>
          </w:tcPr>
          <w:p>
            <w:pPr>
              <w:spacing w:after="0"/>
              <w:rPr>
                <w:sz w:val="10"/>
                <w:szCs w:val="10"/>
                <w:color w:val="auto"/>
              </w:rPr>
            </w:pPr>
          </w:p>
        </w:tc>
        <w:tc>
          <w:tcPr>
            <w:tcW w:w="3320" w:type="dxa"/>
            <w:vAlign w:val="bottom"/>
            <w:gridSpan w:val="6"/>
          </w:tcPr>
          <w:p>
            <w:pPr>
              <w:jc w:val="center"/>
              <w:ind w:right="40"/>
              <w:spacing w:after="0" w:line="120" w:lineRule="exact"/>
              <w:rPr>
                <w:sz w:val="20"/>
                <w:szCs w:val="20"/>
                <w:color w:val="auto"/>
              </w:rPr>
            </w:pPr>
            <w:r>
              <w:rPr>
                <w:rFonts w:ascii="Arial" w:cs="Arial" w:eastAsia="Arial" w:hAnsi="Arial"/>
                <w:sz w:val="13"/>
                <w:szCs w:val="13"/>
                <w:b w:val="1"/>
                <w:bCs w:val="1"/>
                <w:color w:val="auto"/>
                <w:w w:val="95"/>
              </w:rPr>
              <w:t>Location of Gain (Loss) Recognized in the</w:t>
            </w:r>
          </w:p>
        </w:tc>
        <w:tc>
          <w:tcPr>
            <w:tcW w:w="160" w:type="dxa"/>
            <w:vAlign w:val="bottom"/>
          </w:tcPr>
          <w:p>
            <w:pPr>
              <w:spacing w:after="0"/>
              <w:rPr>
                <w:sz w:val="10"/>
                <w:szCs w:val="10"/>
                <w:color w:val="auto"/>
              </w:rPr>
            </w:pPr>
          </w:p>
        </w:tc>
        <w:tc>
          <w:tcPr>
            <w:tcW w:w="1040" w:type="dxa"/>
            <w:vAlign w:val="bottom"/>
            <w:vMerge w:val="restart"/>
          </w:tcPr>
          <w:p>
            <w:pPr>
              <w:jc w:val="right"/>
              <w:ind w:right="38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gridSpan w:val="6"/>
          </w:tcPr>
          <w:p>
            <w:pPr>
              <w:jc w:val="center"/>
              <w:ind w:right="60"/>
              <w:spacing w:after="0"/>
              <w:rPr>
                <w:sz w:val="20"/>
                <w:szCs w:val="20"/>
                <w:color w:val="auto"/>
              </w:rPr>
            </w:pPr>
            <w:r>
              <w:rPr>
                <w:rFonts w:ascii="Arial" w:cs="Arial" w:eastAsia="Arial" w:hAnsi="Arial"/>
                <w:sz w:val="14"/>
                <w:szCs w:val="14"/>
                <w:b w:val="1"/>
                <w:bCs w:val="1"/>
                <w:color w:val="auto"/>
                <w:w w:val="87"/>
              </w:rPr>
              <w:t>Condensed Consolidated Statement of Operations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0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6"/>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(11)</w:t>
            </w:r>
          </w:p>
        </w:tc>
        <w:tc>
          <w:tcPr>
            <w:tcW w:w="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6"/>
        </w:trPr>
        <w:tc>
          <w:tcPr>
            <w:tcW w:w="268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10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7"/>
                <w:szCs w:val="17"/>
                <w:color w:val="auto"/>
              </w:rPr>
              <w:t>Cost of services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3"/>
          </w:tcPr>
          <w:p>
            <w:pPr>
              <w:ind w:left="60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ind w:right="908"/>
              <w:spacing w:after="0"/>
              <w:rPr>
                <w:sz w:val="20"/>
                <w:szCs w:val="20"/>
                <w:color w:val="auto"/>
              </w:rPr>
            </w:pPr>
            <w:r>
              <w:rPr>
                <w:rFonts w:ascii="Arial" w:cs="Arial" w:eastAsia="Arial" w:hAnsi="Arial"/>
                <w:sz w:val="15"/>
                <w:szCs w:val="15"/>
                <w:color w:val="auto"/>
                <w:w w:val="71"/>
              </w:rPr>
              <w:t>$</w:t>
            </w:r>
          </w:p>
        </w:tc>
        <w:tc>
          <w:tcPr>
            <w:tcW w:w="360" w:type="dxa"/>
            <w:vAlign w:val="bottom"/>
            <w:gridSpan w:val="4"/>
          </w:tcPr>
          <w:p>
            <w:pPr>
              <w:ind w:left="2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19</w:t>
            </w:r>
          </w:p>
        </w:tc>
        <w:tc>
          <w:tcPr>
            <w:tcW w:w="20" w:type="dxa"/>
            <w:vAlign w:val="bottom"/>
          </w:tcPr>
          <w:p>
            <w:pPr>
              <w:spacing w:after="0"/>
              <w:rPr>
                <w:sz w:val="19"/>
                <w:szCs w:val="19"/>
                <w:color w:val="auto"/>
              </w:rPr>
            </w:pPr>
          </w:p>
        </w:tc>
        <w:tc>
          <w:tcPr>
            <w:tcW w:w="8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8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tables show the impact of the Company’s cash flow hedge accounting relationships on the Condensed Consolidated Statement of Operations for the three and nine months ended September 30, 2023 and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4080" w:type="dxa"/>
            <w:vAlign w:val="bottom"/>
            <w:gridSpan w:val="10"/>
          </w:tcPr>
          <w:p>
            <w:pPr>
              <w:ind w:left="40"/>
              <w:spacing w:after="0"/>
              <w:rPr>
                <w:sz w:val="20"/>
                <w:szCs w:val="20"/>
                <w:color w:val="auto"/>
              </w:rPr>
            </w:pPr>
            <w:r>
              <w:rPr>
                <w:rFonts w:ascii="Arial" w:cs="Arial" w:eastAsia="Arial" w:hAnsi="Arial"/>
                <w:sz w:val="14"/>
                <w:szCs w:val="14"/>
                <w:b w:val="1"/>
                <w:bCs w:val="1"/>
                <w:color w:val="auto"/>
                <w:w w:val="88"/>
              </w:rPr>
              <w:t>Location and Amount of (Gain) Loss Recognized in Income on Cash</w:t>
            </w:r>
          </w:p>
        </w:tc>
        <w:tc>
          <w:tcPr>
            <w:tcW w:w="0" w:type="dxa"/>
            <w:vAlign w:val="bottom"/>
          </w:tcPr>
          <w:p>
            <w:pPr>
              <w:spacing w:after="0"/>
              <w:rPr>
                <w:sz w:val="1"/>
                <w:szCs w:val="1"/>
                <w:color w:val="auto"/>
              </w:rPr>
            </w:pPr>
          </w:p>
        </w:tc>
      </w:tr>
      <w:tr>
        <w:trPr>
          <w:trHeight w:val="139"/>
        </w:trPr>
        <w:tc>
          <w:tcPr>
            <w:tcW w:w="7160" w:type="dxa"/>
            <w:vAlign w:val="bottom"/>
          </w:tcPr>
          <w:p>
            <w:pPr>
              <w:spacing w:after="0"/>
              <w:rPr>
                <w:sz w:val="12"/>
                <w:szCs w:val="12"/>
                <w:color w:val="auto"/>
              </w:rPr>
            </w:pPr>
          </w:p>
        </w:tc>
        <w:tc>
          <w:tcPr>
            <w:tcW w:w="4080" w:type="dxa"/>
            <w:vAlign w:val="bottom"/>
            <w:gridSpan w:val="10"/>
          </w:tcPr>
          <w:p>
            <w:pPr>
              <w:jc w:val="right"/>
              <w:spacing w:after="0" w:line="139" w:lineRule="exact"/>
              <w:rPr>
                <w:sz w:val="20"/>
                <w:szCs w:val="20"/>
                <w:color w:val="auto"/>
              </w:rPr>
            </w:pPr>
            <w:r>
              <w:rPr>
                <w:rFonts w:ascii="Arial" w:cs="Arial" w:eastAsia="Arial" w:hAnsi="Arial"/>
                <w:sz w:val="14"/>
                <w:szCs w:val="14"/>
                <w:b w:val="1"/>
                <w:bCs w:val="1"/>
                <w:color w:val="auto"/>
                <w:w w:val="89"/>
              </w:rPr>
              <w:t>Flow Hedging Relationships for the three months ended September</w:t>
            </w:r>
          </w:p>
        </w:tc>
        <w:tc>
          <w:tcPr>
            <w:tcW w:w="0" w:type="dxa"/>
            <w:vAlign w:val="bottom"/>
          </w:tcPr>
          <w:p>
            <w:pPr>
              <w:spacing w:after="0"/>
              <w:rPr>
                <w:sz w:val="1"/>
                <w:szCs w:val="1"/>
                <w:color w:val="auto"/>
              </w:rPr>
            </w:pPr>
          </w:p>
        </w:tc>
      </w:tr>
      <w:tr>
        <w:trPr>
          <w:trHeight w:val="187"/>
        </w:trPr>
        <w:tc>
          <w:tcPr>
            <w:tcW w:w="7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8"/>
              </w:rPr>
              <w:t>30:</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rPr>
              <w:t>Cost of Services</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87"/>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720" w:type="dxa"/>
            <w:vAlign w:val="bottom"/>
          </w:tcPr>
          <w:p>
            <w:pPr>
              <w:jc w:val="right"/>
              <w:ind w:right="245"/>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760" w:type="dxa"/>
            <w:vAlign w:val="bottom"/>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6"/>
        </w:trPr>
        <w:tc>
          <w:tcPr>
            <w:tcW w:w="71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4"/>
              </w:rPr>
              <w:t>Total amount of expense presented in the Condensed Consolidated Statements of Operations in which the</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925</w:t>
            </w: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4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cash flow hedges are recorded</w:t>
            </w:r>
          </w:p>
        </w:tc>
        <w:tc>
          <w:tcPr>
            <w:tcW w:w="2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0" w:type="dxa"/>
            <w:vAlign w:val="bottom"/>
            <w:gridSpan w:val="3"/>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7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of (gain) loss reclassified from Accumulated other comprehensive loss, net of expense</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347" w:lineRule="exact"/>
        <w:rPr>
          <w:sz w:val="20"/>
          <w:szCs w:val="20"/>
          <w:color w:val="auto"/>
        </w:rPr>
      </w:pPr>
    </w:p>
    <w:p>
      <w:pPr>
        <w:jc w:val="center"/>
        <w:ind w:left="7140"/>
        <w:spacing w:after="0"/>
        <w:rPr>
          <w:sz w:val="20"/>
          <w:szCs w:val="20"/>
          <w:color w:val="auto"/>
        </w:rPr>
      </w:pPr>
      <w:r>
        <w:rPr>
          <w:rFonts w:ascii="Arial" w:cs="Arial" w:eastAsia="Arial" w:hAnsi="Arial"/>
          <w:sz w:val="12"/>
          <w:szCs w:val="12"/>
          <w:b w:val="1"/>
          <w:bCs w:val="1"/>
          <w:color w:val="auto"/>
        </w:rPr>
        <w:t>Location and Amount of (Gain) Loss Recognized in Income on Cash</w:t>
      </w:r>
    </w:p>
    <w:p>
      <w:pPr>
        <w:spacing w:after="0" w:line="8" w:lineRule="exact"/>
        <w:rPr>
          <w:sz w:val="20"/>
          <w:szCs w:val="20"/>
          <w:color w:val="auto"/>
        </w:rPr>
      </w:pPr>
    </w:p>
    <w:p>
      <w:pPr>
        <w:jc w:val="center"/>
        <w:ind w:left="7140"/>
        <w:spacing w:after="0"/>
        <w:rPr>
          <w:sz w:val="20"/>
          <w:szCs w:val="20"/>
          <w:color w:val="auto"/>
        </w:rPr>
      </w:pPr>
      <w:r>
        <w:rPr>
          <w:rFonts w:ascii="Arial" w:cs="Arial" w:eastAsia="Arial" w:hAnsi="Arial"/>
          <w:sz w:val="12"/>
          <w:szCs w:val="12"/>
          <w:b w:val="1"/>
          <w:bCs w:val="1"/>
          <w:color w:val="auto"/>
        </w:rPr>
        <w:t>Flow Hedging Relationships for the nine months ended September</w:t>
      </w:r>
    </w:p>
    <w:p>
      <w:pPr>
        <w:spacing w:after="0" w:line="5"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Cost of Services</w:t>
            </w: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87"/>
        </w:trPr>
        <w:tc>
          <w:tcPr>
            <w:tcW w:w="7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6"/>
        </w:trPr>
        <w:tc>
          <w:tcPr>
            <w:tcW w:w="71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4"/>
              </w:rPr>
              <w:t>Total amount of expense presented in the Condensed Consolidated Statements of Operations in which the</w:t>
            </w: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2,864</w:t>
            </w: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2,902</w:t>
            </w:r>
          </w:p>
        </w:tc>
        <w:tc>
          <w:tcPr>
            <w:tcW w:w="1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vMerge w:val="restart"/>
            <w:shd w:val="clear" w:color="auto" w:fill="CCEEFF"/>
          </w:tcPr>
          <w:p>
            <w:pPr>
              <w:ind w:left="460"/>
              <w:spacing w:after="0"/>
              <w:rPr>
                <w:sz w:val="20"/>
                <w:szCs w:val="20"/>
                <w:color w:val="auto"/>
              </w:rPr>
            </w:pPr>
            <w:r>
              <w:rPr>
                <w:rFonts w:ascii="Arial" w:cs="Arial" w:eastAsia="Arial" w:hAnsi="Arial"/>
                <w:sz w:val="16"/>
                <w:szCs w:val="16"/>
                <w:b w:val="1"/>
                <w:bCs w:val="1"/>
                <w:color w:val="auto"/>
              </w:rPr>
              <w:t>259</w:t>
            </w: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cash flow hedges are recorded</w:t>
            </w:r>
          </w:p>
        </w:tc>
        <w:tc>
          <w:tcPr>
            <w:tcW w:w="2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7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of (gain) loss reclassified from Accumulated other comprehensive loss, net of expense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w w:val="91"/>
              </w:rPr>
              <w:t>(31)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14, “Fair Value of Assets and Liabilities”, for further information on derivative assets and liabilities recorded at fair value on a recurring basis.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Condensed Consolidated Balance Sheets. Exposure to credit risk is managed through credit approvals, credit limits,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September 30, 2023 and December 31, 2022, we did not have any major concentration of credit risk related to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14. FAIR VALUE OF ASSETS AND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recorded at fair value on a recurring basis as of September 30, 2023 and December 31, 2022 are set forth as follows: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6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w w:val="94"/>
              </w:rPr>
              <w:t>September 30, 2023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center"/>
              <w:ind w:left="203"/>
              <w:spacing w:after="0" w:line="126" w:lineRule="exact"/>
              <w:rPr>
                <w:sz w:val="20"/>
                <w:szCs w:val="20"/>
                <w:color w:val="auto"/>
              </w:rPr>
            </w:pPr>
            <w:r>
              <w:rPr>
                <w:rFonts w:ascii="Arial" w:cs="Arial" w:eastAsia="Arial" w:hAnsi="Arial"/>
                <w:sz w:val="14"/>
                <w:szCs w:val="14"/>
                <w:b w:val="1"/>
                <w:bCs w:val="1"/>
                <w:color w:val="auto"/>
                <w:w w:val="89"/>
              </w:rPr>
              <w:t>Quoted Prices in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vMerge w:val="restart"/>
          </w:tcPr>
          <w:p>
            <w:pPr>
              <w:jc w:val="center"/>
              <w:ind w:left="242"/>
              <w:spacing w:after="0"/>
              <w:rPr>
                <w:sz w:val="20"/>
                <w:szCs w:val="20"/>
                <w:color w:val="auto"/>
              </w:rPr>
            </w:pPr>
            <w:r>
              <w:rPr>
                <w:rFonts w:ascii="Arial" w:cs="Arial" w:eastAsia="Arial" w:hAnsi="Arial"/>
                <w:sz w:val="14"/>
                <w:szCs w:val="14"/>
                <w:b w:val="1"/>
                <w:bCs w:val="1"/>
                <w:color w:val="auto"/>
                <w:w w:val="90"/>
              </w:rPr>
              <w:t>Significant Other</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03"/>
              <w:spacing w:after="0" w:line="139" w:lineRule="exact"/>
              <w:rPr>
                <w:sz w:val="20"/>
                <w:szCs w:val="20"/>
                <w:color w:val="auto"/>
              </w:rPr>
            </w:pPr>
            <w:r>
              <w:rPr>
                <w:rFonts w:ascii="Arial" w:cs="Arial" w:eastAsia="Arial" w:hAnsi="Arial"/>
                <w:sz w:val="14"/>
                <w:szCs w:val="14"/>
                <w:b w:val="1"/>
                <w:bCs w:val="1"/>
                <w:color w:val="auto"/>
                <w:w w:val="92"/>
              </w:rPr>
              <w:t>Active Markets for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03"/>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left="242"/>
              <w:spacing w:after="0" w:line="143" w:lineRule="exact"/>
              <w:rPr>
                <w:sz w:val="20"/>
                <w:szCs w:val="20"/>
                <w:color w:val="auto"/>
              </w:rPr>
            </w:pPr>
            <w:r>
              <w:rPr>
                <w:rFonts w:ascii="Arial" w:cs="Arial" w:eastAsia="Arial" w:hAnsi="Arial"/>
                <w:sz w:val="14"/>
                <w:szCs w:val="14"/>
                <w:b w:val="1"/>
                <w:bCs w:val="1"/>
                <w:color w:val="auto"/>
                <w:w w:val="90"/>
              </w:rPr>
              <w:t>Observable Inputs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19"/>
              <w:spacing w:after="0" w:line="143" w:lineRule="exact"/>
              <w:rPr>
                <w:sz w:val="20"/>
                <w:szCs w:val="20"/>
                <w:color w:val="auto"/>
              </w:rPr>
            </w:pPr>
            <w:r>
              <w:rPr>
                <w:rFonts w:ascii="Arial" w:cs="Arial" w:eastAsia="Arial" w:hAnsi="Arial"/>
                <w:sz w:val="14"/>
                <w:szCs w:val="14"/>
                <w:b w:val="1"/>
                <w:bCs w:val="1"/>
                <w:color w:val="auto"/>
                <w:w w:val="88"/>
              </w:rPr>
              <w:t>Unobservable Inputs</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b w:val="1"/>
                <w:bCs w:val="1"/>
                <w:color w:val="auto"/>
                <w:w w:val="91"/>
              </w:rPr>
              <w:t>(Level 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ind w:left="262"/>
              <w:spacing w:after="0"/>
              <w:rPr>
                <w:sz w:val="20"/>
                <w:szCs w:val="20"/>
                <w:color w:val="auto"/>
              </w:rPr>
            </w:pPr>
            <w:r>
              <w:rPr>
                <w:rFonts w:ascii="Arial" w:cs="Arial" w:eastAsia="Arial" w:hAnsi="Arial"/>
                <w:sz w:val="14"/>
                <w:szCs w:val="14"/>
                <w:b w:val="1"/>
                <w:bCs w:val="1"/>
                <w:color w:val="auto"/>
                <w:w w:val="91"/>
              </w:rPr>
              <w:t>(Level 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Deposits held in money market mutual funds </w:t>
            </w:r>
            <w:r>
              <w:rPr>
                <w:rFonts w:ascii="Arial" w:cs="Arial" w:eastAsia="Arial" w:hAnsi="Arial"/>
                <w:sz w:val="22"/>
                <w:szCs w:val="22"/>
                <w:color w:val="auto"/>
                <w:vertAlign w:val="superscript"/>
              </w:rPr>
              <w:t>(1)</w:t>
            </w:r>
          </w:p>
        </w:tc>
        <w:tc>
          <w:tcPr>
            <w:tcW w:w="860" w:type="dxa"/>
            <w:vAlign w:val="bottom"/>
          </w:tcPr>
          <w:p>
            <w:pPr>
              <w:jc w:val="right"/>
              <w:ind w:right="657"/>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1480" w:type="dxa"/>
            <w:vAlign w:val="bottom"/>
          </w:tcPr>
          <w:p>
            <w:pPr>
              <w:jc w:val="right"/>
              <w:ind w:right="1303"/>
              <w:spacing w:after="0"/>
              <w:rPr>
                <w:sz w:val="20"/>
                <w:szCs w:val="20"/>
                <w:color w:val="auto"/>
              </w:rPr>
            </w:pPr>
            <w:r>
              <w:rPr>
                <w:rFonts w:ascii="Arial" w:cs="Arial" w:eastAsia="Arial" w:hAnsi="Arial"/>
                <w:sz w:val="17"/>
                <w:szCs w:val="17"/>
                <w:b w:val="1"/>
                <w:bCs w:val="1"/>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1580" w:type="dxa"/>
            <w:vAlign w:val="bottom"/>
          </w:tcPr>
          <w:p>
            <w:pPr>
              <w:jc w:val="right"/>
              <w:ind w:right="1402"/>
              <w:spacing w:after="0"/>
              <w:rPr>
                <w:sz w:val="20"/>
                <w:szCs w:val="20"/>
                <w:color w:val="auto"/>
              </w:rPr>
            </w:pPr>
            <w:r>
              <w:rPr>
                <w:rFonts w:ascii="Arial" w:cs="Arial" w:eastAsia="Arial" w:hAnsi="Arial"/>
                <w:sz w:val="17"/>
                <w:szCs w:val="17"/>
                <w:b w:val="1"/>
                <w:bCs w:val="1"/>
                <w:color w:val="auto"/>
                <w:w w:val="84"/>
              </w:rPr>
              <w:t>$</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Pr>
          <w:p>
            <w:pPr>
              <w:ind w:left="1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Foreign exchange contracts </w:t>
            </w:r>
            <w:r>
              <w:rPr>
                <w:rFonts w:ascii="Arial" w:cs="Arial" w:eastAsia="Arial" w:hAnsi="Arial"/>
                <w:sz w:val="22"/>
                <w:szCs w:val="22"/>
                <w:color w:val="auto"/>
                <w:vertAlign w:val="superscript"/>
              </w:rPr>
              <w:t>(2)</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ind w:left="1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Interest rate swap agreements </w:t>
            </w:r>
            <w:r>
              <w:rPr>
                <w:rFonts w:ascii="Arial" w:cs="Arial" w:eastAsia="Arial" w:hAnsi="Arial"/>
                <w:sz w:val="22"/>
                <w:szCs w:val="22"/>
                <w:color w:val="auto"/>
                <w:vertAlign w:val="superscript"/>
              </w:rPr>
              <w:t>(3)</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ind w:left="1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8"/>
        </w:trPr>
        <w:tc>
          <w:tcPr>
            <w:tcW w:w="42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w:t>
            </w: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303"/>
              <w:spacing w:after="0"/>
              <w:rPr>
                <w:sz w:val="20"/>
                <w:szCs w:val="20"/>
                <w:color w:val="auto"/>
              </w:rPr>
            </w:pPr>
            <w:r>
              <w:rPr>
                <w:rFonts w:ascii="Arial" w:cs="Arial" w:eastAsia="Arial" w:hAnsi="Arial"/>
                <w:sz w:val="17"/>
                <w:szCs w:val="17"/>
                <w:b w:val="1"/>
                <w:bCs w:val="1"/>
                <w:color w:val="auto"/>
                <w:w w:val="84"/>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ind w:right="1402"/>
              <w:spacing w:after="0"/>
              <w:rPr>
                <w:sz w:val="20"/>
                <w:szCs w:val="20"/>
                <w:color w:val="auto"/>
              </w:rPr>
            </w:pPr>
            <w:r>
              <w:rPr>
                <w:rFonts w:ascii="Arial" w:cs="Arial" w:eastAsia="Arial" w:hAnsi="Arial"/>
                <w:sz w:val="17"/>
                <w:szCs w:val="17"/>
                <w:b w:val="1"/>
                <w:bCs w:val="1"/>
                <w:color w:val="auto"/>
                <w:w w:val="8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Interest rate swap agreements </w:t>
            </w:r>
            <w:r>
              <w:rPr>
                <w:rFonts w:ascii="Arial" w:cs="Arial" w:eastAsia="Arial" w:hAnsi="Arial"/>
                <w:sz w:val="22"/>
                <w:szCs w:val="22"/>
                <w:color w:val="auto"/>
                <w:vertAlign w:val="superscript"/>
              </w:rPr>
              <w:t>(4)</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3"/>
              <w:spacing w:after="0"/>
              <w:rPr>
                <w:sz w:val="20"/>
                <w:szCs w:val="20"/>
                <w:color w:val="auto"/>
              </w:rPr>
            </w:pPr>
            <w:r>
              <w:rPr>
                <w:rFonts w:ascii="Arial" w:cs="Arial" w:eastAsia="Arial" w:hAnsi="Arial"/>
                <w:sz w:val="17"/>
                <w:szCs w:val="17"/>
                <w:b w:val="1"/>
                <w:bCs w:val="1"/>
                <w:color w:val="auto"/>
                <w:w w:val="84"/>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jc w:val="right"/>
              <w:ind w:right="1402"/>
              <w:spacing w:after="0"/>
              <w:rPr>
                <w:sz w:val="20"/>
                <w:szCs w:val="20"/>
                <w:color w:val="auto"/>
              </w:rPr>
            </w:pPr>
            <w:r>
              <w:rPr>
                <w:rFonts w:ascii="Arial" w:cs="Arial" w:eastAsia="Arial" w:hAnsi="Arial"/>
                <w:sz w:val="17"/>
                <w:szCs w:val="17"/>
                <w:b w:val="1"/>
                <w:bCs w:val="1"/>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ind w:left="1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Foreign exchange contracts </w:t>
            </w:r>
            <w:r>
              <w:rPr>
                <w:rFonts w:ascii="Arial" w:cs="Arial" w:eastAsia="Arial" w:hAnsi="Arial"/>
                <w:sz w:val="22"/>
                <w:szCs w:val="22"/>
                <w:color w:val="auto"/>
                <w:vertAlign w:val="superscript"/>
              </w:rPr>
              <w:t>(5)</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ind w:left="1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8"/>
        </w:trPr>
        <w:tc>
          <w:tcPr>
            <w:tcW w:w="42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w:t>
            </w: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303"/>
              <w:spacing w:after="0"/>
              <w:rPr>
                <w:sz w:val="20"/>
                <w:szCs w:val="20"/>
                <w:color w:val="auto"/>
              </w:rPr>
            </w:pPr>
            <w:r>
              <w:rPr>
                <w:rFonts w:ascii="Arial" w:cs="Arial" w:eastAsia="Arial" w:hAnsi="Arial"/>
                <w:sz w:val="17"/>
                <w:szCs w:val="17"/>
                <w:b w:val="1"/>
                <w:bCs w:val="1"/>
                <w:color w:val="auto"/>
                <w:w w:val="84"/>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ind w:right="1402"/>
              <w:spacing w:after="0"/>
              <w:rPr>
                <w:sz w:val="20"/>
                <w:szCs w:val="20"/>
                <w:color w:val="auto"/>
              </w:rPr>
            </w:pPr>
            <w:r>
              <w:rPr>
                <w:rFonts w:ascii="Arial" w:cs="Arial" w:eastAsia="Arial" w:hAnsi="Arial"/>
                <w:sz w:val="17"/>
                <w:szCs w:val="17"/>
                <w:b w:val="1"/>
                <w:bCs w:val="1"/>
                <w:color w:val="auto"/>
                <w:w w:val="8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6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w w:val="96"/>
              </w:rPr>
              <w:t>December 31, 2022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4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center"/>
              <w:ind w:left="203"/>
              <w:spacing w:after="0" w:line="123" w:lineRule="exact"/>
              <w:rPr>
                <w:sz w:val="20"/>
                <w:szCs w:val="20"/>
                <w:color w:val="auto"/>
              </w:rPr>
            </w:pPr>
            <w:r>
              <w:rPr>
                <w:rFonts w:ascii="Arial" w:cs="Arial" w:eastAsia="Arial" w:hAnsi="Arial"/>
                <w:sz w:val="14"/>
                <w:szCs w:val="14"/>
                <w:b w:val="1"/>
                <w:bCs w:val="1"/>
                <w:color w:val="auto"/>
                <w:w w:val="89"/>
              </w:rPr>
              <w:t>Quoted Prices in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vMerge w:val="restart"/>
          </w:tcPr>
          <w:p>
            <w:pPr>
              <w:jc w:val="center"/>
              <w:ind w:left="242"/>
              <w:spacing w:after="0"/>
              <w:rPr>
                <w:sz w:val="20"/>
                <w:szCs w:val="20"/>
                <w:color w:val="auto"/>
              </w:rPr>
            </w:pPr>
            <w:r>
              <w:rPr>
                <w:rFonts w:ascii="Arial" w:cs="Arial" w:eastAsia="Arial" w:hAnsi="Arial"/>
                <w:sz w:val="14"/>
                <w:szCs w:val="14"/>
                <w:b w:val="1"/>
                <w:bCs w:val="1"/>
                <w:color w:val="auto"/>
                <w:w w:val="90"/>
              </w:rPr>
              <w:t>Significant Other</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3"/>
        </w:trPr>
        <w:tc>
          <w:tcPr>
            <w:tcW w:w="4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03"/>
              <w:spacing w:after="0" w:line="143" w:lineRule="exact"/>
              <w:rPr>
                <w:sz w:val="20"/>
                <w:szCs w:val="20"/>
                <w:color w:val="auto"/>
              </w:rPr>
            </w:pPr>
            <w:r>
              <w:rPr>
                <w:rFonts w:ascii="Arial" w:cs="Arial" w:eastAsia="Arial" w:hAnsi="Arial"/>
                <w:sz w:val="14"/>
                <w:szCs w:val="14"/>
                <w:b w:val="1"/>
                <w:bCs w:val="1"/>
                <w:color w:val="auto"/>
                <w:w w:val="92"/>
              </w:rPr>
              <w:t>Active Markets for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ind w:left="203"/>
              <w:spacing w:after="0" w:line="133" w:lineRule="exact"/>
              <w:rPr>
                <w:sz w:val="20"/>
                <w:szCs w:val="20"/>
                <w:color w:val="auto"/>
              </w:rPr>
            </w:pPr>
            <w:r>
              <w:rPr>
                <w:rFonts w:ascii="Arial" w:cs="Arial" w:eastAsia="Arial" w:hAnsi="Arial"/>
                <w:sz w:val="14"/>
                <w:szCs w:val="14"/>
                <w:b w:val="1"/>
                <w:bCs w:val="1"/>
                <w:color w:val="auto"/>
                <w:w w:val="86"/>
              </w:rPr>
              <w:t>Identical Assets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ind w:left="242"/>
              <w:spacing w:after="0" w:line="133" w:lineRule="exact"/>
              <w:rPr>
                <w:sz w:val="20"/>
                <w:szCs w:val="20"/>
                <w:color w:val="auto"/>
              </w:rPr>
            </w:pPr>
            <w:r>
              <w:rPr>
                <w:rFonts w:ascii="Arial" w:cs="Arial" w:eastAsia="Arial" w:hAnsi="Arial"/>
                <w:sz w:val="14"/>
                <w:szCs w:val="14"/>
                <w:b w:val="1"/>
                <w:bCs w:val="1"/>
                <w:color w:val="auto"/>
                <w:w w:val="90"/>
              </w:rPr>
              <w:t>Observable Inputs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88"/>
              </w:rPr>
              <w:t>Unobservable Inputs</w:t>
            </w:r>
          </w:p>
        </w:tc>
        <w:tc>
          <w:tcPr>
            <w:tcW w:w="0" w:type="dxa"/>
            <w:vAlign w:val="bottom"/>
          </w:tcPr>
          <w:p>
            <w:pPr>
              <w:spacing w:after="0"/>
              <w:rPr>
                <w:sz w:val="1"/>
                <w:szCs w:val="1"/>
                <w:color w:val="auto"/>
              </w:rPr>
            </w:pPr>
          </w:p>
        </w:tc>
      </w:tr>
      <w:tr>
        <w:trPr>
          <w:trHeight w:val="179"/>
        </w:trPr>
        <w:tc>
          <w:tcPr>
            <w:tcW w:w="4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ind w:left="203"/>
              <w:spacing w:after="0"/>
              <w:rPr>
                <w:sz w:val="20"/>
                <w:szCs w:val="20"/>
                <w:color w:val="auto"/>
              </w:rPr>
            </w:pPr>
            <w:r>
              <w:rPr>
                <w:rFonts w:ascii="Arial" w:cs="Arial" w:eastAsia="Arial" w:hAnsi="Arial"/>
                <w:sz w:val="14"/>
                <w:szCs w:val="14"/>
                <w:b w:val="1"/>
                <w:bCs w:val="1"/>
                <w:color w:val="auto"/>
                <w:w w:val="91"/>
              </w:rPr>
              <w:t>(Level 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(Level 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center"/>
              <w:ind w:right="119"/>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5"/>
        </w:trPr>
        <w:tc>
          <w:tcPr>
            <w:tcW w:w="4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Deposits held in money market mutual funds </w:t>
            </w:r>
            <w:r>
              <w:rPr>
                <w:rFonts w:ascii="Arial" w:cs="Arial" w:eastAsia="Arial" w:hAnsi="Arial"/>
                <w:sz w:val="22"/>
                <w:szCs w:val="22"/>
                <w:color w:val="auto"/>
                <w:vertAlign w:val="superscript"/>
              </w:rPr>
              <w:t>(1)</w:t>
            </w:r>
          </w:p>
        </w:tc>
        <w:tc>
          <w:tcPr>
            <w:tcW w:w="860" w:type="dxa"/>
            <w:vAlign w:val="bottom"/>
          </w:tcPr>
          <w:p>
            <w:pPr>
              <w:jc w:val="right"/>
              <w:ind w:right="657"/>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480" w:type="dxa"/>
            <w:vAlign w:val="bottom"/>
          </w:tcPr>
          <w:p>
            <w:pPr>
              <w:jc w:val="right"/>
              <w:ind w:right="1303"/>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4"/>
              </w:rPr>
              <w:t>16</w:t>
            </w:r>
          </w:p>
        </w:tc>
        <w:tc>
          <w:tcPr>
            <w:tcW w:w="100" w:type="dxa"/>
            <w:vAlign w:val="bottom"/>
          </w:tcPr>
          <w:p>
            <w:pPr>
              <w:spacing w:after="0"/>
              <w:rPr>
                <w:sz w:val="19"/>
                <w:szCs w:val="19"/>
                <w:color w:val="auto"/>
              </w:rPr>
            </w:pPr>
          </w:p>
        </w:tc>
        <w:tc>
          <w:tcPr>
            <w:tcW w:w="1580" w:type="dxa"/>
            <w:vAlign w:val="bottom"/>
          </w:tcPr>
          <w:p>
            <w:pPr>
              <w:jc w:val="right"/>
              <w:ind w:right="1402"/>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Foreign exchange contracts </w:t>
            </w:r>
            <w:r>
              <w:rPr>
                <w:rFonts w:ascii="Arial" w:cs="Arial" w:eastAsia="Arial" w:hAnsi="Arial"/>
                <w:sz w:val="22"/>
                <w:szCs w:val="22"/>
                <w:color w:val="auto"/>
                <w:vertAlign w:val="superscript"/>
              </w:rPr>
              <w:t>(2)</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Interest rate swap and cap agreements </w:t>
            </w:r>
            <w:r>
              <w:rPr>
                <w:rFonts w:ascii="Arial" w:cs="Arial" w:eastAsia="Arial" w:hAnsi="Arial"/>
                <w:sz w:val="22"/>
                <w:szCs w:val="22"/>
                <w:color w:val="auto"/>
                <w:vertAlign w:val="superscript"/>
              </w:rPr>
              <w:t>(3)</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2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w:t>
            </w: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303"/>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ind w:right="1402"/>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Foreign exchange contracts </w:t>
            </w:r>
            <w:r>
              <w:rPr>
                <w:rFonts w:ascii="Arial" w:cs="Arial" w:eastAsia="Arial" w:hAnsi="Arial"/>
                <w:sz w:val="22"/>
                <w:szCs w:val="22"/>
                <w:color w:val="auto"/>
                <w:vertAlign w:val="superscript"/>
              </w:rPr>
              <w:t>(5)</w:t>
            </w: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280" w:type="dxa"/>
            <w:vAlign w:val="bottom"/>
          </w:tcPr>
          <w:p>
            <w:pPr>
              <w:ind w:left="320"/>
              <w:spacing w:after="0"/>
              <w:rPr>
                <w:sz w:val="20"/>
                <w:szCs w:val="20"/>
                <w:color w:val="auto"/>
              </w:rPr>
            </w:pPr>
            <w:r>
              <w:rPr>
                <w:rFonts w:ascii="Arial" w:cs="Arial" w:eastAsia="Arial" w:hAnsi="Arial"/>
                <w:sz w:val="17"/>
                <w:szCs w:val="17"/>
                <w:b w:val="1"/>
                <w:bCs w:val="1"/>
                <w:color w:val="auto"/>
              </w:rPr>
              <w:t>Total</w:t>
            </w:r>
          </w:p>
        </w:tc>
        <w:tc>
          <w:tcPr>
            <w:tcW w:w="860" w:type="dxa"/>
            <w:vAlign w:val="bottom"/>
          </w:tcPr>
          <w:p>
            <w:pPr>
              <w:jc w:val="right"/>
              <w:ind w:right="657"/>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480" w:type="dxa"/>
            <w:vAlign w:val="bottom"/>
          </w:tcPr>
          <w:p>
            <w:pPr>
              <w:jc w:val="right"/>
              <w:ind w:right="1303"/>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402"/>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280" w:hanging="276"/>
        <w:spacing w:after="0"/>
        <w:tabs>
          <w:tab w:leader="none" w:pos="28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Included in Cash and cash equivalents in the Condensed Consolidated Balance Sheets.</w:t>
      </w:r>
    </w:p>
    <w:p>
      <w:pPr>
        <w:spacing w:after="0" w:line="9" w:lineRule="exact"/>
        <w:rPr>
          <w:rFonts w:ascii="Arial" w:cs="Arial" w:eastAsia="Arial" w:hAnsi="Arial"/>
          <w:sz w:val="20"/>
          <w:szCs w:val="20"/>
          <w:color w:val="auto"/>
          <w:vertAlign w:val="superscript"/>
        </w:rPr>
      </w:pPr>
    </w:p>
    <w:p>
      <w:pPr>
        <w:ind w:left="280" w:hanging="276"/>
        <w:spacing w:after="0" w:line="189" w:lineRule="auto"/>
        <w:tabs>
          <w:tab w:leader="none" w:pos="28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Included in Prepaid and other current assets in the Condensed Consolidated Balance Sheets.</w:t>
      </w:r>
    </w:p>
    <w:p>
      <w:pPr>
        <w:ind w:left="280" w:hanging="276"/>
        <w:spacing w:after="0" w:line="189" w:lineRule="auto"/>
        <w:tabs>
          <w:tab w:leader="none" w:pos="28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Included in Prepaid and other current assets and Other assets in the Condensed Consolidated Balance Sheets.</w:t>
      </w:r>
    </w:p>
    <w:p>
      <w:pPr>
        <w:ind w:left="280" w:hanging="276"/>
        <w:spacing w:after="0" w:line="192" w:lineRule="auto"/>
        <w:tabs>
          <w:tab w:leader="none" w:pos="28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Included in Other liabilities in the Condensed Consolidated Balance Sheets.</w:t>
      </w:r>
    </w:p>
    <w:p>
      <w:pPr>
        <w:spacing w:after="0" w:line="10" w:lineRule="exact"/>
        <w:rPr>
          <w:rFonts w:ascii="Arial" w:cs="Arial" w:eastAsia="Arial" w:hAnsi="Arial"/>
          <w:sz w:val="20"/>
          <w:szCs w:val="20"/>
          <w:color w:val="auto"/>
          <w:vertAlign w:val="superscript"/>
        </w:rPr>
      </w:pPr>
    </w:p>
    <w:p>
      <w:pPr>
        <w:ind w:left="280" w:hanging="276"/>
        <w:spacing w:after="0" w:line="192" w:lineRule="auto"/>
        <w:tabs>
          <w:tab w:leader="none" w:pos="28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Included in Other current liabilities in the Condensed Consolidated Balance Sheets.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Deposits Held in Money Market Mutual Funds </w:t>
      </w:r>
      <w:r>
        <w:rPr>
          <w:rFonts w:ascii="Arial" w:cs="Arial" w:eastAsia="Arial" w:hAnsi="Arial"/>
          <w:sz w:val="17"/>
          <w:szCs w:val="17"/>
          <w:color w:val="auto"/>
        </w:rPr>
        <w:t>A portion of the Company’s excess cash is held in money market mutual funds that generate interest income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prevailing market rates. Money market mutual fund holdings are measured at fair value using quoted market prices and are classified within Level 1 of the valuation hierarchy.</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Foreign Exchange Contracts </w:t>
      </w:r>
      <w:r>
        <w:rPr>
          <w:rFonts w:ascii="Arial" w:cs="Arial" w:eastAsia="Arial" w:hAnsi="Arial"/>
          <w:sz w:val="16"/>
          <w:szCs w:val="16"/>
          <w:color w:val="auto"/>
        </w:rPr>
        <w:t>As a result of our global operating activities, we are exposed to risks from changes in foreign currency exchange rates, which may</w:t>
      </w:r>
      <w:r>
        <w:rPr>
          <w:rFonts w:ascii="Arial" w:cs="Arial" w:eastAsia="Arial" w:hAnsi="Arial"/>
          <w:sz w:val="16"/>
          <w:szCs w:val="16"/>
          <w:i w:val="1"/>
          <w:iCs w:val="1"/>
          <w:color w:val="auto"/>
        </w:rPr>
        <w:t xml:space="preserve"> </w:t>
      </w:r>
      <w:r>
        <w:rPr>
          <w:rFonts w:ascii="Arial" w:cs="Arial" w:eastAsia="Arial" w:hAnsi="Arial"/>
          <w:sz w:val="16"/>
          <w:szCs w:val="16"/>
          <w:color w:val="auto"/>
        </w:rPr>
        <w:t>adversely affect our financial condition. To manage our exposures and mitigate the impact of currency fluctuations on our financial results, we hedge our primary transactional exposures through the use of foreign exchange forward and option contracts. The foreign exchange contracts are valued using the market approach based on observable market transactions of forward rates and are classified within Level 2 of the valuation hierarchy.</w:t>
      </w:r>
    </w:p>
    <w:p>
      <w:pPr>
        <w:spacing w:after="0" w:line="186" w:lineRule="exact"/>
        <w:rPr>
          <w:sz w:val="20"/>
          <w:szCs w:val="20"/>
          <w:color w:val="auto"/>
        </w:rPr>
      </w:pPr>
    </w:p>
    <w:p>
      <w:pPr>
        <w:jc w:val="both"/>
        <w:spacing w:after="0" w:line="310" w:lineRule="auto"/>
        <w:rPr>
          <w:sz w:val="20"/>
          <w:szCs w:val="20"/>
          <w:color w:val="auto"/>
        </w:rPr>
      </w:pPr>
      <w:r>
        <w:rPr>
          <w:rFonts w:ascii="Arial" w:cs="Arial" w:eastAsia="Arial" w:hAnsi="Arial"/>
          <w:sz w:val="15"/>
          <w:szCs w:val="15"/>
          <w:i w:val="1"/>
          <w:iCs w:val="1"/>
          <w:color w:val="auto"/>
        </w:rPr>
        <w:t xml:space="preserve">Interest Rate Swap and Cap Agreements </w:t>
      </w:r>
      <w:r>
        <w:rPr>
          <w:rFonts w:ascii="Arial" w:cs="Arial" w:eastAsia="Arial" w:hAnsi="Arial"/>
          <w:sz w:val="15"/>
          <w:szCs w:val="15"/>
          <w:color w:val="auto"/>
        </w:rPr>
        <w:t>In order to add stability to interest expense and operating costs and to manage exposure to interest rate movements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utilizes interest rate swap contracts and interest rate cap agreements as part of its interest rate risk management strategy. The interest rate cap agreements are valued using the market standard methodology of discounting the future expected cash receipts that would occur if variable interest rates rise above the strike rate of the caps. The variable interest rates used in the calculation of projected receipts on the cap are based on an expectation of future interest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rates derived from observable market interest rate curves and volatilities. The interest rate swap contracts are valued using an income model based on disparity between variable and fixed interest rates, the scheduled balance of underlying principal outstanding, yield curves, and other information readily available in the market. As such, the interest rate swap contracts and interest rate cap agreements are classified in Level 2 of the fair value hierarchy.</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 the impact of netting and any applicable credit enhancements. We measure the credit risk of our derivative financial instruments that are subject to master netting agreements on a net basis by counterparty portfolio.</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utilize Level 3 inputs to evaluate the likelihood of both our own default and counterparty default. As of September 30, 2023, we determined that the credit valuation adjustments are not significant to the overall valuation of our derivatives and therefore, the valuations are classified in Level 2 of the fair value hierarchy.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Measured at Fair Value on a Non-recurring Basis</w:t>
      </w: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From time to time, certain assets are measured at fair value on a nonrecurring basis using significant unobservable inputs (Level 3). The Company reviews the carrying values of investments when events and circumstances warrant and considers all available evidence in evaluating when declines in fair value are other-than-temporary declines. There were no material impairment charges or non-recurring fair value adjustments recorded during the three and nine months ended September 30, 2023 and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15. ACCUMULATED OTHER COMPREHENSIVE INCOME (LOSS)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Accumulated Other Comprehensive Income (“AOCI”) by Component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580" w:type="dxa"/>
            <w:vAlign w:val="bottom"/>
            <w:gridSpan w:val="3"/>
          </w:tcPr>
          <w:p>
            <w:pPr>
              <w:jc w:val="right"/>
              <w:ind w:right="169"/>
              <w:spacing w:after="0"/>
              <w:rPr>
                <w:sz w:val="20"/>
                <w:szCs w:val="20"/>
                <w:color w:val="auto"/>
              </w:rPr>
            </w:pPr>
            <w:r>
              <w:rPr>
                <w:rFonts w:ascii="Arial" w:cs="Arial" w:eastAsia="Arial" w:hAnsi="Arial"/>
                <w:sz w:val="14"/>
                <w:szCs w:val="14"/>
                <w:b w:val="1"/>
                <w:bCs w:val="1"/>
                <w:color w:val="auto"/>
                <w:w w:val="93"/>
              </w:rPr>
              <w:t>Currency Translation</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Changes in Employee</w:t>
            </w:r>
          </w:p>
        </w:tc>
        <w:tc>
          <w:tcPr>
            <w:tcW w:w="1720" w:type="dxa"/>
            <w:vAlign w:val="bottom"/>
            <w:gridSpan w:val="6"/>
          </w:tcPr>
          <w:p>
            <w:pPr>
              <w:ind w:left="140"/>
              <w:spacing w:after="0"/>
              <w:rPr>
                <w:sz w:val="20"/>
                <w:szCs w:val="20"/>
                <w:color w:val="auto"/>
              </w:rPr>
            </w:pPr>
            <w:r>
              <w:rPr>
                <w:rFonts w:ascii="Arial" w:cs="Arial" w:eastAsia="Arial" w:hAnsi="Arial"/>
                <w:sz w:val="14"/>
                <w:szCs w:val="14"/>
                <w:b w:val="1"/>
                <w:bCs w:val="1"/>
                <w:color w:val="auto"/>
                <w:w w:val="95"/>
              </w:rPr>
              <w:t>Changes in Fair Value of</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29"/>
              <w:spacing w:after="0"/>
              <w:rPr>
                <w:sz w:val="20"/>
                <w:szCs w:val="20"/>
                <w:color w:val="auto"/>
              </w:rPr>
            </w:pPr>
            <w:r>
              <w:rPr>
                <w:rFonts w:ascii="Arial" w:cs="Arial" w:eastAsia="Arial" w:hAnsi="Arial"/>
                <w:sz w:val="14"/>
                <w:szCs w:val="14"/>
                <w:b w:val="1"/>
                <w:bCs w:val="1"/>
                <w:color w:val="auto"/>
              </w:rPr>
              <w:t>Adjustments</w:t>
            </w: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Benefit Plans</w:t>
            </w:r>
          </w:p>
        </w:tc>
        <w:tc>
          <w:tcPr>
            <w:tcW w:w="17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8"/>
              </w:rPr>
              <w:t>Effective Cash Flow Hedges</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80" w:type="dxa"/>
            <w:vAlign w:val="bottom"/>
            <w:gridSpan w:val="3"/>
            <w:shd w:val="clear" w:color="auto" w:fill="CCEEFF"/>
          </w:tcPr>
          <w:p>
            <w:pPr>
              <w:jc w:val="center"/>
              <w:ind w:left="1077"/>
              <w:spacing w:after="0"/>
              <w:rPr>
                <w:sz w:val="20"/>
                <w:szCs w:val="20"/>
                <w:color w:val="auto"/>
              </w:rPr>
            </w:pPr>
            <w:r>
              <w:rPr>
                <w:rFonts w:ascii="Arial" w:cs="Arial" w:eastAsia="Arial" w:hAnsi="Arial"/>
                <w:sz w:val="17"/>
                <w:szCs w:val="17"/>
                <w:b w:val="1"/>
                <w:bCs w:val="1"/>
                <w:color w:val="auto"/>
                <w:w w:val="95"/>
              </w:rPr>
              <w:t>(404)</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109</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(300)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7"/>
                <w:szCs w:val="17"/>
                <w:color w:val="auto"/>
              </w:rPr>
              <w:t>Other comprehensive income (loss) before reclassifications</w:t>
            </w:r>
          </w:p>
        </w:tc>
        <w:tc>
          <w:tcPr>
            <w:tcW w:w="1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11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center"/>
              <w:ind w:left="374"/>
              <w:spacing w:after="0"/>
              <w:rPr>
                <w:sz w:val="20"/>
                <w:szCs w:val="20"/>
                <w:color w:val="auto"/>
              </w:rPr>
            </w:pPr>
            <w:r>
              <w:rPr>
                <w:rFonts w:ascii="Arial" w:cs="Arial" w:eastAsia="Arial" w:hAnsi="Arial"/>
                <w:sz w:val="17"/>
                <w:szCs w:val="17"/>
                <w:color w:val="auto"/>
                <w:w w:val="95"/>
              </w:rPr>
              <w:t>(126)</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current period other comprehensive (loss) income</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7"/>
                <w:szCs w:val="17"/>
                <w:color w:val="auto"/>
                <w:w w:val="95"/>
              </w:rPr>
              <w:t>(109)</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as of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Borders>
              <w:bottom w:val="single" w:sz="8" w:color="auto"/>
            </w:tcBorders>
            <w:gridSpan w:val="3"/>
            <w:shd w:val="clear" w:color="auto" w:fill="CCEEFF"/>
          </w:tcPr>
          <w:p>
            <w:pPr>
              <w:jc w:val="center"/>
              <w:ind w:left="1077"/>
              <w:spacing w:after="0"/>
              <w:rPr>
                <w:sz w:val="20"/>
                <w:szCs w:val="20"/>
                <w:color w:val="auto"/>
              </w:rPr>
            </w:pPr>
            <w:r>
              <w:rPr>
                <w:rFonts w:ascii="Arial" w:cs="Arial" w:eastAsia="Arial" w:hAnsi="Arial"/>
                <w:sz w:val="17"/>
                <w:szCs w:val="17"/>
                <w:b w:val="1"/>
                <w:bCs w:val="1"/>
                <w:color w:val="auto"/>
                <w:w w:val="95"/>
              </w:rPr>
              <w:t>(393)</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5"/>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 $</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(402)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Reclassifications Out of AOCI</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w w:val="98"/>
              </w:rPr>
              <w:t>For the three months ended September 30, 2023</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Employee Benefit Plans</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Amortization of</w:t>
            </w: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Amortization of</w:t>
            </w:r>
          </w:p>
        </w:tc>
        <w:tc>
          <w:tcPr>
            <w:tcW w:w="13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Effective Cash Flow</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9"/>
              </w:rPr>
              <w:t>Actuarial Loss</w:t>
            </w:r>
          </w:p>
        </w:tc>
        <w:tc>
          <w:tcPr>
            <w:tcW w:w="1300" w:type="dxa"/>
            <w:vAlign w:val="bottom"/>
            <w:gridSpan w:val="3"/>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jc w:val="center"/>
              <w:ind w:left="369"/>
              <w:spacing w:after="0"/>
              <w:rPr>
                <w:sz w:val="20"/>
                <w:szCs w:val="20"/>
                <w:color w:val="auto"/>
              </w:rPr>
            </w:pPr>
            <w:r>
              <w:rPr>
                <w:rFonts w:ascii="Arial" w:cs="Arial" w:eastAsia="Arial" w:hAnsi="Arial"/>
                <w:sz w:val="14"/>
                <w:szCs w:val="14"/>
                <w:b w:val="1"/>
                <w:bCs w:val="1"/>
                <w:color w:val="auto"/>
                <w:w w:val="93"/>
              </w:rPr>
              <w:t>(Gain)</w:t>
            </w:r>
          </w:p>
        </w:tc>
        <w:tc>
          <w:tcPr>
            <w:tcW w:w="420" w:type="dxa"/>
            <w:vAlign w:val="bottom"/>
          </w:tcPr>
          <w:p>
            <w:pPr>
              <w:spacing w:after="0"/>
              <w:rPr>
                <w:sz w:val="16"/>
                <w:szCs w:val="16"/>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Prior Service Benefit</w:t>
            </w: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Hedge Loss (Gain)</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Affected line in Condensed Consolidated Statement of Operations:</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7"/>
                <w:szCs w:val="17"/>
                <w:color w:val="auto"/>
              </w:rPr>
              <w:t>Cost of products</w:t>
            </w:r>
          </w:p>
        </w:tc>
        <w:tc>
          <w:tcPr>
            <w:tcW w:w="160" w:type="dxa"/>
            <w:vAlign w:val="bottom"/>
          </w:tcPr>
          <w:p>
            <w:pPr>
              <w:spacing w:after="0"/>
              <w:rPr>
                <w:sz w:val="19"/>
                <w:szCs w:val="19"/>
                <w:color w:val="auto"/>
              </w:rPr>
            </w:pPr>
          </w:p>
        </w:tc>
        <w:tc>
          <w:tcPr>
            <w:tcW w:w="1580" w:type="dxa"/>
            <w:vAlign w:val="bottom"/>
            <w:gridSpan w:val="3"/>
          </w:tcPr>
          <w:p>
            <w:pPr>
              <w:jc w:val="right"/>
              <w:ind w:right="689"/>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180"/>
              <w:spacing w:after="0"/>
              <w:rPr>
                <w:sz w:val="20"/>
                <w:szCs w:val="20"/>
                <w:color w:val="auto"/>
              </w:rPr>
            </w:pPr>
            <w:r>
              <w:rPr>
                <w:rFonts w:ascii="Arial" w:cs="Arial" w:eastAsia="Arial" w:hAnsi="Arial"/>
                <w:sz w:val="17"/>
                <w:szCs w:val="17"/>
                <w:color w:val="auto"/>
              </w:rPr>
              <w:t>— $</w:t>
            </w:r>
          </w:p>
        </w:tc>
        <w:tc>
          <w:tcPr>
            <w:tcW w:w="880" w:type="dxa"/>
            <w:vAlign w:val="bottom"/>
            <w:gridSpan w:val="3"/>
          </w:tcPr>
          <w:p>
            <w:pPr>
              <w:ind w:left="160"/>
              <w:spacing w:after="0"/>
              <w:rPr>
                <w:sz w:val="20"/>
                <w:szCs w:val="20"/>
                <w:color w:val="auto"/>
              </w:rPr>
            </w:pPr>
            <w:r>
              <w:rPr>
                <w:rFonts w:ascii="Arial" w:cs="Arial" w:eastAsia="Arial" w:hAnsi="Arial"/>
                <w:sz w:val="17"/>
                <w:szCs w:val="17"/>
                <w:color w:val="auto"/>
              </w:rPr>
              <w:t>— $</w:t>
            </w:r>
          </w:p>
        </w:tc>
        <w:tc>
          <w:tcPr>
            <w:tcW w:w="8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Cost of services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w w:val="96"/>
              </w:rPr>
              <w:t>(1)</w:t>
            </w:r>
          </w:p>
        </w:tc>
        <w:tc>
          <w:tcPr>
            <w:tcW w:w="900" w:type="dxa"/>
            <w:vAlign w:val="bottom"/>
          </w:tcPr>
          <w:p>
            <w:pPr>
              <w:spacing w:after="0"/>
              <w:rPr>
                <w:sz w:val="19"/>
                <w:szCs w:val="19"/>
                <w:color w:val="auto"/>
              </w:rPr>
            </w:pPr>
          </w:p>
        </w:tc>
        <w:tc>
          <w:tcPr>
            <w:tcW w:w="4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 expenses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before tax</w:t>
            </w:r>
          </w:p>
        </w:tc>
        <w:tc>
          <w:tcPr>
            <w:tcW w:w="16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689"/>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6"/>
              </w:rPr>
              <w:t>(1)</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7"/>
                <w:szCs w:val="17"/>
                <w:color w:val="auto"/>
              </w:rPr>
              <w:t>Tax expense</w:t>
            </w: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50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reclassifications,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gridSpan w:val="3"/>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3"/>
        </w:trPr>
        <w:tc>
          <w:tcPr>
            <w:tcW w:w="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w w:val="98"/>
              </w:rPr>
              <w:t>For the three months ended September 30, 2022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Employee Benefit Plans</w:t>
            </w:r>
          </w:p>
        </w:tc>
        <w:tc>
          <w:tcPr>
            <w:tcW w:w="3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Amortization of</w:t>
            </w: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Amortization of</w:t>
            </w:r>
          </w:p>
        </w:tc>
        <w:tc>
          <w:tcPr>
            <w:tcW w:w="1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Effective Cash Flow</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9"/>
              </w:rPr>
              <w:t>Actuarial Loss</w:t>
            </w:r>
          </w:p>
        </w:tc>
        <w:tc>
          <w:tcPr>
            <w:tcW w:w="1300" w:type="dxa"/>
            <w:vAlign w:val="bottom"/>
            <w:gridSpan w:val="3"/>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(Gain)</w:t>
            </w:r>
          </w:p>
        </w:tc>
        <w:tc>
          <w:tcPr>
            <w:tcW w:w="42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Prior Service Benefit</w:t>
            </w:r>
          </w:p>
        </w:tc>
        <w:tc>
          <w:tcPr>
            <w:tcW w:w="13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Hedge Loss (Gain)</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Affected line in Condensed Consolidated Statement of Operations:</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7"/>
                <w:szCs w:val="17"/>
                <w:color w:val="auto"/>
              </w:rPr>
              <w:t>Cost of products</w:t>
            </w:r>
          </w:p>
        </w:tc>
        <w:tc>
          <w:tcPr>
            <w:tcW w:w="160" w:type="dxa"/>
            <w:vAlign w:val="bottom"/>
          </w:tcPr>
          <w:p>
            <w:pPr>
              <w:spacing w:after="0"/>
              <w:rPr>
                <w:sz w:val="19"/>
                <w:szCs w:val="19"/>
                <w:color w:val="auto"/>
              </w:rPr>
            </w:pPr>
          </w:p>
        </w:tc>
        <w:tc>
          <w:tcPr>
            <w:tcW w:w="1580" w:type="dxa"/>
            <w:vAlign w:val="bottom"/>
            <w:gridSpan w:val="3"/>
          </w:tcPr>
          <w:p>
            <w:pPr>
              <w:jc w:val="right"/>
              <w:ind w:right="729"/>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880" w:type="dxa"/>
            <w:vAlign w:val="bottom"/>
            <w:gridSpan w:val="3"/>
          </w:tcPr>
          <w:p>
            <w:pPr>
              <w:ind w:left="120"/>
              <w:spacing w:after="0"/>
              <w:rPr>
                <w:sz w:val="20"/>
                <w:szCs w:val="20"/>
                <w:color w:val="auto"/>
              </w:rPr>
            </w:pPr>
            <w:r>
              <w:rPr>
                <w:rFonts w:ascii="Arial" w:cs="Arial" w:eastAsia="Arial" w:hAnsi="Arial"/>
                <w:sz w:val="17"/>
                <w:szCs w:val="17"/>
                <w:color w:val="auto"/>
              </w:rPr>
              <w:t>— $</w:t>
            </w:r>
          </w:p>
        </w:tc>
        <w:tc>
          <w:tcPr>
            <w:tcW w:w="840" w:type="dxa"/>
            <w:vAlign w:val="bottom"/>
            <w:gridSpan w:val="3"/>
          </w:tcPr>
          <w:p>
            <w:pPr>
              <w:jc w:val="center"/>
              <w:ind w:left="334"/>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color w:val="auto"/>
                <w:w w:val="96"/>
              </w:rPr>
              <w:t>(4)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4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840" w:type="dxa"/>
            <w:vAlign w:val="bottom"/>
            <w:gridSpan w:val="3"/>
          </w:tcPr>
          <w:p>
            <w:pPr>
              <w:jc w:val="center"/>
              <w:ind w:left="33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 expenses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center"/>
              <w:ind w:left="334"/>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ind w:left="454"/>
              <w:spacing w:after="0"/>
              <w:rPr>
                <w:sz w:val="20"/>
                <w:szCs w:val="20"/>
                <w:color w:val="auto"/>
              </w:rPr>
            </w:pPr>
            <w:r>
              <w:rPr>
                <w:rFonts w:ascii="Arial" w:cs="Arial" w:eastAsia="Arial" w:hAnsi="Arial"/>
                <w:sz w:val="17"/>
                <w:szCs w:val="17"/>
                <w:color w:val="auto"/>
                <w:w w:val="96"/>
              </w:rPr>
              <w:t>(5)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before tax</w:t>
            </w:r>
          </w:p>
        </w:tc>
        <w:tc>
          <w:tcPr>
            <w:tcW w:w="16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729"/>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8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7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color w:val="auto"/>
                <w:w w:val="96"/>
              </w:rPr>
              <w:t>(9)</w:t>
            </w: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7"/>
                <w:szCs w:val="17"/>
                <w:color w:val="auto"/>
              </w:rPr>
              <w:t>Tax expense</w:t>
            </w: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reclassifications, net of tax</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157"/>
              <w:spacing w:after="0"/>
              <w:rPr>
                <w:sz w:val="20"/>
                <w:szCs w:val="20"/>
                <w:color w:val="auto"/>
              </w:rPr>
            </w:pPr>
            <w:r>
              <w:rPr>
                <w:rFonts w:ascii="Arial" w:cs="Arial" w:eastAsia="Arial" w:hAnsi="Arial"/>
                <w:sz w:val="17"/>
                <w:szCs w:val="17"/>
                <w:color w:val="auto"/>
              </w:rPr>
              <w:t>41</w:t>
            </w: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7"/>
        </w:trPr>
        <w:tc>
          <w:tcPr>
            <w:tcW w:w="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3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87"/>
              </w:rPr>
              <w:t>For the nine months ended September 30, 2023</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Employee Benefit Plans</w:t>
            </w:r>
          </w:p>
        </w:tc>
        <w:tc>
          <w:tcPr>
            <w:tcW w:w="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tcPr>
          <w:p>
            <w:pPr>
              <w:jc w:val="center"/>
              <w:ind w:right="38"/>
              <w:spacing w:after="0" w:line="133" w:lineRule="exact"/>
              <w:rPr>
                <w:sz w:val="20"/>
                <w:szCs w:val="20"/>
                <w:color w:val="auto"/>
              </w:rPr>
            </w:pPr>
            <w:r>
              <w:rPr>
                <w:rFonts w:ascii="Arial" w:cs="Arial" w:eastAsia="Arial" w:hAnsi="Arial"/>
                <w:sz w:val="14"/>
                <w:szCs w:val="14"/>
                <w:b w:val="1"/>
                <w:bCs w:val="1"/>
                <w:color w:val="auto"/>
                <w:w w:val="91"/>
              </w:rPr>
              <w:t>Amortization of</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Amortization of</w:t>
            </w:r>
          </w:p>
        </w:tc>
        <w:tc>
          <w:tcPr>
            <w:tcW w:w="20" w:type="dxa"/>
            <w:vAlign w:val="bottom"/>
          </w:tcPr>
          <w:p>
            <w:pPr>
              <w:spacing w:after="0"/>
              <w:rPr>
                <w:sz w:val="11"/>
                <w:szCs w:val="11"/>
                <w:color w:val="auto"/>
              </w:rPr>
            </w:pPr>
          </w:p>
        </w:tc>
        <w:tc>
          <w:tcPr>
            <w:tcW w:w="13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Effective Cash Flow</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jc w:val="center"/>
              <w:ind w:right="38"/>
              <w:spacing w:after="0" w:line="139" w:lineRule="exact"/>
              <w:rPr>
                <w:sz w:val="20"/>
                <w:szCs w:val="20"/>
                <w:color w:val="auto"/>
              </w:rPr>
            </w:pPr>
            <w:r>
              <w:rPr>
                <w:rFonts w:ascii="Arial" w:cs="Arial" w:eastAsia="Arial" w:hAnsi="Arial"/>
                <w:sz w:val="14"/>
                <w:szCs w:val="14"/>
                <w:b w:val="1"/>
                <w:bCs w:val="1"/>
                <w:color w:val="auto"/>
                <w:w w:val="89"/>
              </w:rPr>
              <w:t>Actuarial Loss</w:t>
            </w: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center"/>
              <w:ind w:left="311"/>
              <w:spacing w:after="0"/>
              <w:rPr>
                <w:sz w:val="20"/>
                <w:szCs w:val="20"/>
                <w:color w:val="auto"/>
              </w:rPr>
            </w:pPr>
            <w:r>
              <w:rPr>
                <w:rFonts w:ascii="Arial" w:cs="Arial" w:eastAsia="Arial" w:hAnsi="Arial"/>
                <w:sz w:val="14"/>
                <w:szCs w:val="14"/>
                <w:b w:val="1"/>
                <w:bCs w:val="1"/>
                <w:color w:val="auto"/>
                <w:w w:val="93"/>
              </w:rPr>
              <w:t>(Gain)</w:t>
            </w: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Prior Service Benefit</w:t>
            </w:r>
          </w:p>
        </w:tc>
        <w:tc>
          <w:tcPr>
            <w:tcW w:w="20" w:type="dxa"/>
            <w:vAlign w:val="bottom"/>
          </w:tcPr>
          <w:p>
            <w:pPr>
              <w:spacing w:after="0"/>
              <w:rPr>
                <w:sz w:val="16"/>
                <w:szCs w:val="16"/>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Hedge Loss (Gain)</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Affected line in Condensed Consolidated Statement of Operations:</w:t>
            </w:r>
          </w:p>
        </w:tc>
        <w:tc>
          <w:tcPr>
            <w:tcW w:w="8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7"/>
                <w:szCs w:val="17"/>
                <w:color w:val="auto"/>
              </w:rPr>
              <w:t>Cost of products</w:t>
            </w:r>
          </w:p>
        </w:tc>
        <w:tc>
          <w:tcPr>
            <w:tcW w:w="1820" w:type="dxa"/>
            <w:vAlign w:val="bottom"/>
            <w:gridSpan w:val="3"/>
          </w:tcPr>
          <w:p>
            <w:pPr>
              <w:jc w:val="right"/>
              <w:ind w:right="751"/>
              <w:spacing w:after="0"/>
              <w:rPr>
                <w:sz w:val="20"/>
                <w:szCs w:val="20"/>
                <w:color w:val="auto"/>
              </w:rPr>
            </w:pPr>
            <w:r>
              <w:rPr>
                <w:rFonts w:ascii="Arial" w:cs="Arial" w:eastAsia="Arial" w:hAnsi="Arial"/>
                <w:sz w:val="17"/>
                <w:szCs w:val="17"/>
                <w:color w:val="auto"/>
              </w:rPr>
              <w:t>$</w:t>
            </w:r>
          </w:p>
        </w:tc>
        <w:tc>
          <w:tcPr>
            <w:tcW w:w="500" w:type="dxa"/>
            <w:vAlign w:val="bottom"/>
          </w:tcPr>
          <w:p>
            <w:pPr>
              <w:ind w:left="120"/>
              <w:spacing w:after="0"/>
              <w:rPr>
                <w:sz w:val="20"/>
                <w:szCs w:val="20"/>
                <w:color w:val="auto"/>
              </w:rPr>
            </w:pPr>
            <w:r>
              <w:rPr>
                <w:rFonts w:ascii="Arial" w:cs="Arial" w:eastAsia="Arial" w:hAnsi="Arial"/>
                <w:sz w:val="17"/>
                <w:szCs w:val="17"/>
                <w:color w:val="auto"/>
              </w:rPr>
              <w:t>— $</w:t>
            </w:r>
          </w:p>
        </w:tc>
        <w:tc>
          <w:tcPr>
            <w:tcW w:w="1640" w:type="dxa"/>
            <w:vAlign w:val="bottom"/>
            <w:gridSpan w:val="4"/>
          </w:tcPr>
          <w:p>
            <w:pPr>
              <w:jc w:val="right"/>
              <w:ind w:right="291"/>
              <w:spacing w:after="0"/>
              <w:rPr>
                <w:sz w:val="20"/>
                <w:szCs w:val="20"/>
                <w:color w:val="auto"/>
              </w:rPr>
            </w:pPr>
            <w:r>
              <w:rPr>
                <w:rFonts w:ascii="Arial" w:cs="Arial" w:eastAsia="Arial" w:hAnsi="Arial"/>
                <w:sz w:val="17"/>
                <w:szCs w:val="17"/>
                <w:color w:val="auto"/>
              </w:rPr>
              <w:t>— $</w:t>
            </w:r>
          </w:p>
        </w:tc>
        <w:tc>
          <w:tcPr>
            <w:tcW w:w="8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Cost of services</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7"/>
                <w:szCs w:val="17"/>
                <w:color w:val="auto"/>
              </w:rPr>
              <w:t>Selling, general and administrative expenses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ind w:left="140"/>
              <w:spacing w:after="0"/>
              <w:rPr>
                <w:sz w:val="20"/>
                <w:szCs w:val="20"/>
                <w:color w:val="auto"/>
              </w:rPr>
            </w:pPr>
            <w:r>
              <w:rPr>
                <w:rFonts w:ascii="Arial" w:cs="Arial" w:eastAsia="Arial" w:hAnsi="Arial"/>
                <w:sz w:val="17"/>
                <w:szCs w:val="17"/>
                <w:color w:val="auto"/>
              </w:rPr>
              <w:t>(1)</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 expenses</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Interest expense</w:t>
            </w:r>
          </w:p>
        </w:tc>
        <w:tc>
          <w:tcPr>
            <w:tcW w:w="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0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before tax</w:t>
            </w:r>
          </w:p>
        </w:tc>
        <w:tc>
          <w:tcPr>
            <w:tcW w:w="1820" w:type="dxa"/>
            <w:vAlign w:val="bottom"/>
            <w:gridSpan w:val="3"/>
            <w:shd w:val="clear" w:color="auto" w:fill="CCEEFF"/>
          </w:tcPr>
          <w:p>
            <w:pPr>
              <w:jc w:val="right"/>
              <w:ind w:right="751"/>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(3)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0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7"/>
                <w:szCs w:val="17"/>
                <w:color w:val="auto"/>
              </w:rPr>
              <w:t>Tax expense</w:t>
            </w: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506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reclassifications, net of tax</w:t>
            </w: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87"/>
              </w:rPr>
              <w:t>For the nine months ended September 30, 2022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Employee Benefit Plans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tcPr>
          <w:p>
            <w:pPr>
              <w:jc w:val="center"/>
              <w:ind w:right="118"/>
              <w:spacing w:after="0" w:line="133" w:lineRule="exact"/>
              <w:rPr>
                <w:sz w:val="20"/>
                <w:szCs w:val="20"/>
                <w:color w:val="auto"/>
              </w:rPr>
            </w:pPr>
            <w:r>
              <w:rPr>
                <w:rFonts w:ascii="Arial" w:cs="Arial" w:eastAsia="Arial" w:hAnsi="Arial"/>
                <w:sz w:val="14"/>
                <w:szCs w:val="14"/>
                <w:b w:val="1"/>
                <w:bCs w:val="1"/>
                <w:color w:val="auto"/>
                <w:w w:val="91"/>
              </w:rPr>
              <w:t>Amortization of</w:t>
            </w: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Amortization of</w:t>
            </w:r>
          </w:p>
        </w:tc>
        <w:tc>
          <w:tcPr>
            <w:tcW w:w="20" w:type="dxa"/>
            <w:vAlign w:val="bottom"/>
          </w:tcPr>
          <w:p>
            <w:pPr>
              <w:spacing w:after="0"/>
              <w:rPr>
                <w:sz w:val="11"/>
                <w:szCs w:val="11"/>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Effective Cash Flow</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jc w:val="center"/>
              <w:ind w:right="118"/>
              <w:spacing w:after="0" w:line="143" w:lineRule="exact"/>
              <w:rPr>
                <w:sz w:val="20"/>
                <w:szCs w:val="20"/>
                <w:color w:val="auto"/>
              </w:rPr>
            </w:pPr>
            <w:r>
              <w:rPr>
                <w:rFonts w:ascii="Arial" w:cs="Arial" w:eastAsia="Arial" w:hAnsi="Arial"/>
                <w:sz w:val="14"/>
                <w:szCs w:val="14"/>
                <w:b w:val="1"/>
                <w:bCs w:val="1"/>
                <w:color w:val="auto"/>
                <w:w w:val="89"/>
              </w:rPr>
              <w:t>Actuarial Loss</w:t>
            </w: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0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center"/>
              <w:ind w:left="231"/>
              <w:spacing w:after="0"/>
              <w:rPr>
                <w:sz w:val="20"/>
                <w:szCs w:val="20"/>
                <w:color w:val="auto"/>
              </w:rPr>
            </w:pPr>
            <w:r>
              <w:rPr>
                <w:rFonts w:ascii="Arial" w:cs="Arial" w:eastAsia="Arial" w:hAnsi="Arial"/>
                <w:sz w:val="14"/>
                <w:szCs w:val="14"/>
                <w:b w:val="1"/>
                <w:bCs w:val="1"/>
                <w:color w:val="auto"/>
                <w:w w:val="93"/>
              </w:rPr>
              <w:t>(Gain)</w:t>
            </w:r>
          </w:p>
        </w:tc>
        <w:tc>
          <w:tcPr>
            <w:tcW w:w="1640" w:type="dxa"/>
            <w:vAlign w:val="bottom"/>
            <w:gridSpan w:val="3"/>
          </w:tcPr>
          <w:p>
            <w:pPr>
              <w:jc w:val="center"/>
              <w:ind w:left="238"/>
              <w:spacing w:after="0"/>
              <w:rPr>
                <w:sz w:val="20"/>
                <w:szCs w:val="20"/>
                <w:color w:val="auto"/>
              </w:rPr>
            </w:pPr>
            <w:r>
              <w:rPr>
                <w:rFonts w:ascii="Arial" w:cs="Arial" w:eastAsia="Arial" w:hAnsi="Arial"/>
                <w:sz w:val="14"/>
                <w:szCs w:val="14"/>
                <w:b w:val="1"/>
                <w:bCs w:val="1"/>
                <w:color w:val="auto"/>
                <w:w w:val="90"/>
              </w:rPr>
              <w:t>Prior Service Benefit</w:t>
            </w:r>
          </w:p>
        </w:tc>
        <w:tc>
          <w:tcPr>
            <w:tcW w:w="20" w:type="dxa"/>
            <w:vAlign w:val="bottom"/>
          </w:tcPr>
          <w:p>
            <w:pPr>
              <w:spacing w:after="0"/>
              <w:rPr>
                <w:sz w:val="16"/>
                <w:szCs w:val="16"/>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Hedge Loss (Gain)</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Affected line in Condensed Consolidated Statement of Operations:</w:t>
            </w:r>
          </w:p>
        </w:tc>
        <w:tc>
          <w:tcPr>
            <w:tcW w:w="8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7"/>
                <w:szCs w:val="17"/>
                <w:color w:val="auto"/>
              </w:rPr>
              <w:t>Cost of products</w:t>
            </w:r>
          </w:p>
        </w:tc>
        <w:tc>
          <w:tcPr>
            <w:tcW w:w="1820" w:type="dxa"/>
            <w:vAlign w:val="bottom"/>
            <w:gridSpan w:val="3"/>
          </w:tcPr>
          <w:p>
            <w:pPr>
              <w:jc w:val="right"/>
              <w:ind w:right="791"/>
              <w:spacing w:after="0"/>
              <w:rPr>
                <w:sz w:val="20"/>
                <w:szCs w:val="20"/>
                <w:color w:val="auto"/>
              </w:rPr>
            </w:pPr>
            <w:r>
              <w:rPr>
                <w:rFonts w:ascii="Arial" w:cs="Arial" w:eastAsia="Arial" w:hAnsi="Arial"/>
                <w:sz w:val="17"/>
                <w:szCs w:val="17"/>
                <w:color w:val="auto"/>
              </w:rPr>
              <w:t>$</w:t>
            </w:r>
          </w:p>
        </w:tc>
        <w:tc>
          <w:tcPr>
            <w:tcW w:w="500" w:type="dxa"/>
            <w:vAlign w:val="bottom"/>
          </w:tcPr>
          <w:p>
            <w:pPr>
              <w:ind w:left="80"/>
              <w:spacing w:after="0"/>
              <w:rPr>
                <w:sz w:val="20"/>
                <w:szCs w:val="20"/>
                <w:color w:val="auto"/>
              </w:rPr>
            </w:pPr>
            <w:r>
              <w:rPr>
                <w:rFonts w:ascii="Arial" w:cs="Arial" w:eastAsia="Arial" w:hAnsi="Arial"/>
                <w:sz w:val="17"/>
                <w:szCs w:val="17"/>
                <w:color w:val="auto"/>
              </w:rPr>
              <w:t>— $</w:t>
            </w:r>
          </w:p>
        </w:tc>
        <w:tc>
          <w:tcPr>
            <w:tcW w:w="1640" w:type="dxa"/>
            <w:vAlign w:val="bottom"/>
            <w:gridSpan w:val="4"/>
          </w:tcPr>
          <w:p>
            <w:pPr>
              <w:ind w:left="880"/>
              <w:spacing w:after="0"/>
              <w:rPr>
                <w:sz w:val="20"/>
                <w:szCs w:val="20"/>
                <w:color w:val="auto"/>
              </w:rPr>
            </w:pPr>
            <w:r>
              <w:rPr>
                <w:rFonts w:ascii="Arial" w:cs="Arial" w:eastAsia="Arial" w:hAnsi="Arial"/>
                <w:sz w:val="17"/>
                <w:szCs w:val="17"/>
                <w:color w:val="auto"/>
              </w:rPr>
              <w:t>— $</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 expenses</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Interest expense</w:t>
            </w:r>
          </w:p>
        </w:tc>
        <w:tc>
          <w:tcPr>
            <w:tcW w:w="8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791"/>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 $</w:t>
            </w:r>
          </w:p>
        </w:tc>
        <w:tc>
          <w:tcPr>
            <w:tcW w:w="1140" w:type="dxa"/>
            <w:vAlign w:val="bottom"/>
            <w:tcBorders>
              <w:bottom w:val="single" w:sz="8" w:color="auto"/>
            </w:tcBorders>
            <w:gridSpan w:val="2"/>
          </w:tcPr>
          <w:p>
            <w:pPr>
              <w:ind w:left="88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gridSpan w:val="2"/>
          </w:tcPr>
          <w:p>
            <w:pPr>
              <w:jc w:val="center"/>
              <w:ind w:right="331"/>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before tax</w:t>
            </w:r>
          </w:p>
        </w:tc>
        <w:tc>
          <w:tcPr>
            <w:tcW w:w="1820" w:type="dxa"/>
            <w:vAlign w:val="bottom"/>
            <w:gridSpan w:val="3"/>
            <w:shd w:val="clear" w:color="auto" w:fill="CCEEFF"/>
          </w:tcPr>
          <w:p>
            <w:pPr>
              <w:jc w:val="right"/>
              <w:ind w:right="791"/>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331"/>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7"/>
                <w:szCs w:val="17"/>
                <w:color w:val="auto"/>
              </w:rPr>
              <w:t>Tax expense</w:t>
            </w: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506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line="19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reclassifications, net of tax</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154"/>
              <w:spacing w:after="0"/>
              <w:rPr>
                <w:sz w:val="20"/>
                <w:szCs w:val="20"/>
                <w:color w:val="auto"/>
              </w:rPr>
            </w:pPr>
            <w:r>
              <w:rPr>
                <w:rFonts w:ascii="Arial" w:cs="Arial" w:eastAsia="Arial" w:hAnsi="Arial"/>
                <w:sz w:val="17"/>
                <w:szCs w:val="17"/>
                <w:color w:val="auto"/>
              </w:rPr>
              <w:t>42</w:t>
            </w: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ind w:left="620"/>
        <w:spacing w:after="0"/>
        <w:rPr>
          <w:sz w:val="20"/>
          <w:szCs w:val="20"/>
          <w:color w:val="auto"/>
        </w:rPr>
      </w:pPr>
      <w:r>
        <w:rPr>
          <w:rFonts w:ascii="Arial" w:cs="Arial" w:eastAsia="Arial" w:hAnsi="Arial"/>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NCR Voyix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54B948"/>
        </w:rPr>
        <w:t>16. SUPPLEMENTAL FINANCIAL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accounts receivable are summarized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500" w:type="dxa"/>
            <w:vAlign w:val="bottom"/>
          </w:tcPr>
          <w:p>
            <w:pPr>
              <w:jc w:val="right"/>
              <w:ind w:right="216"/>
              <w:spacing w:after="0"/>
              <w:rPr>
                <w:sz w:val="20"/>
                <w:szCs w:val="20"/>
                <w:color w:val="auto"/>
              </w:rPr>
            </w:pPr>
            <w:r>
              <w:rPr>
                <w:rFonts w:ascii="Arial" w:cs="Arial" w:eastAsia="Arial" w:hAnsi="Arial"/>
                <w:sz w:val="14"/>
                <w:szCs w:val="14"/>
                <w:b w:val="1"/>
                <w:bCs w:val="1"/>
                <w:color w:val="auto"/>
                <w:w w:val="93"/>
              </w:rPr>
              <w:t>December 31, 2022</w:t>
            </w:r>
          </w:p>
        </w:tc>
      </w:tr>
      <w:tr>
        <w:trPr>
          <w:trHeight w:val="25"/>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Accounts receivable</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0"/>
        </w:trPr>
        <w:tc>
          <w:tcPr>
            <w:tcW w:w="7760" w:type="dxa"/>
            <w:vAlign w:val="bottom"/>
          </w:tcPr>
          <w:p>
            <w:pPr>
              <w:ind w:left="20"/>
              <w:spacing w:after="0"/>
              <w:rPr>
                <w:sz w:val="20"/>
                <w:szCs w:val="20"/>
                <w:color w:val="auto"/>
              </w:rPr>
            </w:pPr>
            <w:r>
              <w:rPr>
                <w:rFonts w:ascii="Arial" w:cs="Arial" w:eastAsia="Arial" w:hAnsi="Arial"/>
                <w:sz w:val="17"/>
                <w:szCs w:val="17"/>
                <w:color w:val="auto"/>
              </w:rPr>
              <w:t>Trade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947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1,056</w:t>
            </w: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13"/>
        </w:trPr>
        <w:tc>
          <w:tcPr>
            <w:tcW w:w="7760" w:type="dxa"/>
            <w:vAlign w:val="bottom"/>
          </w:tcPr>
          <w:p>
            <w:pPr>
              <w:ind w:left="20"/>
              <w:spacing w:after="0"/>
              <w:rPr>
                <w:sz w:val="20"/>
                <w:szCs w:val="20"/>
                <w:color w:val="auto"/>
              </w:rPr>
            </w:pPr>
            <w:r>
              <w:rPr>
                <w:rFonts w:ascii="Arial" w:cs="Arial" w:eastAsia="Arial" w:hAnsi="Arial"/>
                <w:sz w:val="17"/>
                <w:szCs w:val="17"/>
                <w:color w:val="auto"/>
              </w:rPr>
              <w:t>Accounts receivable, gross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992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1,117</w:t>
            </w: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allowance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3"/>
        </w:trPr>
        <w:tc>
          <w:tcPr>
            <w:tcW w:w="7760" w:type="dxa"/>
            <w:vAlign w:val="bottom"/>
          </w:tcPr>
          <w:p>
            <w:pPr>
              <w:ind w:left="20"/>
              <w:spacing w:after="0"/>
              <w:rPr>
                <w:sz w:val="20"/>
                <w:szCs w:val="20"/>
                <w:color w:val="auto"/>
              </w:rPr>
            </w:pPr>
            <w:r>
              <w:rPr>
                <w:rFonts w:ascii="Arial" w:cs="Arial" w:eastAsia="Arial" w:hAnsi="Arial"/>
                <w:sz w:val="17"/>
                <w:szCs w:val="17"/>
                <w:b w:val="1"/>
                <w:bCs w:val="1"/>
                <w:color w:val="auto"/>
              </w:rPr>
              <w:t>Total accounts receivable,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1,083</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allowance for credit losses as of September 30, 2023 and December 31, 2022 was $42 million and $34 million, respectively. We continue to evaluate our reserves in light of the age and quality of our outstanding accounts receivable as well as risks to specific industries or countries and adjust the reserves accordingly. The impact to our allowance for credit losses for the three and nine months ended September 30, 2023 was an expense of $2 million and $10 million, respectively. The impact to our allowance for credit losses for the three and nine months ended September 30, 2022 was an expense of $7 million and $15 million, respectively. The Company recorded write-offs against the reserve for the three and nine months ended September 30, 2023 of $2 million and $2 million, respectively. The Company recorded write-offs against the reserve for the three and nine months ended September 30, 2022 of $4 million and $10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inventory are summarized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480" w:type="dxa"/>
            <w:vAlign w:val="bottom"/>
          </w:tcPr>
          <w:p>
            <w:pPr>
              <w:jc w:val="right"/>
              <w:ind w:right="197"/>
              <w:spacing w:after="0"/>
              <w:rPr>
                <w:sz w:val="20"/>
                <w:szCs w:val="20"/>
                <w:color w:val="auto"/>
              </w:rPr>
            </w:pPr>
            <w:r>
              <w:rPr>
                <w:rFonts w:ascii="Arial" w:cs="Arial" w:eastAsia="Arial" w:hAnsi="Arial"/>
                <w:sz w:val="14"/>
                <w:szCs w:val="14"/>
                <w:b w:val="1"/>
                <w:bCs w:val="1"/>
                <w:color w:val="auto"/>
                <w:w w:val="93"/>
              </w:rPr>
              <w:t>December 31, 2022</w:t>
            </w:r>
          </w:p>
        </w:tc>
      </w:tr>
      <w:tr>
        <w:trPr>
          <w:trHeight w:val="25"/>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Inventories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0"/>
        </w:trPr>
        <w:tc>
          <w:tcPr>
            <w:tcW w:w="7760" w:type="dxa"/>
            <w:vAlign w:val="bottom"/>
          </w:tcPr>
          <w:p>
            <w:pPr>
              <w:ind w:left="20"/>
              <w:spacing w:after="0"/>
              <w:rPr>
                <w:sz w:val="20"/>
                <w:szCs w:val="20"/>
                <w:color w:val="auto"/>
              </w:rPr>
            </w:pPr>
            <w:r>
              <w:rPr>
                <w:rFonts w:ascii="Arial" w:cs="Arial" w:eastAsia="Arial" w:hAnsi="Arial"/>
                <w:sz w:val="17"/>
                <w:szCs w:val="17"/>
                <w:color w:val="auto"/>
              </w:rPr>
              <w:t>Work in process and raw materials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83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r>
      <w:tr>
        <w:trPr>
          <w:trHeight w:val="22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 parts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 (</w:t>
      </w:r>
      <w:r>
        <w:rPr>
          <w:rFonts w:ascii="Arial" w:cs="Arial" w:eastAsia="Arial" w:hAnsi="Arial"/>
          <w:sz w:val="17"/>
          <w:szCs w:val="17"/>
          <w:color w:val="auto"/>
        </w:rPr>
        <w:t>“</w:t>
      </w:r>
      <w:r>
        <w:rPr>
          <w:rFonts w:ascii="Arial" w:cs="Arial" w:eastAsia="Arial" w:hAnsi="Arial"/>
          <w:sz w:val="17"/>
          <w:szCs w:val="17"/>
          <w:b w:val="1"/>
          <w:bCs w:val="1"/>
          <w:color w:val="auto"/>
        </w:rPr>
        <w:t>MD&amp;A</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0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following discussion should be read in conjunction with the Condensed Consolidated Financial Statements and notes thereto included under Item 1. Financial Statements of this Form 10-Q and our Consolidated Financial Statements and notes thereto and related Management’s Discussion and Analysis of Financial Condition and Results of Operations included in our Annual Report on Form 10-K for the year ended December 31, 2022 (the “2022 Form 10-K”).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Our discussion within MD&amp;A is organized as follows:</w:t>
      </w:r>
    </w:p>
    <w:p>
      <w:pPr>
        <w:spacing w:after="0" w:line="245" w:lineRule="exact"/>
        <w:rPr>
          <w:sz w:val="20"/>
          <w:szCs w:val="20"/>
          <w:color w:val="auto"/>
        </w:rPr>
      </w:pPr>
    </w:p>
    <w:p>
      <w:pPr>
        <w:ind w:left="620" w:hanging="305"/>
        <w:spacing w:after="0" w:line="354" w:lineRule="auto"/>
        <w:tabs>
          <w:tab w:leader="none" w:pos="616"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Overview. </w:t>
      </w:r>
      <w:r>
        <w:rPr>
          <w:rFonts w:ascii="Arial" w:cs="Arial" w:eastAsia="Arial" w:hAnsi="Arial"/>
          <w:sz w:val="15"/>
          <w:szCs w:val="15"/>
          <w:color w:val="auto"/>
        </w:rPr>
        <w:t>This section contains background information on our company, summary of significant themes and events during the quarter as well as</w:t>
      </w:r>
      <w:r>
        <w:rPr>
          <w:rFonts w:ascii="Arial" w:cs="Arial" w:eastAsia="Arial" w:hAnsi="Arial"/>
          <w:sz w:val="15"/>
          <w:szCs w:val="15"/>
          <w:i w:val="1"/>
          <w:iCs w:val="1"/>
          <w:color w:val="auto"/>
        </w:rPr>
        <w:t xml:space="preserve"> </w:t>
      </w:r>
      <w:r>
        <w:rPr>
          <w:rFonts w:ascii="Arial" w:cs="Arial" w:eastAsia="Arial" w:hAnsi="Arial"/>
          <w:sz w:val="15"/>
          <w:szCs w:val="15"/>
          <w:color w:val="auto"/>
        </w:rPr>
        <w:t>strategic initiatives and trends in order to provide context for management’s discussion and analysis of our financial condition and results of operations.</w:t>
      </w:r>
    </w:p>
    <w:p>
      <w:pPr>
        <w:spacing w:after="0" w:line="139" w:lineRule="exact"/>
        <w:rPr>
          <w:rFonts w:ascii="Arial" w:cs="Arial" w:eastAsia="Arial" w:hAnsi="Arial"/>
          <w:sz w:val="15"/>
          <w:szCs w:val="15"/>
          <w:color w:val="auto"/>
        </w:rPr>
      </w:pPr>
    </w:p>
    <w:p>
      <w:pPr>
        <w:jc w:val="both"/>
        <w:ind w:left="620" w:hanging="305"/>
        <w:spacing w:after="0" w:line="26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contains an analysis of our results of operations presented in the accompanying condensed consolidated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 by comparing the results for the three and nine months ended September 30, 2023 to the results for the three and nine months ended September 30, 2022.</w:t>
      </w:r>
    </w:p>
    <w:p>
      <w:pPr>
        <w:spacing w:after="0" w:line="198"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an analysis of our cash flows and a discussion of our contractual obligations at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OVERVIEW</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NCR Voyix Corporation (“Voyix”, “NCR”, the “Company”, “we” or “us”), which, prior to its name change effective October 13, 2023 was known as NCR Corporation, was originally incorporated in 1884 and is a software- and services-led enterprise technology provider that runs stores, restaurants and self-directed banking for our customers, which includes businesses of all sizes. We are a global company that is headquartered in Atlanta, Georgia. Our software platform, which runs in the cloud and includes microservices and APIs that integrate with our customers’ systems, and our NCR-as-a-Service solutions bring together all of the capabilities and competencies to power the technology to run our customers’ operations. Our portfolio includes digital first software and services offerings for banking, retailers and restaurants, as well as payments processing and networks, multi-vendor connected device services, automated teller machines (“ATMs”), self-checkout (“SCO”) kiosks and related technologies, point of sale (“POS”) terminals and other self-service technologies. We also resell third-party networking products and provide related service offerings in the telecommunications and technology sector. Our solutions are designed to support our transition to becoming a software platform and payments company.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Completion of NCR Atleos Spin-Off Transaction</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September 15, 2022, we announced a plan to separate into two independent, publicly traded companies – one focused on digital commerce, the other on ATMs. On October 16, 2023, we completed our separation of our ATM-focused business, including our self-service banking, payments &amp; network and telecommunications and technology businesses, through the spin-off of our wholly owned subsidiary, NCR Atleos Corporation (“Atleos”), (the “Spin-Off”). The Spin-Off was effected through a pro rata distribution of all outstanding shares of Atleos common stock to holders of Voyix common stock as of the close of business on October 2, 2023 (the “record date”). We distributed one share of Atleos common stock for every two common shares of Voyix outstanding as of the record date. Shareholders received cash in lieu of fractional shares of Atleos common stock. The Spin-Off is expected to qualify as a tax-free distribution for U.S. federal income tax purposes. Atleos is an independent, publicly traded company focused on providing self-directed banking solutions to a global customer base, including financial institutions, retailers and consumers, and Voyix retains no ownership interest. Atleos’s common stock is listed on the New York Stock Exchange under the ticker symbol “NATL”. The historical financial results of Atleos are included in these condensed consolidated financial statements. Subsequent to the Spin-Off, and in future filings, the historical results of Atleos will be reflected as discontinued operations in the Company’s consolidated financial statements. Disclosures pertaining to Atleos’s issuance of debt in connection with the Spin-Off are provided in Note 5, “Debt Obligations”. Refer to Note 6, “Trade Receivables Facility”, Note 7, “Income Taxes”, Note 8, “Stock Compensation Plans”, Note 9, “Employee Benefit Plans”, Note 10, “Commitments and Contingencies”, Note 11, “Series A Convertible Preferred Stock” and Note 13, “Derivatives and Hedging Instruments” for additional disclosures related to the Spin-Off.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connection with the Spin-Off, the Company and Atleos entered into various agreements to effect the Spin-Off and provide a framework for the relationship between the Company and Atleos after the Spin-Off. Such agreements include the separation and distribution agreement, as well as the following ongoing agreements: a transition services agreement, tax matters agreement, employee matters agreement, patent and technology cross-license agreement, trademark license and use agreement, master services agreement, manufacturing services agreement and various other transaction agreements. Under these agreements, we will continue to provide certain products and services to Atleos following the Spin-Off.</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Segments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Prior to the October 16, 2023 Spin-Off, and during the quarter ended September 30, 2023, we managed and reported our operations in the following segments: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Retail, Hospitality, Digital Banking, Payments &amp; Network, and Self-Service Banking.</w:t>
      </w:r>
    </w:p>
    <w:p>
      <w:pPr>
        <w:spacing w:after="0" w:line="233" w:lineRule="exact"/>
        <w:rPr>
          <w:sz w:val="20"/>
          <w:szCs w:val="20"/>
          <w:color w:val="auto"/>
        </w:rPr>
      </w:pPr>
    </w:p>
    <w:p>
      <w:pPr>
        <w:jc w:val="both"/>
        <w:ind w:left="620" w:hanging="305"/>
        <w:spacing w:after="0" w:line="262" w:lineRule="auto"/>
        <w:tabs>
          <w:tab w:leader="none" w:pos="616"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Retail </w:t>
      </w:r>
      <w:r>
        <w:rPr>
          <w:rFonts w:ascii="Arial" w:cs="Arial" w:eastAsia="Arial" w:hAnsi="Arial"/>
          <w:sz w:val="17"/>
          <w:szCs w:val="17"/>
          <w:color w:val="auto"/>
        </w:rPr>
        <w:t>- We offer software-led solutions to customers in the retail industry, leading with digital to connect retail operations end to end to integrate all</w:t>
      </w:r>
      <w:r>
        <w:rPr>
          <w:rFonts w:ascii="Arial" w:cs="Arial" w:eastAsia="Arial" w:hAnsi="Arial"/>
          <w:sz w:val="17"/>
          <w:szCs w:val="17"/>
          <w:i w:val="1"/>
          <w:iCs w:val="1"/>
          <w:color w:val="auto"/>
        </w:rPr>
        <w:t xml:space="preserve"> </w:t>
      </w:r>
      <w:r>
        <w:rPr>
          <w:rFonts w:ascii="Arial" w:cs="Arial" w:eastAsia="Arial" w:hAnsi="Arial"/>
          <w:sz w:val="17"/>
          <w:szCs w:val="17"/>
          <w:color w:val="auto"/>
        </w:rPr>
        <w:t>aspects of a customer’s operations in indoor and outdoor settings from POS, to payments, inventory management, fraud and loss prevention applications, loyalty and consumer engagement. These solutions include retail-oriented technologies such as comprehensive API-point of sale retail software platforms and applications, hardware terminals, self-service kiosks including SCO, payment processing and merchant acquiring solutions, and bar-code scanners.</w:t>
      </w:r>
    </w:p>
    <w:p>
      <w:pPr>
        <w:spacing w:after="0" w:line="203" w:lineRule="exact"/>
        <w:rPr>
          <w:rFonts w:ascii="Arial" w:cs="Arial" w:eastAsia="Arial" w:hAnsi="Arial"/>
          <w:sz w:val="17"/>
          <w:szCs w:val="17"/>
          <w:i w:val="1"/>
          <w:iCs w:val="1"/>
          <w:color w:val="auto"/>
        </w:rPr>
      </w:pPr>
    </w:p>
    <w:p>
      <w:pPr>
        <w:jc w:val="both"/>
        <w:ind w:left="620" w:hanging="305"/>
        <w:spacing w:after="0" w:line="264"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Hospitality </w:t>
      </w:r>
      <w:r>
        <w:rPr>
          <w:rFonts w:ascii="Arial" w:cs="Arial" w:eastAsia="Arial" w:hAnsi="Arial"/>
          <w:sz w:val="17"/>
          <w:szCs w:val="17"/>
          <w:color w:val="auto"/>
        </w:rPr>
        <w:t>- We offer technology solutions to customers in the hospitality industry, including table-service, quick-service and fast casual restaurants of</w:t>
      </w:r>
      <w:r>
        <w:rPr>
          <w:rFonts w:ascii="Arial" w:cs="Arial" w:eastAsia="Arial" w:hAnsi="Arial"/>
          <w:sz w:val="17"/>
          <w:szCs w:val="17"/>
          <w:i w:val="1"/>
          <w:iCs w:val="1"/>
          <w:color w:val="auto"/>
        </w:rPr>
        <w:t xml:space="preserve"> </w:t>
      </w:r>
      <w:r>
        <w:rPr>
          <w:rFonts w:ascii="Arial" w:cs="Arial" w:eastAsia="Arial" w:hAnsi="Arial"/>
          <w:sz w:val="17"/>
          <w:szCs w:val="17"/>
          <w:color w:val="auto"/>
        </w:rPr>
        <w:t>all sizes, that are designed to improve operational efficiency, increase customer satisfaction, streamline order and transaction processing and reduce operating costs. Our solutions include POS hardware and software solutions, payment processing and merchant acquiring services, installation, maintenance, as well as managed and professional services.</w:t>
      </w:r>
    </w:p>
    <w:p>
      <w:pPr>
        <w:spacing w:after="0" w:line="203" w:lineRule="exact"/>
        <w:rPr>
          <w:rFonts w:ascii="Arial" w:cs="Arial" w:eastAsia="Arial" w:hAnsi="Arial"/>
          <w:sz w:val="17"/>
          <w:szCs w:val="17"/>
          <w:color w:val="auto"/>
        </w:rPr>
      </w:pPr>
    </w:p>
    <w:p>
      <w:pPr>
        <w:ind w:left="620" w:hanging="305"/>
        <w:spacing w:after="0" w:line="278" w:lineRule="auto"/>
        <w:tabs>
          <w:tab w:leader="none" w:pos="616" w:val="left"/>
        </w:tabs>
        <w:numPr>
          <w:ilvl w:val="0"/>
          <w:numId w:val="13"/>
        </w:numPr>
        <w:rPr>
          <w:rFonts w:ascii="Arial" w:cs="Arial" w:eastAsia="Arial" w:hAnsi="Arial"/>
          <w:sz w:val="16"/>
          <w:szCs w:val="16"/>
          <w:color w:val="0E101A"/>
        </w:rPr>
      </w:pPr>
      <w:r>
        <w:rPr>
          <w:rFonts w:ascii="Arial" w:cs="Arial" w:eastAsia="Arial" w:hAnsi="Arial"/>
          <w:sz w:val="16"/>
          <w:szCs w:val="16"/>
          <w:i w:val="1"/>
          <w:iCs w:val="1"/>
          <w:color w:val="auto"/>
        </w:rPr>
        <w:t xml:space="preserve">Digital Banking </w:t>
      </w:r>
      <w:r>
        <w:rPr>
          <w:rFonts w:ascii="Arial" w:cs="Arial" w:eastAsia="Arial" w:hAnsi="Arial"/>
          <w:sz w:val="16"/>
          <w:szCs w:val="16"/>
          <w:color w:val="auto"/>
        </w:rPr>
        <w:t>- Digital Banking helps financial institutions implement their digital-first platform strategy by providing solutions for account opening,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management, transaction processing, imaging, and branch services to enable financial institutions to offer a compelling customer experience.</w:t>
      </w:r>
    </w:p>
    <w:p>
      <w:pPr>
        <w:spacing w:after="0" w:line="1" w:lineRule="exact"/>
        <w:rPr>
          <w:rFonts w:ascii="Arial" w:cs="Arial" w:eastAsia="Arial" w:hAnsi="Arial"/>
          <w:sz w:val="16"/>
          <w:szCs w:val="16"/>
          <w:color w:val="0E101A"/>
        </w:rPr>
      </w:pPr>
    </w:p>
    <w:p>
      <w:pPr>
        <w:jc w:val="both"/>
        <w:ind w:left="620" w:hanging="305"/>
        <w:spacing w:after="0" w:line="276" w:lineRule="auto"/>
        <w:tabs>
          <w:tab w:leader="none" w:pos="616"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Payments &amp; Network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0E101A"/>
        </w:rPr>
        <w:t>We provide a cost-effective way for financial institutions, fintechs, and neobanks to reach and serve their customers through our</w:t>
      </w:r>
      <w:r>
        <w:rPr>
          <w:rFonts w:ascii="Arial" w:cs="Arial" w:eastAsia="Arial" w:hAnsi="Arial"/>
          <w:sz w:val="16"/>
          <w:szCs w:val="16"/>
          <w:i w:val="1"/>
          <w:iCs w:val="1"/>
          <w:color w:val="auto"/>
        </w:rPr>
        <w:t xml:space="preserve"> </w:t>
      </w:r>
      <w:r>
        <w:rPr>
          <w:rFonts w:ascii="Arial" w:cs="Arial" w:eastAsia="Arial" w:hAnsi="Arial"/>
          <w:sz w:val="16"/>
          <w:szCs w:val="16"/>
          <w:color w:val="0E101A"/>
        </w:rPr>
        <w:t>network of ATMs and multi-functioning financial services kiosks. We offer credit unions, banks, digital banks, fintechs, stored-value debit card issuers, and other consumer financial services providers access to our Allpoint retail-based ATM network, providing convenient and fee-free cash withdrawal and deposit access to their customers and cardholders as well as the ability to convert a digital value to cash, or vice versa, via NCRPay360. We also provide ATM branding solutions to financial institutions, ATM management and services to retailers and other businesses, as well as payment processing and merchant acquiring services in the retail, hospitality and other industries.</w:t>
      </w:r>
    </w:p>
    <w:p>
      <w:pPr>
        <w:spacing w:after="0" w:line="195" w:lineRule="exact"/>
        <w:rPr>
          <w:rFonts w:ascii="Arial" w:cs="Arial" w:eastAsia="Arial" w:hAnsi="Arial"/>
          <w:sz w:val="16"/>
          <w:szCs w:val="16"/>
          <w:i w:val="1"/>
          <w:iCs w:val="1"/>
          <w:color w:val="auto"/>
        </w:rPr>
      </w:pPr>
    </w:p>
    <w:p>
      <w:pPr>
        <w:jc w:val="both"/>
        <w:ind w:left="620" w:hanging="305"/>
        <w:spacing w:after="0" w:line="258"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Self-Service Banking </w:t>
      </w:r>
      <w:r>
        <w:rPr>
          <w:rFonts w:ascii="Arial" w:cs="Arial" w:eastAsia="Arial" w:hAnsi="Arial"/>
          <w:sz w:val="17"/>
          <w:szCs w:val="17"/>
          <w:color w:val="auto"/>
        </w:rPr>
        <w:t>- We offer solutions to enable customers in the financial services industry to reduce costs, generate new revenue streams and</w:t>
      </w:r>
      <w:r>
        <w:rPr>
          <w:rFonts w:ascii="Arial" w:cs="Arial" w:eastAsia="Arial" w:hAnsi="Arial"/>
          <w:sz w:val="17"/>
          <w:szCs w:val="17"/>
          <w:i w:val="1"/>
          <w:iCs w:val="1"/>
          <w:color w:val="auto"/>
        </w:rPr>
        <w:t xml:space="preserve"> </w:t>
      </w:r>
      <w:r>
        <w:rPr>
          <w:rFonts w:ascii="Arial" w:cs="Arial" w:eastAsia="Arial" w:hAnsi="Arial"/>
          <w:sz w:val="17"/>
          <w:szCs w:val="17"/>
          <w:color w:val="auto"/>
        </w:rPr>
        <w:t>enhance customer loyalty. These solutions include a comprehensive line of ATM hardware and software, and related installation, maintenance, and managed and professional services. We also offer solutions to manage and run the ATM channel end-to-end for financial institutions that includes back office, cash management, software management and ATM deployment, among others.</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Corporate and Other includes income and expenses related to corporate functions that are not specifically attributable to an individual reportable segment along with any immaterial operating segment(s).</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Eliminations include revenues from contracts with customers and the related costs that are reported in the Payments &amp; Network segment as well as in the Retail or Hospitality segments, including merchant acquiring services that are monetized via payments.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Concurrently with the Spin-Off on October 16, 2023, the Company made a number of changes to its organizational structure and management system, including the Company’s reportable segments. Following the Spin-Off, the Company will manage its reports and operations using three reportable segments - Retail, Restaurant (formerly reported as Hospitality) and Digital Banking. These changes will impact the Company’s reportable segments beginning in the fourth quarter of 2023.</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reputation is founded upon over 139 years of providing quality products, services and solutions to our customers. At the heart of our customer and other business relationships is a commitment to acting responsibly, ethically and with the highest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40"/>
        <w:spacing w:after="0" w:line="284" w:lineRule="auto"/>
        <w:rPr>
          <w:sz w:val="20"/>
          <w:szCs w:val="20"/>
          <w:color w:val="auto"/>
        </w:rPr>
      </w:pPr>
      <w:r>
        <w:rPr>
          <w:rFonts w:ascii="Arial" w:cs="Arial" w:eastAsia="Arial" w:hAnsi="Arial"/>
          <w:sz w:val="17"/>
          <w:szCs w:val="17"/>
          <w:color w:val="auto"/>
        </w:rPr>
        <w:t xml:space="preserve">level of integrity. This commitment is reflected in our Code of Conduct, which is available on the Corporate Governance page of our website. </w:t>
      </w:r>
      <w:r>
        <w:rPr>
          <w:rFonts w:ascii="Arial" w:cs="Arial" w:eastAsia="Arial" w:hAnsi="Arial"/>
          <w:sz w:val="17"/>
          <w:szCs w:val="17"/>
          <w:b w:val="1"/>
          <w:bCs w:val="1"/>
          <w:i w:val="1"/>
          <w:iCs w:val="1"/>
          <w:color w:val="auto"/>
        </w:rPr>
        <w:t>SIGNIFICANT THEMES AND EVENTS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were significant themes and events for the third quarter of 2023.</w:t>
      </w:r>
    </w:p>
    <w:p>
      <w:pPr>
        <w:spacing w:after="0" w:line="245" w:lineRule="exact"/>
        <w:rPr>
          <w:sz w:val="20"/>
          <w:szCs w:val="20"/>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Revenue of $2,017 million, up 2% compared to the prior year period</w:t>
      </w:r>
    </w:p>
    <w:p>
      <w:pPr>
        <w:spacing w:after="0" w:line="24" w:lineRule="exact"/>
        <w:rPr>
          <w:rFonts w:ascii="Arial" w:cs="Arial" w:eastAsia="Arial" w:hAnsi="Arial"/>
          <w:sz w:val="17"/>
          <w:szCs w:val="17"/>
          <w:color w:val="auto"/>
        </w:rPr>
      </w:pPr>
    </w:p>
    <w:p>
      <w:pPr>
        <w:ind w:left="1240" w:hanging="303"/>
        <w:spacing w:after="0"/>
        <w:tabs>
          <w:tab w:leader="none" w:pos="12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Recurring revenue increased 7% from the prior year and comprised 65% of total consolidated revenue</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Continued strength in strategic initiatives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Separation of NCR Corporation into two independent, publicly traded companies announced on September 15, 2022, completed on October 16, 2023</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INITIATIVES AND TRENDS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order to provide long-term value to all our stakeholders, we set complementary business goals and financial strategies. We are continuing its transition to become a software platform and payments company with a shift to a higher level of recurring revenue. Our business goal is to be a leading enterprise technology provider that runs stores, restaurants and self-directed banking through our software platform and our NCR-as-a-Service solutions. Execution of our goals and strategy is driven by the following key pillars: (i) focus on our customers; (ii) take care of our employees; (iii) bring high-quality, innovative products to market; and (iv) leverage our brand. We also plan to continue to improve our execution to drive solid returns and to transform our business to enhance value for all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Cybersecurity Risk Management</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Similar to most companies, the Company and its customers are subject to more frequent and increasingly sophisticated cybersecurity attacks (including the ransomware incident announced April 17, 2023). We maintain cybersecurity risk management policies and procedures including disclosure controls, which we regularly evaluate for updates, for handling and responding to cybersecurity events. These policies and procedures include internal notifications and engagements and, as necessary, cooperation with law enforcement. Personnel involved in handling and responding to cybersecurity events periodically undertake tabletop exercises to simulate an event. Our internal notification procedures include notifying the applicable Company attorneys, which, depending on the level of severity assigned to the event, may include direct notice to, among others, our General Counsel, Ethics &amp; Compliance Officer, and Chief Privacy Officer. Our attorneys support efforts to evaluate the materiality of any incidents, determine whether notice to third parties such as customers or vendors is required, determine whether any prohibition on insider trading is appropriate, and assess whether disclosure to stockholders or governmental filings, including with the SEC, are required. Our internal notification procedures also include notifying various Information Technology Services managers, subject matter experts in our software department and Company leadership, depending on the level of severity assigned to the event.</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further information on potential risks and uncertainties, see Part 1, Item 1A “Risk Factors,” of the 2022 Form 10-K and Part II, Item 1A “Risk Factors,” of this Form 10-Q, as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Impacts from Geopolitical and Macroeconomic Challenges</w:t>
      </w: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continue to be exposed to macroeconomic pressures as a result of supply chain challenges, foreign currency fluctuations, and spikes in interest rates, commodity and energy prices as a result of geopolitical challenges, including those due in part to the conflict between Israel and Hamas. We continue to navigate through these challenges with a sharp focus on and goal of safeguarding our employees, helping our customers and managing impacts on our supply chain. Despite the rapidly changing environment, our teams are executing at a high level and we are advancing our strategy.</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expect that these factors will continue to negatively impact our business at least in the short-term. The ultimate impact on our overall financial condition and operating results will depend on the duration and severity of these geopolitical and other macroeconomic pressures and any governmental and public actions taken in response. We continue to evaluate the long-term impact that these may have on our business model, however, there can be no assurance that the measures we have taken or will take will completely offset the negative impact.</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further information on the risks posed to our business from the COVID-19 pandemic and other geopolitical and macroeconomic factors, refer to Part I, Item 1A, “Risk Factors”, of the Company’s 2022 Form 10-K. For further information 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exposures to foreign exchange risk, refer to Item 3, “Quantitative and Qualitative Disclosures about Market Risk”,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from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three and nine months ended September 30, 2023 compared to the three and nine months ended September 30, 2022</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tables show our results for the three and nine months ended September 30, the relative percentage that those amounts represent to revenue, and the change in those amounts year-over-year.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Three months ended September 30</w:t>
            </w:r>
          </w:p>
        </w:tc>
        <w:tc>
          <w:tcPr>
            <w:tcW w:w="3020" w:type="dxa"/>
            <w:vAlign w:val="bottom"/>
            <w:gridSpan w:val="4"/>
          </w:tcPr>
          <w:p>
            <w:pPr>
              <w:ind w:left="760"/>
              <w:spacing w:after="0"/>
              <w:rPr>
                <w:sz w:val="20"/>
                <w:szCs w:val="20"/>
                <w:color w:val="auto"/>
              </w:rPr>
            </w:pPr>
            <w:r>
              <w:rPr>
                <w:rFonts w:ascii="Arial" w:cs="Arial" w:eastAsia="Arial" w:hAnsi="Arial"/>
                <w:sz w:val="14"/>
                <w:szCs w:val="14"/>
                <w:b w:val="1"/>
                <w:bCs w:val="1"/>
                <w:color w:val="auto"/>
              </w:rPr>
              <w:t xml:space="preserve">Percentage of Revenue </w:t>
            </w:r>
            <w:r>
              <w:rPr>
                <w:rFonts w:ascii="Arial" w:cs="Arial" w:eastAsia="Arial" w:hAnsi="Arial"/>
                <w:sz w:val="17"/>
                <w:szCs w:val="17"/>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 (Decrease)</w:t>
            </w:r>
          </w:p>
        </w:tc>
      </w:tr>
      <w:tr>
        <w:trPr>
          <w:trHeight w:val="180"/>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2023 vs 2022</w:t>
            </w:r>
          </w:p>
        </w:tc>
      </w:tr>
      <w:tr>
        <w:trPr>
          <w:trHeight w:val="22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Service revenue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72.2 %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5 %</w:t>
            </w:r>
          </w:p>
        </w:tc>
      </w:tr>
      <w:tr>
        <w:trPr>
          <w:trHeight w:val="21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7"/>
                <w:szCs w:val="17"/>
                <w:color w:val="auto"/>
              </w:rPr>
              <w:t>Product gross margin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95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17.0 %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11.2 %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44 %</w:t>
            </w:r>
          </w:p>
        </w:tc>
      </w:tr>
      <w:tr>
        <w:trPr>
          <w:trHeight w:val="22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 gross margin</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36.5 %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25 %</w:t>
            </w: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gross margin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491</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31.1 %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24.9 %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28 %</w:t>
            </w:r>
          </w:p>
        </w:tc>
      </w:tr>
      <w:tr>
        <w:trPr>
          <w:trHeight w:val="22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r>
      <w:tr>
        <w:trPr>
          <w:trHeight w:val="220"/>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Research and development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35 %</w:t>
            </w:r>
          </w:p>
        </w:tc>
      </w:tr>
      <w:tr>
        <w:trPr>
          <w:trHeight w:val="23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750"/>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3020" w:type="dxa"/>
            <w:vAlign w:val="bottom"/>
            <w:gridSpan w:val="4"/>
          </w:tcPr>
          <w:p>
            <w:pPr>
              <w:ind w:left="760"/>
              <w:spacing w:after="0"/>
              <w:rPr>
                <w:sz w:val="20"/>
                <w:szCs w:val="20"/>
                <w:color w:val="auto"/>
              </w:rPr>
            </w:pPr>
            <w:r>
              <w:rPr>
                <w:rFonts w:ascii="Arial" w:cs="Arial" w:eastAsia="Arial" w:hAnsi="Arial"/>
                <w:sz w:val="14"/>
                <w:szCs w:val="14"/>
                <w:b w:val="1"/>
                <w:bCs w:val="1"/>
                <w:color w:val="auto"/>
              </w:rPr>
              <w:t xml:space="preserve">Percentage of Revenue </w:t>
            </w:r>
            <w:r>
              <w:rPr>
                <w:rFonts w:ascii="Arial" w:cs="Arial" w:eastAsia="Arial" w:hAnsi="Arial"/>
                <w:sz w:val="17"/>
                <w:szCs w:val="17"/>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 (Decrease)</w:t>
            </w:r>
          </w:p>
        </w:tc>
      </w:tr>
      <w:tr>
        <w:trPr>
          <w:trHeight w:val="18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2023 vs 2022</w:t>
            </w: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4080" w:type="dxa"/>
            <w:vAlign w:val="bottom"/>
            <w:gridSpan w:val="2"/>
          </w:tcPr>
          <w:p>
            <w:pPr>
              <w:ind w:left="20"/>
              <w:spacing w:after="0"/>
              <w:rPr>
                <w:sz w:val="20"/>
                <w:szCs w:val="20"/>
                <w:color w:val="auto"/>
              </w:rPr>
            </w:pPr>
            <w:r>
              <w:rPr>
                <w:rFonts w:ascii="Arial" w:cs="Arial" w:eastAsia="Arial" w:hAnsi="Arial"/>
                <w:sz w:val="17"/>
                <w:szCs w:val="17"/>
                <w:color w:val="auto"/>
              </w:rPr>
              <w:t>Service revenue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4,115</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71.9 %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70.5 %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1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13"/>
        </w:trPr>
        <w:tc>
          <w:tcPr>
            <w:tcW w:w="4060" w:type="dxa"/>
            <w:vAlign w:val="bottom"/>
          </w:tcPr>
          <w:p>
            <w:pPr>
              <w:ind w:left="20"/>
              <w:spacing w:after="0"/>
              <w:rPr>
                <w:sz w:val="20"/>
                <w:szCs w:val="20"/>
                <w:color w:val="auto"/>
              </w:rPr>
            </w:pPr>
            <w:r>
              <w:rPr>
                <w:rFonts w:ascii="Arial" w:cs="Arial" w:eastAsia="Arial" w:hAnsi="Arial"/>
                <w:sz w:val="17"/>
                <w:szCs w:val="17"/>
                <w:color w:val="auto"/>
              </w:rPr>
              <w:t>Product gross margin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258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15.6 %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9.3 %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61 %</w:t>
            </w:r>
          </w:p>
        </w:tc>
      </w:tr>
      <w:tr>
        <w:trPr>
          <w:trHeight w:val="22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 gross margin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13"/>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Total gross margin</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1,631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1,373</w:t>
            </w:r>
          </w:p>
        </w:tc>
        <w:tc>
          <w:tcPr>
            <w:tcW w:w="8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27.7 %</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23.5 %</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19 %</w:t>
            </w:r>
          </w:p>
        </w:tc>
      </w:tr>
      <w:tr>
        <w:trPr>
          <w:trHeight w:val="22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40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 expenses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7 %</w:t>
            </w:r>
          </w:p>
        </w:tc>
      </w:tr>
      <w:tr>
        <w:trPr>
          <w:trHeight w:val="23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right="200" w:firstLine="4"/>
        <w:spacing w:after="0" w:line="277" w:lineRule="auto"/>
        <w:tabs>
          <w:tab w:leader="none" w:pos="157"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percentage of revenue is calculated for each line item divided by total revenue, except for product gross margin and service gross margin, which are divided by the related component of revenue.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Strategic Financial Metrics</w:t>
      </w: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tables show our key strategic financial metrics for the three and nine months ended September 30, the relative percentage that those amounts represent to total revenue, and the change in those amounts year-over-year.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revenue as a percentage of total revenue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3000" w:type="dxa"/>
            <w:vAlign w:val="bottom"/>
            <w:gridSpan w:val="4"/>
          </w:tcPr>
          <w:p>
            <w:pPr>
              <w:ind w:left="660"/>
              <w:spacing w:after="0"/>
              <w:rPr>
                <w:sz w:val="20"/>
                <w:szCs w:val="20"/>
                <w:color w:val="auto"/>
              </w:rPr>
            </w:pPr>
            <w:r>
              <w:rPr>
                <w:rFonts w:ascii="Arial" w:cs="Arial" w:eastAsia="Arial" w:hAnsi="Arial"/>
                <w:sz w:val="14"/>
                <w:szCs w:val="14"/>
                <w:b w:val="1"/>
                <w:bCs w:val="1"/>
                <w:color w:val="auto"/>
              </w:rPr>
              <w:t>Percentage of Total Revenue</w:t>
            </w:r>
          </w:p>
        </w:tc>
        <w:tc>
          <w:tcPr>
            <w:tcW w:w="1400" w:type="dxa"/>
            <w:vAlign w:val="bottom"/>
          </w:tcPr>
          <w:p>
            <w:pPr>
              <w:jc w:val="right"/>
              <w:ind w:right="41"/>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25"/>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40"/>
              <w:spacing w:after="0" w:line="221" w:lineRule="exact"/>
              <w:rPr>
                <w:sz w:val="20"/>
                <w:szCs w:val="20"/>
                <w:color w:val="auto"/>
              </w:rPr>
            </w:pPr>
            <w:r>
              <w:rPr>
                <w:rFonts w:ascii="Arial" w:cs="Arial" w:eastAsia="Arial" w:hAnsi="Arial"/>
                <w:sz w:val="17"/>
                <w:szCs w:val="17"/>
                <w:color w:val="auto"/>
              </w:rPr>
              <w:t xml:space="preserve">Recurring revenue </w:t>
            </w:r>
            <w:r>
              <w:rPr>
                <w:rFonts w:ascii="Arial" w:cs="Arial" w:eastAsia="Arial" w:hAnsi="Arial"/>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1,305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64.7 %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All other products and services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712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35.3 %</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7"/>
                <w:szCs w:val="17"/>
                <w:color w:val="auto"/>
              </w:rPr>
              <w:t>48</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3000" w:type="dxa"/>
            <w:vAlign w:val="bottom"/>
            <w:gridSpan w:val="4"/>
          </w:tcPr>
          <w:p>
            <w:pPr>
              <w:ind w:left="660"/>
              <w:spacing w:after="0"/>
              <w:rPr>
                <w:sz w:val="20"/>
                <w:szCs w:val="20"/>
                <w:color w:val="auto"/>
              </w:rPr>
            </w:pPr>
            <w:r>
              <w:rPr>
                <w:rFonts w:ascii="Arial" w:cs="Arial" w:eastAsia="Arial" w:hAnsi="Arial"/>
                <w:sz w:val="14"/>
                <w:szCs w:val="14"/>
                <w:b w:val="1"/>
                <w:bCs w:val="1"/>
                <w:color w:val="auto"/>
              </w:rPr>
              <w:t>Percentage of Total Revenue</w:t>
            </w:r>
          </w:p>
        </w:tc>
        <w:tc>
          <w:tcPr>
            <w:tcW w:w="1400" w:type="dxa"/>
            <w:vAlign w:val="bottom"/>
          </w:tcPr>
          <w:p>
            <w:pPr>
              <w:jc w:val="right"/>
              <w:ind w:right="41"/>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25"/>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40"/>
              <w:spacing w:after="0" w:line="221" w:lineRule="exact"/>
              <w:rPr>
                <w:sz w:val="20"/>
                <w:szCs w:val="20"/>
                <w:color w:val="auto"/>
              </w:rPr>
            </w:pPr>
            <w:r>
              <w:rPr>
                <w:rFonts w:ascii="Arial" w:cs="Arial" w:eastAsia="Arial" w:hAnsi="Arial"/>
                <w:sz w:val="17"/>
                <w:szCs w:val="17"/>
                <w:color w:val="auto"/>
              </w:rPr>
              <w:t xml:space="preserve">Recurring revenue </w:t>
            </w:r>
            <w:r>
              <w:rPr>
                <w:rFonts w:ascii="Arial" w:cs="Arial" w:eastAsia="Arial" w:hAnsi="Arial"/>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3,796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All other products and services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2,098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35.6 %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5,894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40" w:hanging="236"/>
        <w:spacing w:after="0" w:line="286" w:lineRule="auto"/>
        <w:tabs>
          <w:tab w:leader="none" w:pos="150"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interchange and network revenue, Bitcoin-related revenue, and certain professional services arrangements as well as term-based software license arrangements that include customer termination rights.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from continuing operations attributable to NCR and Adjusted EBITDA</w:t>
      </w:r>
      <w:r>
        <w:rPr>
          <w:rFonts w:ascii="Arial" w:cs="Arial" w:eastAsia="Arial" w:hAnsi="Arial"/>
          <w:sz w:val="22"/>
          <w:szCs w:val="22"/>
          <w:b w:val="1"/>
          <w:bCs w:val="1"/>
          <w:i w:val="1"/>
          <w:iCs w:val="1"/>
          <w:color w:val="auto"/>
          <w:vertAlign w:val="superscript"/>
        </w:rPr>
        <w:t>(2)</w:t>
      </w:r>
      <w:r>
        <w:rPr>
          <w:rFonts w:ascii="Arial" w:cs="Arial" w:eastAsia="Arial" w:hAnsi="Arial"/>
          <w:sz w:val="17"/>
          <w:szCs w:val="17"/>
          <w:b w:val="1"/>
          <w:bCs w:val="1"/>
          <w:i w:val="1"/>
          <w:iCs w:val="1"/>
          <w:color w:val="auto"/>
        </w:rPr>
        <w:t xml:space="preserve"> as a percentage of total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3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Percentage of Total Revenue</w:t>
            </w:r>
          </w:p>
        </w:tc>
        <w:tc>
          <w:tcPr>
            <w:tcW w:w="1400" w:type="dxa"/>
            <w:vAlign w:val="bottom"/>
          </w:tcPr>
          <w:p>
            <w:pPr>
              <w:jc w:val="right"/>
              <w:ind w:right="42"/>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25"/>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220"/>
              <w:spacing w:after="0" w:line="156" w:lineRule="exact"/>
              <w:rPr>
                <w:sz w:val="20"/>
                <w:szCs w:val="20"/>
                <w:color w:val="auto"/>
              </w:rPr>
            </w:pPr>
            <w:r>
              <w:rPr>
                <w:rFonts w:ascii="Arial" w:cs="Arial" w:eastAsia="Arial" w:hAnsi="Arial"/>
                <w:sz w:val="17"/>
                <w:szCs w:val="17"/>
                <w:color w:val="auto"/>
              </w:rPr>
              <w:t>Net income (loss) from continuing operations</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attributable to NCR</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26"/>
        </w:trPr>
        <w:tc>
          <w:tcPr>
            <w:tcW w:w="412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2"/>
              <w:spacing w:after="0"/>
              <w:rPr>
                <w:sz w:val="20"/>
                <w:szCs w:val="20"/>
                <w:color w:val="auto"/>
              </w:rPr>
            </w:pPr>
            <w:r>
              <w:rPr>
                <w:rFonts w:ascii="Arial" w:cs="Arial" w:eastAsia="Arial" w:hAnsi="Arial"/>
                <w:sz w:val="17"/>
                <w:szCs w:val="17"/>
                <w:b w:val="1"/>
                <w:bCs w:val="1"/>
                <w:color w:val="auto"/>
              </w:rPr>
              <w:t>404</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20.0 %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19.3 %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6"/>
        <w:spacing w:after="0"/>
        <w:tabs>
          <w:tab w:leader="none" w:pos="16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Refer to our definition of Adjusted EBITDA in the section entitled “Non-GAAP Financial Measures and Use of Certain Terms.”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3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Percentage of Total Revenue</w:t>
            </w:r>
          </w:p>
        </w:tc>
        <w:tc>
          <w:tcPr>
            <w:tcW w:w="1400" w:type="dxa"/>
            <w:vAlign w:val="bottom"/>
          </w:tcPr>
          <w:p>
            <w:pPr>
              <w:jc w:val="right"/>
              <w:ind w:right="42"/>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25"/>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220"/>
              <w:spacing w:after="0" w:line="156" w:lineRule="exact"/>
              <w:rPr>
                <w:sz w:val="20"/>
                <w:szCs w:val="20"/>
                <w:color w:val="auto"/>
              </w:rPr>
            </w:pPr>
            <w:r>
              <w:rPr>
                <w:rFonts w:ascii="Arial" w:cs="Arial" w:eastAsia="Arial" w:hAnsi="Arial"/>
                <w:sz w:val="17"/>
                <w:szCs w:val="17"/>
                <w:color w:val="auto"/>
              </w:rPr>
              <w:t>Net income (loss) from continuing operations</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attributable to NCR</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26"/>
        </w:trPr>
        <w:tc>
          <w:tcPr>
            <w:tcW w:w="412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2"/>
              <w:spacing w:after="0"/>
              <w:rPr>
                <w:sz w:val="20"/>
                <w:szCs w:val="20"/>
                <w:color w:val="auto"/>
              </w:rPr>
            </w:pPr>
            <w:r>
              <w:rPr>
                <w:rFonts w:ascii="Arial" w:cs="Arial" w:eastAsia="Arial" w:hAnsi="Arial"/>
                <w:sz w:val="17"/>
                <w:szCs w:val="17"/>
                <w:b w:val="1"/>
                <w:bCs w:val="1"/>
                <w:color w:val="auto"/>
              </w:rPr>
              <w:t>1,095</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990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18.6 %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Financial Measures and Use of Certain Terms:</w:t>
      </w:r>
    </w:p>
    <w:p>
      <w:pPr>
        <w:spacing w:after="0" w:line="25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Constant Currency </w:t>
      </w:r>
      <w:r>
        <w:rPr>
          <w:rFonts w:ascii="Arial" w:cs="Arial" w:eastAsia="Arial" w:hAnsi="Arial"/>
          <w:sz w:val="15"/>
          <w:szCs w:val="15"/>
          <w:color w:val="auto"/>
        </w:rPr>
        <w:t>We present certain financial measures, such as period-over-period revenue growth, on a constant currency basis, which excludes the effects of</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currency translation by translating prior period results at current period monthly average exchange rates. Due to the overall variability of foreign exchange rates from period to period, our management uses constant currency measures to evaluate period-over-period operating performance on a more consistent and comparable basis. Our management believes that presentation of financial measures without this result may contribute to an understanding of the Company’s period-over-period operating performance and provides additional insight into historical and/or future performance, which may be helpful for investors.</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Adjusted Earnings Before Interest, Taxes, Depreciation and Amortization (“Adjusted EBITDA”) </w:t>
      </w:r>
      <w:r>
        <w:rPr>
          <w:rFonts w:ascii="Arial" w:cs="Arial" w:eastAsia="Arial" w:hAnsi="Arial"/>
          <w:sz w:val="16"/>
          <w:szCs w:val="16"/>
          <w:color w:val="auto"/>
        </w:rPr>
        <w:t>Our management uses the non-GAAP measure Adjusted</w:t>
      </w:r>
      <w:r>
        <w:rPr>
          <w:rFonts w:ascii="Arial" w:cs="Arial" w:eastAsia="Arial" w:hAnsi="Arial"/>
          <w:sz w:val="16"/>
          <w:szCs w:val="16"/>
          <w:i w:val="1"/>
          <w:iCs w:val="1"/>
          <w:color w:val="auto"/>
        </w:rPr>
        <w:t xml:space="preserve"> </w:t>
      </w:r>
      <w:r>
        <w:rPr>
          <w:rFonts w:ascii="Arial" w:cs="Arial" w:eastAsia="Arial" w:hAnsi="Arial"/>
          <w:sz w:val="16"/>
          <w:szCs w:val="16"/>
          <w:color w:val="auto"/>
        </w:rPr>
        <w:t>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plus interest expense, net; plus income tax expense (benefit); plus depreciation and amortization (excluding acquisition-related amortization of intangibles); plus stock-based compensation expense; plus other income (expense); plus pension mark-to-market adjustments and other special items, including amortization of acquisition-related intangibles, separation-related costs, cyber ransomware incident recovery costs, and transformation and restructuring charges (which includes integration, severance and other exit and disposal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(GAAP) to Adjusted EBITDA (non-GAAP).</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Special Item Related to Russia </w:t>
      </w:r>
      <w:r>
        <w:rPr>
          <w:rFonts w:ascii="Arial" w:cs="Arial" w:eastAsia="Arial" w:hAnsi="Arial"/>
          <w:sz w:val="17"/>
          <w:szCs w:val="17"/>
          <w:color w:val="auto"/>
        </w:rPr>
        <w:t>The war in Eastern Europe and related sanctions imposed on Russia and related actors by the United States and other jurisdictions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us to commence the orderly wind down of our operations in Russia in the first quarter of 2022. As of September 30, 2023, we have ceased operations in Russia and are in the process of dissolving our only subsidiary in Russia. As a result, for the three and nine months ended September 30, 2022, our presentation of segment revenue and Adjusted EBITDA exclude the immaterial impact of our operating results in Russia, as well as the impact of impairments taken to write down the carrying value of assets and liabilities, severance charges, and the assessment of collectability on revenue recognition. No charges have been recognized for the nine months ended September 30, 2023. We consider this to be a non-recurring special item and management has reviewed the results of its business segments excluding these impacts.</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2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5"/>
        </w:trPr>
        <w:tc>
          <w:tcPr>
            <w:tcW w:w="5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72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5"/>
              </w:rPr>
              <w:t>Net income (loss) from continuing operations attributable to NCR (GAAP)</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7"/>
                <w:szCs w:val="17"/>
                <w:b w:val="1"/>
                <w:bCs w:val="1"/>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Arial" w:cs="Arial" w:eastAsia="Arial" w:hAnsi="Arial"/>
                <w:sz w:val="17"/>
                <w:szCs w:val="17"/>
                <w:color w:val="auto"/>
              </w:rPr>
              <w:t>Pension mark-to-market adjustments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Transformation and restructuring costs </w:t>
            </w:r>
            <w:r>
              <w:rPr>
                <w:rFonts w:ascii="Arial" w:cs="Arial" w:eastAsia="Arial" w:hAnsi="Arial"/>
                <w:sz w:val="22"/>
                <w:szCs w:val="22"/>
                <w:color w:val="auto"/>
                <w:vertAlign w:val="superscript"/>
              </w:rPr>
              <w:t>(1)</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Arial" w:cs="Arial" w:eastAsia="Arial" w:hAnsi="Arial"/>
                <w:sz w:val="17"/>
                <w:szCs w:val="17"/>
                <w:color w:val="auto"/>
              </w:rPr>
              <w:t>Acquisition-related amortization of intangibles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Acquisition-related costs </w:t>
            </w:r>
            <w:r>
              <w:rPr>
                <w:rFonts w:ascii="Arial" w:cs="Arial" w:eastAsia="Arial" w:hAnsi="Arial"/>
                <w:sz w:val="22"/>
                <w:szCs w:val="22"/>
                <w:color w:val="auto"/>
                <w:vertAlign w:val="superscript"/>
              </w:rPr>
              <w:t>(2)</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Gain on terminated interest rate derivative agreements </w:t>
            </w:r>
            <w:r>
              <w:rPr>
                <w:rFonts w:ascii="Arial" w:cs="Arial" w:eastAsia="Arial" w:hAnsi="Arial"/>
                <w:sz w:val="22"/>
                <w:szCs w:val="22"/>
                <w:color w:val="auto"/>
                <w:vertAlign w:val="superscript"/>
              </w:rPr>
              <w:t>(3)</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2"/>
                <w:szCs w:val="22"/>
                <w:color w:val="auto"/>
                <w:vertAlign w:val="superscript"/>
              </w:rPr>
              <w:t>(3)</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69"/>
        </w:trPr>
        <w:tc>
          <w:tcPr>
            <w:tcW w:w="57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Depreciation and amortization (excluding acquisition-related amortization of</w:t>
            </w: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intangibles)</w:t>
            </w: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236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Separation costs </w:t>
            </w:r>
            <w:r>
              <w:rPr>
                <w:rFonts w:ascii="Arial" w:cs="Arial" w:eastAsia="Arial" w:hAnsi="Arial"/>
                <w:sz w:val="22"/>
                <w:szCs w:val="22"/>
                <w:color w:val="auto"/>
                <w:vertAlign w:val="superscript"/>
              </w:rPr>
              <w:t>(4)</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76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Cyber ransomware incident recovery costs </w:t>
            </w:r>
            <w:r>
              <w:rPr>
                <w:rFonts w:ascii="Arial" w:cs="Arial" w:eastAsia="Arial" w:hAnsi="Arial"/>
                <w:sz w:val="22"/>
                <w:szCs w:val="22"/>
                <w:color w:val="auto"/>
                <w:vertAlign w:val="superscript"/>
              </w:rPr>
              <w:t>(5)</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Arial" w:cs="Arial" w:eastAsia="Arial" w:hAnsi="Arial"/>
                <w:sz w:val="17"/>
                <w:szCs w:val="17"/>
                <w:color w:val="auto"/>
              </w:rPr>
              <w:t>Russia</w:t>
            </w: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 (non-GAAP)</w:t>
            </w:r>
          </w:p>
        </w:tc>
        <w:tc>
          <w:tcPr>
            <w:tcW w:w="8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140" w:hanging="136"/>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Represents integration, severance, and other exit and disposal costs, which are considered non-operational in nature.</w:t>
      </w:r>
    </w:p>
    <w:p>
      <w:pPr>
        <w:spacing w:after="0" w:line="81" w:lineRule="exact"/>
        <w:rPr>
          <w:rFonts w:ascii="Arial" w:cs="Arial" w:eastAsia="Arial" w:hAnsi="Arial"/>
          <w:sz w:val="16"/>
          <w:szCs w:val="16"/>
          <w:color w:val="auto"/>
          <w:vertAlign w:val="superscript"/>
        </w:rPr>
      </w:pPr>
    </w:p>
    <w:p>
      <w:pPr>
        <w:ind w:left="160" w:hanging="156"/>
        <w:spacing w:after="0" w:line="225" w:lineRule="auto"/>
        <w:tabs>
          <w:tab w:leader="none" w:pos="16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Represents professional fees, retention bonuses, and other costs incurred related to acquisitions, which are considered non-operational in nature.</w:t>
      </w:r>
    </w:p>
    <w:p>
      <w:pPr>
        <w:spacing w:after="0" w:line="73" w:lineRule="exact"/>
        <w:rPr>
          <w:rFonts w:ascii="Arial" w:cs="Arial" w:eastAsia="Arial" w:hAnsi="Arial"/>
          <w:sz w:val="19"/>
          <w:szCs w:val="19"/>
          <w:color w:val="auto"/>
          <w:vertAlign w:val="superscript"/>
        </w:rPr>
      </w:pPr>
    </w:p>
    <w:p>
      <w:pPr>
        <w:jc w:val="both"/>
        <w:ind w:firstLine="4"/>
        <w:spacing w:after="0" w:line="269"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 xml:space="preserve">During the three months ended September 30, 2023, it was determined that the transactions underlying the unrealized gains on terminated interest rate swap and cap agreements reported in Accumulated other comprehensive income were probable of not occurring under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As such, $85 million of unrealized gains were recognized in Cost of services and $18 million of unrealized gains were recognized in Interest expense. Refer to Note 13, “Derivatives and Hedging Instruments”.</w:t>
      </w:r>
    </w:p>
    <w:p>
      <w:pPr>
        <w:spacing w:after="0" w:line="35" w:lineRule="exact"/>
        <w:rPr>
          <w:rFonts w:ascii="Arial" w:cs="Arial" w:eastAsia="Arial" w:hAnsi="Arial"/>
          <w:sz w:val="18"/>
          <w:szCs w:val="18"/>
          <w:color w:val="auto"/>
          <w:vertAlign w:val="superscript"/>
        </w:rPr>
      </w:pPr>
    </w:p>
    <w:p>
      <w:pPr>
        <w:ind w:left="160" w:hanging="156"/>
        <w:spacing w:after="0"/>
        <w:tabs>
          <w:tab w:leader="none" w:pos="16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Represents primarily professional fees specific to separation preparation including separation management, organizational design, and legal fees.</w:t>
      </w:r>
    </w:p>
    <w:p>
      <w:pPr>
        <w:spacing w:after="0" w:line="73" w:lineRule="exact"/>
        <w:rPr>
          <w:rFonts w:ascii="Arial" w:cs="Arial" w:eastAsia="Arial" w:hAnsi="Arial"/>
          <w:sz w:val="19"/>
          <w:szCs w:val="19"/>
          <w:color w:val="auto"/>
          <w:vertAlign w:val="superscript"/>
        </w:rPr>
      </w:pPr>
    </w:p>
    <w:p>
      <w:pPr>
        <w:ind w:firstLine="4"/>
        <w:spacing w:after="0" w:line="242" w:lineRule="auto"/>
        <w:tabs>
          <w:tab w:leader="none" w:pos="16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Represents expenses to respond to, remediate and investigate the April 13, 2023 cyber ransomware incident, which is considered a non-recurring special item. Additional details regarding this cyber ransomware incident are discussed in Note 1,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 September 30</w:t>
            </w:r>
          </w:p>
        </w:tc>
        <w:tc>
          <w:tcPr>
            <w:tcW w:w="3000" w:type="dxa"/>
            <w:vAlign w:val="bottom"/>
            <w:gridSpan w:val="4"/>
          </w:tcPr>
          <w:p>
            <w:pPr>
              <w:ind w:left="660"/>
              <w:spacing w:after="0"/>
              <w:rPr>
                <w:sz w:val="20"/>
                <w:szCs w:val="20"/>
                <w:color w:val="auto"/>
              </w:rPr>
            </w:pPr>
            <w:r>
              <w:rPr>
                <w:rFonts w:ascii="Arial" w:cs="Arial" w:eastAsia="Arial" w:hAnsi="Arial"/>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25"/>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2023 vs 2022</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 revenue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72.2 %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Nine months ended September 30</w:t>
            </w:r>
          </w:p>
        </w:tc>
        <w:tc>
          <w:tcPr>
            <w:tcW w:w="3000" w:type="dxa"/>
            <w:vAlign w:val="bottom"/>
            <w:gridSpan w:val="4"/>
          </w:tcPr>
          <w:p>
            <w:pPr>
              <w:ind w:left="660"/>
              <w:spacing w:after="0"/>
              <w:rPr>
                <w:sz w:val="20"/>
                <w:szCs w:val="20"/>
                <w:color w:val="auto"/>
              </w:rPr>
            </w:pPr>
            <w:r>
              <w:rPr>
                <w:rFonts w:ascii="Arial" w:cs="Arial" w:eastAsia="Arial" w:hAnsi="Arial"/>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25"/>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2023 vs 2022</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 revenue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71.9 %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Product revenue includes our hardware and software license revenue streams as well as Bitcoin-related revenues. Service revenue includes hardware and software maintenance revenue, implementation services revenue, cloud revenue, payments processing revenue, interchange and network revenue, as well as professional services revenue.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and nine months ended September 30, 2023 compared to the three and nine months ended September 30, 2022</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Total revenue increased 2% for the three months ended September 30, 2023 compared to the three months ended September 30, 2022. Foreign currency fluctuations had no impact on the revenue comparison. Product revenue for the three months ended September 30, 2023 decreased 5% compared to the three months ended September 30, 2022 due to a decline in ATM, SCO and POS hardware revenues, partially offset by an increase in software license and Bitcoin-related revenues. Service revenue for the three months ended September 30, 2023 increased 5% due to growth in recurring banking services revenue, software maintenance, and other software related services, partially offset by a decline in hardware maintenance revenue. The decline in hardware and hardware maintenance was also impacted by our strategic shift to recurring service arrangements primarily in our Retail and Self-Service Banking segments.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Total revenue increased 1% for the nine months ended September 30, 2023 compared to the nine months ended September 30, 2022. Foreign currency fluctuations had an unfavorable impact of 1% on the revenue comparison. Product revenue for the nine months ended September 30, 2023 decreased 4% compared to the nine months ended September 30, 2022 due to a decline in ATM, SCO and POS hardware revenues partially offset by an increase in software license and Bitcoin-related revenue. Service revenue for the nine months ended September 30, 2023 increased 3% compared to the nine months ended September 30, 2022 due to growth in recurring banking services revenue, payments processing, software maintenance and software related services, partially offset by a decline in hardware maintenance revenue. The decline in hardware and hardware maintenance was also impacted by our strategic shift to recurring service arrangements primarily in our Retail and Self-Service Banking segments.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980" w:type="dxa"/>
            <w:vAlign w:val="bottom"/>
            <w:gridSpan w:val="4"/>
          </w:tcPr>
          <w:p>
            <w:pPr>
              <w:ind w:left="760"/>
              <w:spacing w:after="0"/>
              <w:rPr>
                <w:sz w:val="20"/>
                <w:szCs w:val="20"/>
                <w:color w:val="auto"/>
              </w:rPr>
            </w:pPr>
            <w:r>
              <w:rPr>
                <w:rFonts w:ascii="Arial" w:cs="Arial" w:eastAsia="Arial" w:hAnsi="Arial"/>
                <w:sz w:val="14"/>
                <w:szCs w:val="14"/>
                <w:b w:val="1"/>
                <w:bCs w:val="1"/>
                <w:color w:val="auto"/>
              </w:rPr>
              <w:t xml:space="preserve">Percentage of Revenue </w:t>
            </w:r>
            <w:r>
              <w:rPr>
                <w:rFonts w:ascii="Arial" w:cs="Arial" w:eastAsia="Arial" w:hAnsi="Arial"/>
                <w:sz w:val="8"/>
                <w:szCs w:val="8"/>
                <w:b w:val="1"/>
                <w:bCs w:val="1"/>
                <w:color w:val="auto"/>
              </w:rPr>
              <w:t>(1)</w:t>
            </w:r>
          </w:p>
        </w:tc>
        <w:tc>
          <w:tcPr>
            <w:tcW w:w="1440" w:type="dxa"/>
            <w:vAlign w:val="bottom"/>
          </w:tcPr>
          <w:p>
            <w:pPr>
              <w:jc w:val="right"/>
              <w:ind w:right="61"/>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25"/>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 v 2022</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gross margin</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r>
        <w:trPr>
          <w:trHeight w:val="22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 gross margin</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532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36.5 %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23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gross margin</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31.1 %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160" w:hanging="156"/>
        <w:spacing w:after="0"/>
        <w:tabs>
          <w:tab w:leader="none" w:pos="16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The percentage of revenue is calculated for each line item divided by the related component of revenue.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months ended September 30, 2023 compared to the three months ended September 30, 2022</w:t>
      </w:r>
    </w:p>
    <w:p>
      <w:pPr>
        <w:spacing w:after="0" w:line="24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Gross margin as a percentage of revenue in the three months ended September 30, 2023 was 31.1% compared to 24.9% in the three months ended September 30, 2022. Gross margin for the three months ended September 30, 2023 included $1 million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transformation and restructuring costs, $3 million of stock-based compensation expense, $27 million of amortization of acquisition-related intangible assets, $1 million of separation-related costs, and $2 million related to the cyber ransomware incident recovery costs. Additionally, gross margin for the three months ended September 30, 2023 benefited from the recognition of $85 million of unrealized gains on terminated interest rate derivative contracts included in Accumulated other comprehensive loss due to the determination that the underlying transactions were no longer probable of occurring as a result of the Spin-Off of Atleos from the Company. Gross margin for the three months ended September 30, 2022 included $8 million of transformation and restructuring costs, $4 million of stock-based compensation expense and $27 million of amortization of acquisition-related intangible assets. Excluding these items, gross margin as a percentage of revenue increased from 26.9% to 28.6% due to reductions in fuel, shipping costs and component parts compared to prior year, the impact of cost mitigation actions implemented, and an increase in the favorable higher margin software and services revenue. These improvements were partially offset by increased interest rates driving higher cost on vault cash rental agreements.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2980" w:type="dxa"/>
            <w:vAlign w:val="bottom"/>
            <w:gridSpan w:val="4"/>
          </w:tcPr>
          <w:p>
            <w:pPr>
              <w:ind w:left="760"/>
              <w:spacing w:after="0"/>
              <w:rPr>
                <w:sz w:val="20"/>
                <w:szCs w:val="20"/>
                <w:color w:val="auto"/>
              </w:rPr>
            </w:pPr>
            <w:r>
              <w:rPr>
                <w:rFonts w:ascii="Arial" w:cs="Arial" w:eastAsia="Arial" w:hAnsi="Arial"/>
                <w:sz w:val="14"/>
                <w:szCs w:val="14"/>
                <w:b w:val="1"/>
                <w:bCs w:val="1"/>
                <w:color w:val="auto"/>
              </w:rPr>
              <w:t xml:space="preserve">Percentage of Revenue </w:t>
            </w:r>
            <w:r>
              <w:rPr>
                <w:rFonts w:ascii="Arial" w:cs="Arial" w:eastAsia="Arial" w:hAnsi="Arial"/>
                <w:sz w:val="17"/>
                <w:szCs w:val="17"/>
                <w:b w:val="1"/>
                <w:bCs w:val="1"/>
                <w:color w:val="auto"/>
                <w:vertAlign w:val="superscript"/>
              </w:rPr>
              <w:t>(1)</w:t>
            </w:r>
          </w:p>
        </w:tc>
        <w:tc>
          <w:tcPr>
            <w:tcW w:w="1440" w:type="dxa"/>
            <w:vAlign w:val="bottom"/>
          </w:tcPr>
          <w:p>
            <w:pPr>
              <w:jc w:val="right"/>
              <w:ind w:right="61"/>
              <w:spacing w:after="0"/>
              <w:rPr>
                <w:sz w:val="20"/>
                <w:szCs w:val="20"/>
                <w:color w:val="auto"/>
              </w:rPr>
            </w:pPr>
            <w:r>
              <w:rPr>
                <w:rFonts w:ascii="Arial" w:cs="Arial" w:eastAsia="Arial" w:hAnsi="Arial"/>
                <w:sz w:val="14"/>
                <w:szCs w:val="14"/>
                <w:b w:val="1"/>
                <w:bCs w:val="1"/>
                <w:color w:val="auto"/>
                <w:w w:val="96"/>
              </w:rPr>
              <w:t>Increase (Decrease)</w:t>
            </w:r>
          </w:p>
        </w:tc>
      </w:tr>
      <w:tr>
        <w:trPr>
          <w:trHeight w:val="18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 v 2022</w:t>
            </w: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gross margin</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258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15.6 %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r>
      <w:tr>
        <w:trPr>
          <w:trHeight w:val="22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 gross margin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1,373</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32.4 %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13 %</w:t>
            </w:r>
          </w:p>
        </w:tc>
      </w:tr>
      <w:tr>
        <w:trPr>
          <w:trHeight w:val="23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gross margin</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1,631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27.7 %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nine months ended September 30, 2023 compared to the nine months ended September 30, 2022</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Gross margin as a percentage of revenue in the nine months ended September 30, 2023 was 27.7% compared to 23.5% in the nine months ended September 30, 2022. Gross margin in the nine months ended September 30, 2023 included $2 million of transformation and restructuring costs, $11 million of stock-based compensation expense, $80 million of amortization of acquisition-related intangible assets, $1 million of separation-related costs, and $8 million related to the cyber ransomware incident recovery costs. Additionally, gross margin for the nine months ended September 30, 2023 benefited from the recognition of $85 million of unrealized gains on terminated interest rate derivative contracts included in Accumulated other comprehensive loss due to the determination that the underlying transactions were no longer probable of occurring as a result of the Spin-Off of Atleos from the Company. Gross margin for the nine months ended September 30, 2022 included $29 million of transformation and restructuring costs, $12 million of stock-based compensation expense, $73 million of amortization of acquisition-related intangible assets, $1 million of acquisition-related costs and $10 million related to operating losses, impairments and other actions taken with respect to our operations in Russia. Excluding these items, gross margin as a percentage of revenue increased from 25.7% to 28.0% due to reductions in fuel, shipping costs and component parts compared to prior year, the impact of cost mitigation actions implemented, and an increase in the favorable higher margin software and services revenue. These improvements were partially offset by increased interest rates driving higher cost on vault cash rental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8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Percentage of Total Revenue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Increase (Decrease)</w:t>
            </w:r>
          </w:p>
        </w:tc>
        <w:tc>
          <w:tcPr>
            <w:tcW w:w="0" w:type="dxa"/>
            <w:vAlign w:val="bottom"/>
          </w:tcPr>
          <w:p>
            <w:pPr>
              <w:spacing w:after="0"/>
              <w:rPr>
                <w:sz w:val="1"/>
                <w:szCs w:val="1"/>
                <w:color w:val="auto"/>
              </w:rPr>
            </w:pPr>
          </w:p>
        </w:tc>
      </w:tr>
      <w:tr>
        <w:trPr>
          <w:trHeight w:val="25"/>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7"/>
                <w:szCs w:val="17"/>
                <w:b w:val="1"/>
                <w:bCs w:val="1"/>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264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months ended September 30, 2023 compared to the three months ended September 30, 2022</w:t>
      </w:r>
    </w:p>
    <w:p>
      <w:pPr>
        <w:spacing w:after="0" w:line="24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Selling, general, and administrative expenses were $331 million in the three months ended September 30, 2023, compared to $264 million in the same period of 2022. As a percentage of revenue, selling, general and administrative expenses were 16.4% in the three months ended September 30, 2023 compared to 13.4% in the same period of 2022. In the three months ended September 30, 2023, selling, general and administrative expenses included $4 million of transformation and restructuring costs, $24 million of stock-based compensation expense, $16 million of amortization of acquisition-related intangible assets, $68 million of separation-related costs and $9 million related to the cyber ransomware incident recovery costs. In the three months ended September 30, 2022, selling, general and administrative expenses included $8 million of transformation and restructuring costs, $22 million of stock-based compensation expense, $17 million of amortization of acquisition-related intangible assets, and $1 million of acquisition-related costs. Excluding these items, selling, general and administrative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expenses decreased slightly as a percentage of revenue from 11.0% to 10.4% primarily due to cost mitigation actions implemented, partially offset by an increase in employee benefit-related costs.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8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Percentage of Total Revenue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Increase (Decrease)</w:t>
            </w:r>
          </w:p>
        </w:tc>
        <w:tc>
          <w:tcPr>
            <w:tcW w:w="0" w:type="dxa"/>
            <w:vAlign w:val="bottom"/>
          </w:tcPr>
          <w:p>
            <w:pPr>
              <w:spacing w:after="0"/>
              <w:rPr>
                <w:sz w:val="1"/>
                <w:szCs w:val="1"/>
                <w:color w:val="auto"/>
              </w:rPr>
            </w:pPr>
          </w:p>
        </w:tc>
      </w:tr>
      <w:tr>
        <w:trPr>
          <w:trHeight w:val="25"/>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2023 vs 2022</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7"/>
                <w:szCs w:val="17"/>
                <w:b w:val="1"/>
                <w:bCs w:val="1"/>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886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nine months ended September 30, 2023 compared to the nine months ended September 30, 2022</w:t>
      </w:r>
    </w:p>
    <w:p>
      <w:pPr>
        <w:spacing w:after="0" w:line="24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Selling, general, and administrative expenses were $956 million compared to $886 million in the nine months ended September 30, 2023 and 2022, respectively. As a percentage of revenue, selling, general and administrative expenses were 16.2% and 15.2% in the nine months ended September 30, 2023 and 2022, respectively. In the nine months ended September 30, 2023, selling, general and administrative expenses included $12 million of transformation and restructuring costs, $78 million of stock-based compensation expense, $48 million of amortization of acquisition-related intangible assets, $1 million of acquisition related costs, $139 million of separation-related costs and $14 million related to the cyber ransomware incident recovery costs. In the nine months ended September 30, 2022, selling, general and administrative expenses included $54 million of transformation and restructuring costs, $77 million of stock-based compensation expense, $57 million of amortization of acquisition-related intangible assets, $8 million of acquisition-related costs and $6 million of costs related to actions taken with respect to our operations in Russia. Excluding these items, selling, general and administrative expenses decreased slightly as a percentage of revenue from 11.7% to 11.3% primarily due to cost mitigation actions implemented, partially offset by an increase in employee benefit-related costs.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3000" w:type="dxa"/>
            <w:vAlign w:val="bottom"/>
            <w:gridSpan w:val="4"/>
          </w:tcPr>
          <w:p>
            <w:pPr>
              <w:ind w:left="660"/>
              <w:spacing w:after="0"/>
              <w:rPr>
                <w:sz w:val="20"/>
                <w:szCs w:val="20"/>
                <w:color w:val="auto"/>
              </w:rPr>
            </w:pPr>
            <w:r>
              <w:rPr>
                <w:rFonts w:ascii="Arial" w:cs="Arial" w:eastAsia="Arial" w:hAnsi="Arial"/>
                <w:sz w:val="14"/>
                <w:szCs w:val="14"/>
                <w:b w:val="1"/>
                <w:bCs w:val="1"/>
                <w:color w:val="auto"/>
              </w:rPr>
              <w:t>Percentage of Total Revenue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6"/>
              </w:rPr>
              <w:t>Increase (Decrease)</w:t>
            </w:r>
          </w:p>
        </w:tc>
        <w:tc>
          <w:tcPr>
            <w:tcW w:w="0" w:type="dxa"/>
            <w:vAlign w:val="bottom"/>
          </w:tcPr>
          <w:p>
            <w:pPr>
              <w:spacing w:after="0"/>
              <w:rPr>
                <w:sz w:val="1"/>
                <w:szCs w:val="1"/>
                <w:color w:val="auto"/>
              </w:rPr>
            </w:pPr>
          </w:p>
        </w:tc>
      </w:tr>
      <w:tr>
        <w:trPr>
          <w:trHeight w:val="25"/>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0"/>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months ended September 30, 2023 compared to the three months ended September 30, 2022</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Research and development expenses were $54 million in the three months ended September 30, 2023, compared to $40 million in the same period of 2022. As a percentage of revenue, research and development costs were 2.7% and 2.0% in the three months ended September 30, 2023 and 2022, respectively. In the three months ended September 30, 2023, research and development costs included $3 million of stock-based compensation expense and $1 million related to the cyber ransomware incident recovery costs. In the three months ended September 30, 2022, research and development expenses included $1 million of transformation costs and $2 million of stock-based compensation expense. Excluding these items, research and development expenses increased slightly as a percentage of revenue from 1.9% to 2.5% due to an increase in employee benefit-related costs.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3000" w:type="dxa"/>
            <w:vAlign w:val="bottom"/>
            <w:gridSpan w:val="4"/>
          </w:tcPr>
          <w:p>
            <w:pPr>
              <w:ind w:left="660"/>
              <w:spacing w:after="0"/>
              <w:rPr>
                <w:sz w:val="20"/>
                <w:szCs w:val="20"/>
                <w:color w:val="auto"/>
              </w:rPr>
            </w:pPr>
            <w:r>
              <w:rPr>
                <w:rFonts w:ascii="Arial" w:cs="Arial" w:eastAsia="Arial" w:hAnsi="Arial"/>
                <w:sz w:val="14"/>
                <w:szCs w:val="14"/>
                <w:b w:val="1"/>
                <w:bCs w:val="1"/>
                <w:color w:val="auto"/>
              </w:rPr>
              <w:t>Percentage of Total Revenue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6"/>
              </w:rPr>
              <w:t>Increase (Decrease)</w:t>
            </w:r>
          </w:p>
        </w:tc>
        <w:tc>
          <w:tcPr>
            <w:tcW w:w="0" w:type="dxa"/>
            <w:vAlign w:val="bottom"/>
          </w:tcPr>
          <w:p>
            <w:pPr>
              <w:spacing w:after="0"/>
              <w:rPr>
                <w:sz w:val="1"/>
                <w:szCs w:val="1"/>
                <w:color w:val="auto"/>
              </w:rPr>
            </w:pPr>
          </w:p>
        </w:tc>
      </w:tr>
      <w:tr>
        <w:trPr>
          <w:trHeight w:val="25"/>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nine months ended September 30, 2023 compared to the nine months ended September 30, 2022</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Research and development expenses were $175 million compared to $164 million in the nine months ended September 30, 2023 and 2022, respectively. As a percentage of revenue, these costs were 3.0% and 2.8% in the nine months ended September 30, 2023 and 2022, respectively. In the nine months ended September 30, 2023, research and development expenses included $9 million of stock-based compensation expense and $1 million related to the cyber ransomware incident recovery costs. In the nine months ended September 30, 2022, research and development expenses included $10 million of transformation and restructuring costs and $8 million of stock-based compensation expense. After considering these items, research and development expenses slightly increased as a percentage of revenue from 2.5% to 2.8% due to an increase in employee benefit-related costs.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25"/>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70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2023 v 2022</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months ended September 30, 2023 compared to the three months ended September 30, 2022</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Interest expense was $85 million compared to $74 million in the three months ended September 30, 2023 and 2022, respectively. Interest expense is primarily related to our senior unsecured notes and borrowings under the Senior Secured Credit Facility. The increase in interest expense was primarily due to the significant increase in variable interest rates on the Senior Secured Credit Facility, partially offset by the recognition of $18 million of unrealized gains on terminated interest rate derivative contracts included in Accumulated other comprehensive loss due to the determination that the underlying transactions were no longer probable of occurring as a result of the Spin-Off of Atleos from the Company.</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25"/>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70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2023 v 2022</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nine months ended September 30, 2023 compared to the nine months ended September 30, 2022</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Interest expense was $259 million compared to $204 million in the nine months ended September 30, 2023 and 2022, respectively. Interest expense is primarily related to our senior unsecured notes and borrowings under the Senior Secured Credit Facility. The increase in interest expense was primarily due to the significant increase in variable interest rates on the Senior Secured Credit Facility, partially offset by the recognition of $18 million of unrealized gains on terminated interest rate derivative contracts included in Accumulated other comprehensive loss due to the determination that the underlying transactions were no longer probable of occurring as a result of the Spin-Off of Atleos from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5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Other income (expense), net was expense of $44 million and $1 million in the three months ended September 30, 2023 and 2022, respectively, and expense of $55 million and income of $9 million in the nine months ended September 30, 2023 and 2022, respectively, with the components reflected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00" w:type="dxa"/>
            <w:vAlign w:val="bottom"/>
          </w:tcPr>
          <w:p>
            <w:pPr>
              <w:spacing w:after="0"/>
              <w:rPr>
                <w:sz w:val="15"/>
                <w:szCs w:val="15"/>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5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7"/>
                <w:szCs w:val="17"/>
                <w:b w:val="1"/>
                <w:bCs w:val="1"/>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Foreign currency fluctuations and foreign exchange contracts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Bank-related fees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Employee benefit plans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Employee benefit plans within other income (expense) net for the three and nine months ended September 30, 2023 consists of net actuarial losses from pension mark-to-market adjustments of $19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0" w:type="dxa"/>
            <w:vAlign w:val="bottom"/>
          </w:tcPr>
          <w:p>
            <w:pPr>
              <w:spacing w:after="0"/>
              <w:rPr>
                <w:sz w:val="15"/>
                <w:szCs w:val="15"/>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6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7"/>
                <w:szCs w:val="17"/>
                <w:b w:val="1"/>
                <w:bCs w:val="1"/>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236</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months ended September 30, 2023 compared to the three months ended September 30, 2022</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Income tax provisions for interim (quarterly) periods are based on an estimated annual effective income tax rate calculated separately from the effect of significant, infrequent or unusual items. Income tax expense was $236 million for the three months ended September 30, 2023 compared to income tax expense of $43 million for the three months ended September 30, 2022. In the three months ended September 30, 2023, the Company completed certain internal restructuring transactions in connection with the Spin-Off, resulting in a net of $195 million discrete tax expenses. Approximately $171 million of the discrete tax expense is for non-cash deferred tax items, primarily related to the tax effects upon the transfer of certain intangible assets among our wholly-owned subsidiaries prior to the Spin-Off. In the three months ended September 30, 2022, the Company did not recognize any material discrete tax expenses or benefits.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nine months ended September 30, 2023 compared to the nine months ended September 30, 2022</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Income tax expense was $280 million for the nine months ended September 30, 2023 compared to income tax expense of $56 million for the nine months ended September 30, 2022. In the nine months ended September 30, 2023, the Company completed certain internal restructuring transactions in connection with the Spin-Off, resulting in a net of $195 million discrete tax expenses. Approximately $171 million of the discrete tax expense is for non-cash deferred tax items, primarily related to the tax effects upon the transfer of certain intangible assets among our wholly-owned subsidiaries prior to the Spin-Off. In addition, the increase in tax expense was impacted by the increase in the income from continuing operations. In the nine months ended September 30, 2022, the Company recognized a $7 million benefit from provision to return adjustments and a $7 million benefit related to uncertain tax position settlements and statute of limitation lapses.</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is subject to numerous federal, state and foreign tax audits. While we believe that appropriate reserves exist for issues that might arise from these audits, should these audits be settled, the resulting tax effect could impact the tax provision and cash flows in 2023 or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(Loss) from Discontinued Operations</w:t>
      </w: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recognized a loss from discontinued operations, net of tax, of $1 million in the the nine months ended September 30, 2023 primarily driven by immaterial updates to various environmental remediation matters. The Company recognized income from discontinued operations, net of tax, of $5 million in the nine months ended September 30, 2022 primarily driven by insurance recoveries partially offset by immaterial updates to various environmental remediation matters.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and Adjusted EBITDA by Segment</w:t>
      </w:r>
    </w:p>
    <w:p>
      <w:pPr>
        <w:spacing w:after="0" w:line="25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manages and reports its businesses in the following segments: Retail, Hospitality, Digital Banking, Payments &amp; Network, and Self-Service Banking.</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Concurrently with the Spin-Off on October 16, 2023, the Company made a number of changes to its organizational structure and management system, including the Company’s reportable segments. Following the Spin-Off, the Company will manage its reports and operations using three reportable segments - Retail, Restaurant (formerly reported as Hospitality) and Digital Banking. These changes will impact the Company’s reportable segments beginning in the fourth quarter of 2023.</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Segments are measured for profitability by the Company’s chief operating decision maker based on revenue and segment Adjusted EBITDA. Refer to our definition of Adjusted EBITDA in the section entitled “Non-GAAP Financial Measures and Use of Certain Terms.”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tables show our segment revenue and Adjusted EBITDA for the three and nine months ended September 30, the relative percentage that those amounts represent to segment revenue, and the change in those amounts year-over-year.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2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3"/>
              </w:rPr>
              <w:t>Three months ended September 30</w:t>
            </w:r>
          </w:p>
        </w:tc>
        <w:tc>
          <w:tcPr>
            <w:tcW w:w="266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 xml:space="preserve">Percentage of Revenue </w:t>
            </w:r>
            <w:r>
              <w:rPr>
                <w:rFonts w:ascii="Arial" w:cs="Arial" w:eastAsia="Arial" w:hAnsi="Arial"/>
                <w:sz w:val="17"/>
                <w:szCs w:val="17"/>
                <w:b w:val="1"/>
                <w:bCs w:val="1"/>
                <w:color w:val="auto"/>
                <w:vertAlign w:val="superscript"/>
              </w:rPr>
              <w:t>(1)</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Increase (Decrease)</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Increase (Decrease) Constant</w:t>
            </w:r>
          </w:p>
        </w:tc>
        <w:tc>
          <w:tcPr>
            <w:tcW w:w="0" w:type="dxa"/>
            <w:vAlign w:val="bottom"/>
          </w:tcPr>
          <w:p>
            <w:pPr>
              <w:spacing w:after="0"/>
              <w:rPr>
                <w:sz w:val="1"/>
                <w:szCs w:val="1"/>
                <w:color w:val="auto"/>
              </w:rPr>
            </w:pPr>
          </w:p>
        </w:tc>
      </w:tr>
      <w:tr>
        <w:trPr>
          <w:trHeight w:val="191"/>
        </w:trPr>
        <w:tc>
          <w:tcPr>
            <w:tcW w:w="3020" w:type="dxa"/>
            <w:vAlign w:val="bottom"/>
          </w:tcPr>
          <w:p>
            <w:pPr>
              <w:spacing w:after="0"/>
              <w:rPr>
                <w:sz w:val="16"/>
                <w:szCs w:val="16"/>
                <w:color w:val="auto"/>
              </w:rPr>
            </w:pPr>
          </w:p>
        </w:tc>
        <w:tc>
          <w:tcPr>
            <w:tcW w:w="2240" w:type="dxa"/>
            <w:vAlign w:val="bottom"/>
            <w:gridSpan w:val="6"/>
            <w:vMerge w:val="continue"/>
          </w:tcPr>
          <w:p>
            <w:pPr>
              <w:spacing w:after="0"/>
              <w:rPr>
                <w:sz w:val="16"/>
                <w:szCs w:val="16"/>
                <w:color w:val="auto"/>
              </w:rPr>
            </w:pPr>
          </w:p>
        </w:tc>
        <w:tc>
          <w:tcPr>
            <w:tcW w:w="2660" w:type="dxa"/>
            <w:vAlign w:val="bottom"/>
            <w:gridSpan w:val="4"/>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0" w:type="dxa"/>
            <w:vAlign w:val="bottom"/>
          </w:tcPr>
          <w:p>
            <w:pPr>
              <w:jc w:val="center"/>
              <w:ind w:left="118"/>
              <w:spacing w:after="0"/>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 v 2022</w:t>
            </w:r>
          </w:p>
        </w:tc>
        <w:tc>
          <w:tcPr>
            <w:tcW w:w="100" w:type="dxa"/>
            <w:vAlign w:val="bottom"/>
            <w:tcBorders>
              <w:bottom w:val="single" w:sz="8" w:color="CCEEFF"/>
            </w:tcBorders>
          </w:tcPr>
          <w:p>
            <w:pPr>
              <w:spacing w:after="0"/>
              <w:rPr>
                <w:sz w:val="15"/>
                <w:szCs w:val="15"/>
                <w:color w:val="auto"/>
              </w:rPr>
            </w:pPr>
          </w:p>
        </w:tc>
        <w:tc>
          <w:tcPr>
            <w:tcW w:w="1600" w:type="dxa"/>
            <w:vAlign w:val="bottom"/>
            <w:tcBorders>
              <w:top w:val="single" w:sz="8" w:color="auto"/>
              <w:bottom w:val="single" w:sz="8" w:color="auto"/>
            </w:tcBorders>
          </w:tcPr>
          <w:p>
            <w:pPr>
              <w:jc w:val="center"/>
              <w:ind w:left="118"/>
              <w:spacing w:after="0"/>
              <w:rPr>
                <w:sz w:val="20"/>
                <w:szCs w:val="20"/>
                <w:color w:val="auto"/>
              </w:rPr>
            </w:pPr>
            <w:r>
              <w:rPr>
                <w:rFonts w:ascii="Arial" w:cs="Arial" w:eastAsia="Arial" w:hAnsi="Arial"/>
                <w:sz w:val="14"/>
                <w:szCs w:val="14"/>
                <w:b w:val="1"/>
                <w:bCs w:val="1"/>
                <w:color w:val="auto"/>
                <w:w w:val="87"/>
              </w:rPr>
              <w:t>2023 v 2022</w:t>
            </w:r>
          </w:p>
        </w:tc>
        <w:tc>
          <w:tcPr>
            <w:tcW w:w="2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220"/>
              <w:spacing w:after="0"/>
              <w:rPr>
                <w:sz w:val="20"/>
                <w:szCs w:val="20"/>
                <w:color w:val="auto"/>
              </w:rPr>
            </w:pPr>
            <w:r>
              <w:rPr>
                <w:rFonts w:ascii="Arial" w:cs="Arial" w:eastAsia="Arial" w:hAnsi="Arial"/>
                <w:sz w:val="17"/>
                <w:szCs w:val="17"/>
                <w:color w:val="auto"/>
              </w:rPr>
              <w:t>Retail</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568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28.2 %</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Hospitality</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11.8 %</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12.1 %</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0"/>
        </w:trPr>
        <w:tc>
          <w:tcPr>
            <w:tcW w:w="3020" w:type="dxa"/>
            <w:vAlign w:val="bottom"/>
          </w:tcPr>
          <w:p>
            <w:pPr>
              <w:ind w:left="220"/>
              <w:spacing w:after="0"/>
              <w:rPr>
                <w:sz w:val="20"/>
                <w:szCs w:val="20"/>
                <w:color w:val="auto"/>
              </w:rPr>
            </w:pPr>
            <w:r>
              <w:rPr>
                <w:rFonts w:ascii="Arial" w:cs="Arial" w:eastAsia="Arial" w:hAnsi="Arial"/>
                <w:sz w:val="17"/>
                <w:szCs w:val="17"/>
                <w:color w:val="auto"/>
              </w:rPr>
              <w:t>Digital Banking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7.3 %</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&amp; Network</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17.7 %</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3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Self-Service Banking</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33.0 %</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segment revenue</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98.0 %</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020" w:type="dxa"/>
            <w:vAlign w:val="bottom"/>
          </w:tcPr>
          <w:p>
            <w:pPr>
              <w:ind w:left="220"/>
              <w:spacing w:after="0" w:line="221"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2.6 %</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20"/>
              <w:spacing w:after="0" w:line="221" w:lineRule="exact"/>
              <w:rPr>
                <w:sz w:val="20"/>
                <w:szCs w:val="20"/>
                <w:color w:val="auto"/>
              </w:rPr>
            </w:pPr>
            <w:r>
              <w:rPr>
                <w:rFonts w:ascii="Arial" w:cs="Arial" w:eastAsia="Arial" w:hAnsi="Arial"/>
                <w:sz w:val="17"/>
                <w:szCs w:val="17"/>
                <w:color w:val="auto"/>
              </w:rPr>
              <w:t xml:space="preserve">Eliminations </w:t>
            </w:r>
            <w:r>
              <w:rPr>
                <w:rFonts w:ascii="Arial" w:cs="Arial" w:eastAsia="Arial" w:hAnsi="Arial"/>
                <w:sz w:val="22"/>
                <w:szCs w:val="22"/>
                <w:color w:val="auto"/>
                <w:vertAlign w:val="superscript"/>
              </w:rPr>
              <w:t>(3)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1,972</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8"/>
                <w:szCs w:val="18"/>
                <w:color w:val="auto"/>
              </w:rPr>
            </w:pPr>
          </w:p>
        </w:tc>
        <w:tc>
          <w:tcPr>
            <w:tcW w:w="1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3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20"/>
              <w:spacing w:after="0"/>
              <w:rPr>
                <w:sz w:val="20"/>
                <w:szCs w:val="20"/>
                <w:color w:val="auto"/>
              </w:rPr>
            </w:pPr>
            <w:r>
              <w:rPr>
                <w:rFonts w:ascii="Arial" w:cs="Arial" w:eastAsia="Arial" w:hAnsi="Arial"/>
                <w:sz w:val="17"/>
                <w:szCs w:val="17"/>
                <w:b w:val="1"/>
                <w:bCs w:val="1"/>
                <w:color w:val="auto"/>
              </w:rPr>
              <w:t>Adjusted EBITDA by Segment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Retail</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23.2 %</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220"/>
              <w:spacing w:after="0"/>
              <w:rPr>
                <w:sz w:val="20"/>
                <w:szCs w:val="20"/>
                <w:color w:val="auto"/>
              </w:rPr>
            </w:pPr>
            <w:r>
              <w:rPr>
                <w:rFonts w:ascii="Arial" w:cs="Arial" w:eastAsia="Arial" w:hAnsi="Arial"/>
                <w:sz w:val="17"/>
                <w:szCs w:val="17"/>
                <w:color w:val="auto"/>
              </w:rPr>
              <w:t>Hospitality</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59</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24.8 %</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Digital Banking</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39.5 %</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220"/>
              <w:spacing w:after="0"/>
              <w:rPr>
                <w:sz w:val="20"/>
                <w:szCs w:val="20"/>
                <w:color w:val="auto"/>
              </w:rPr>
            </w:pPr>
            <w:r>
              <w:rPr>
                <w:rFonts w:ascii="Arial" w:cs="Arial" w:eastAsia="Arial" w:hAnsi="Arial"/>
                <w:sz w:val="17"/>
                <w:szCs w:val="17"/>
                <w:color w:val="auto"/>
              </w:rPr>
              <w:t>Payments &amp; Network</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120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33.6 %</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Self-Service Banking</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25.4 %</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6"/>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percentage of revenue is calculated for each line item divided by total revenue, except for Adjusted EBITDA, which are divided by the related component of revenue.</w:t>
      </w:r>
    </w:p>
    <w:p>
      <w:pPr>
        <w:ind w:left="160" w:hanging="156"/>
        <w:spacing w:after="0" w:line="199" w:lineRule="auto"/>
        <w:tabs>
          <w:tab w:leader="none" w:pos="16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Other immaterial business operations that do not represent a reportable segment.</w:t>
      </w:r>
    </w:p>
    <w:p>
      <w:pPr>
        <w:ind w:left="160" w:hanging="156"/>
        <w:spacing w:after="0" w:line="294" w:lineRule="auto"/>
        <w:tabs>
          <w:tab w:leader="none" w:pos="148"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Eliminations include revenues from contracts with customers and the related costs that are reported in the Payments &amp; Network segment as well as in the Retail or Hospitality segments, including merchant acquiring services that are monetized via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7"/>
        </w:trPr>
        <w:tc>
          <w:tcPr>
            <w:tcW w:w="98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87"/>
              </w:rPr>
              <w:t>Nine months ended September 30</w:t>
            </w:r>
          </w:p>
        </w:tc>
        <w:tc>
          <w:tcPr>
            <w:tcW w:w="254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 xml:space="preserve">Percentage of Revenue </w:t>
            </w:r>
            <w:r>
              <w:rPr>
                <w:rFonts w:ascii="Arial" w:cs="Arial" w:eastAsia="Arial" w:hAnsi="Arial"/>
                <w:sz w:val="17"/>
                <w:szCs w:val="17"/>
                <w:b w:val="1"/>
                <w:bCs w:val="1"/>
                <w:color w:val="auto"/>
                <w:vertAlign w:val="superscript"/>
              </w:rPr>
              <w:t>(1)</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Increase (Decrease)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 (Decrease)</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vMerge w:val="continue"/>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Constant Currency</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 v 2022</w:t>
            </w:r>
          </w:p>
        </w:tc>
        <w:tc>
          <w:tcPr>
            <w:tcW w:w="80" w:type="dxa"/>
            <w:vAlign w:val="bottom"/>
            <w:tcBorders>
              <w:bottom w:val="single" w:sz="8" w:color="CCEEFF"/>
            </w:tcBorders>
          </w:tcPr>
          <w:p>
            <w:pPr>
              <w:spacing w:after="0"/>
              <w:rPr>
                <w:sz w:val="15"/>
                <w:szCs w:val="15"/>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2023 v 2022</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20" w:type="dxa"/>
            <w:vAlign w:val="bottom"/>
            <w:gridSpan w:val="2"/>
          </w:tcPr>
          <w:p>
            <w:pPr>
              <w:ind w:left="220"/>
              <w:spacing w:after="0"/>
              <w:rPr>
                <w:sz w:val="20"/>
                <w:szCs w:val="20"/>
                <w:color w:val="auto"/>
              </w:rPr>
            </w:pPr>
            <w:r>
              <w:rPr>
                <w:rFonts w:ascii="Arial" w:cs="Arial" w:eastAsia="Arial" w:hAnsi="Arial"/>
                <w:sz w:val="17"/>
                <w:szCs w:val="17"/>
                <w:color w:val="auto"/>
              </w:rPr>
              <w:t>Retail</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1,696</w:t>
            </w:r>
          </w:p>
        </w:tc>
        <w:tc>
          <w:tcPr>
            <w:tcW w:w="100" w:type="dxa"/>
            <w:vAlign w:val="bottom"/>
          </w:tcPr>
          <w:p>
            <w:pPr>
              <w:spacing w:after="0"/>
              <w:rPr>
                <w:sz w:val="19"/>
                <w:szCs w:val="19"/>
                <w:color w:val="auto"/>
              </w:rPr>
            </w:pPr>
          </w:p>
        </w:tc>
        <w:tc>
          <w:tcPr>
            <w:tcW w:w="280" w:type="dxa"/>
            <w:vAlign w:val="bottom"/>
          </w:tcPr>
          <w:p>
            <w:pPr>
              <w:jc w:val="center"/>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1,683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28.8 %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0"/>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Hospitality</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20"/>
        </w:trPr>
        <w:tc>
          <w:tcPr>
            <w:tcW w:w="3120" w:type="dxa"/>
            <w:vAlign w:val="bottom"/>
            <w:gridSpan w:val="2"/>
          </w:tcPr>
          <w:p>
            <w:pPr>
              <w:ind w:left="220"/>
              <w:spacing w:after="0"/>
              <w:rPr>
                <w:sz w:val="20"/>
                <w:szCs w:val="20"/>
                <w:color w:val="auto"/>
              </w:rPr>
            </w:pPr>
            <w:r>
              <w:rPr>
                <w:rFonts w:ascii="Arial" w:cs="Arial" w:eastAsia="Arial" w:hAnsi="Arial"/>
                <w:sz w:val="17"/>
                <w:szCs w:val="17"/>
                <w:color w:val="auto"/>
              </w:rPr>
              <w:t>Digital Banking</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7.2 %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Payments &amp; Network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Self-Service Banking</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32.9 %</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1 %</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1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segment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97.9 %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20"/>
        </w:trPr>
        <w:tc>
          <w:tcPr>
            <w:tcW w:w="3120" w:type="dxa"/>
            <w:vAlign w:val="bottom"/>
            <w:gridSpan w:val="2"/>
          </w:tcPr>
          <w:p>
            <w:pPr>
              <w:ind w:left="220"/>
              <w:spacing w:after="0" w:line="221"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2.7 %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3120" w:type="dxa"/>
            <w:vAlign w:val="bottom"/>
            <w:gridSpan w:val="2"/>
            <w:shd w:val="clear" w:color="auto" w:fill="CCEEFF"/>
          </w:tcPr>
          <w:p>
            <w:pPr>
              <w:ind w:left="220"/>
              <w:spacing w:after="0" w:line="221" w:lineRule="exact"/>
              <w:rPr>
                <w:sz w:val="20"/>
                <w:szCs w:val="20"/>
                <w:color w:val="auto"/>
              </w:rPr>
            </w:pPr>
            <w:r>
              <w:rPr>
                <w:rFonts w:ascii="Arial" w:cs="Arial" w:eastAsia="Arial" w:hAnsi="Arial"/>
                <w:sz w:val="17"/>
                <w:szCs w:val="17"/>
                <w:color w:val="auto"/>
              </w:rPr>
              <w:t xml:space="preserve">Eliminations </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0"/>
        </w:trPr>
        <w:tc>
          <w:tcPr>
            <w:tcW w:w="3120" w:type="dxa"/>
            <w:vAlign w:val="bottom"/>
            <w:gridSpan w:val="2"/>
          </w:tcPr>
          <w:p>
            <w:pPr>
              <w:ind w:left="220"/>
              <w:spacing w:after="0" w:line="221" w:lineRule="exact"/>
              <w:rPr>
                <w:sz w:val="20"/>
                <w:szCs w:val="20"/>
                <w:color w:val="auto"/>
              </w:rPr>
            </w:pPr>
            <w:r>
              <w:rPr>
                <w:rFonts w:ascii="Arial" w:cs="Arial" w:eastAsia="Arial" w:hAnsi="Arial"/>
                <w:sz w:val="17"/>
                <w:szCs w:val="17"/>
                <w:color w:val="auto"/>
              </w:rPr>
              <w:t xml:space="preserve">Other adjustment </w:t>
            </w:r>
            <w:r>
              <w:rPr>
                <w:rFonts w:ascii="Arial" w:cs="Arial" w:eastAsia="Arial" w:hAnsi="Arial"/>
                <w:sz w:val="22"/>
                <w:szCs w:val="22"/>
                <w:color w:val="auto"/>
                <w:vertAlign w:val="superscript"/>
              </w:rPr>
              <w:t>(4)</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 %</w:t>
            </w:r>
          </w:p>
        </w:tc>
        <w:tc>
          <w:tcPr>
            <w:tcW w:w="1120" w:type="dxa"/>
            <w:vAlign w:val="bottom"/>
          </w:tcPr>
          <w:p>
            <w:pPr>
              <w:jc w:val="right"/>
              <w:spacing w:after="0"/>
              <w:rPr>
                <w:sz w:val="20"/>
                <w:szCs w:val="20"/>
                <w:color w:val="auto"/>
              </w:rPr>
            </w:pPr>
            <w:r>
              <w:rPr>
                <w:rFonts w:ascii="Arial" w:cs="Arial" w:eastAsia="Arial" w:hAnsi="Arial"/>
                <w:sz w:val="17"/>
                <w:szCs w:val="17"/>
                <w:color w:val="auto"/>
              </w:rPr>
              <w:t>0.1 %</w:t>
            </w:r>
          </w:p>
        </w:tc>
        <w:tc>
          <w:tcPr>
            <w:tcW w:w="1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n/m</w:t>
            </w:r>
          </w:p>
        </w:tc>
        <w:tc>
          <w:tcPr>
            <w:tcW w:w="166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8"/>
        </w:trPr>
        <w:tc>
          <w:tcPr>
            <w:tcW w:w="3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center"/>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9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 by Segment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20" w:type="dxa"/>
            <w:vAlign w:val="bottom"/>
            <w:gridSpan w:val="2"/>
          </w:tcPr>
          <w:p>
            <w:pPr>
              <w:ind w:left="220"/>
              <w:spacing w:after="0"/>
              <w:rPr>
                <w:sz w:val="20"/>
                <w:szCs w:val="20"/>
                <w:color w:val="auto"/>
              </w:rPr>
            </w:pPr>
            <w:r>
              <w:rPr>
                <w:rFonts w:ascii="Arial" w:cs="Arial" w:eastAsia="Arial" w:hAnsi="Arial"/>
                <w:sz w:val="17"/>
                <w:szCs w:val="17"/>
                <w:color w:val="auto"/>
              </w:rPr>
              <w:t>Retail</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352</w:t>
            </w:r>
          </w:p>
        </w:tc>
        <w:tc>
          <w:tcPr>
            <w:tcW w:w="100" w:type="dxa"/>
            <w:vAlign w:val="bottom"/>
          </w:tcPr>
          <w:p>
            <w:pPr>
              <w:spacing w:after="0"/>
              <w:rPr>
                <w:sz w:val="19"/>
                <w:szCs w:val="19"/>
                <w:color w:val="auto"/>
              </w:rPr>
            </w:pPr>
          </w:p>
        </w:tc>
        <w:tc>
          <w:tcPr>
            <w:tcW w:w="280" w:type="dxa"/>
            <w:vAlign w:val="bottom"/>
          </w:tcPr>
          <w:p>
            <w:pPr>
              <w:jc w:val="center"/>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20.8 %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Hospitality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24.7 %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20" w:type="dxa"/>
            <w:vAlign w:val="bottom"/>
            <w:gridSpan w:val="2"/>
          </w:tcPr>
          <w:p>
            <w:pPr>
              <w:ind w:left="220"/>
              <w:spacing w:after="0"/>
              <w:rPr>
                <w:sz w:val="20"/>
                <w:szCs w:val="20"/>
                <w:color w:val="auto"/>
              </w:rPr>
            </w:pPr>
            <w:r>
              <w:rPr>
                <w:rFonts w:ascii="Arial" w:cs="Arial" w:eastAsia="Arial" w:hAnsi="Arial"/>
                <w:sz w:val="17"/>
                <w:szCs w:val="17"/>
                <w:color w:val="auto"/>
              </w:rPr>
              <w:t>Digital Banking</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160</w:t>
            </w:r>
          </w:p>
        </w:tc>
        <w:tc>
          <w:tcPr>
            <w:tcW w:w="100" w:type="dxa"/>
            <w:vAlign w:val="bottom"/>
          </w:tcPr>
          <w:p>
            <w:pPr>
              <w:spacing w:after="0"/>
              <w:rPr>
                <w:sz w:val="19"/>
                <w:szCs w:val="19"/>
                <w:color w:val="auto"/>
              </w:rPr>
            </w:pPr>
          </w:p>
        </w:tc>
        <w:tc>
          <w:tcPr>
            <w:tcW w:w="280" w:type="dxa"/>
            <w:vAlign w:val="bottom"/>
          </w:tcPr>
          <w:p>
            <w:pPr>
              <w:jc w:val="center"/>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37.8 %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42.6 %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Payments &amp; Network</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29.8 %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20" w:type="dxa"/>
            <w:vAlign w:val="bottom"/>
            <w:gridSpan w:val="2"/>
          </w:tcPr>
          <w:p>
            <w:pPr>
              <w:ind w:left="220"/>
              <w:spacing w:after="0"/>
              <w:rPr>
                <w:sz w:val="20"/>
                <w:szCs w:val="20"/>
                <w:color w:val="auto"/>
              </w:rPr>
            </w:pPr>
            <w:r>
              <w:rPr>
                <w:rFonts w:ascii="Arial" w:cs="Arial" w:eastAsia="Arial" w:hAnsi="Arial"/>
                <w:sz w:val="17"/>
                <w:szCs w:val="17"/>
                <w:color w:val="auto"/>
              </w:rPr>
              <w:t>Self-Service Banking</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476</w:t>
            </w:r>
          </w:p>
        </w:tc>
        <w:tc>
          <w:tcPr>
            <w:tcW w:w="100" w:type="dxa"/>
            <w:vAlign w:val="bottom"/>
          </w:tcPr>
          <w:p>
            <w:pPr>
              <w:spacing w:after="0"/>
              <w:rPr>
                <w:sz w:val="19"/>
                <w:szCs w:val="19"/>
                <w:color w:val="auto"/>
              </w:rPr>
            </w:pPr>
          </w:p>
        </w:tc>
        <w:tc>
          <w:tcPr>
            <w:tcW w:w="280" w:type="dxa"/>
            <w:vAlign w:val="bottom"/>
          </w:tcPr>
          <w:p>
            <w:pPr>
              <w:jc w:val="center"/>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24.5 %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60" w:hanging="156"/>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percentage of revenue is calculated for each line item divided by total revenue, except for Adjusted EBITDA, which are divided by the related component of revenue.</w:t>
      </w:r>
    </w:p>
    <w:p>
      <w:pPr>
        <w:ind w:left="160" w:hanging="156"/>
        <w:spacing w:after="0" w:line="199" w:lineRule="auto"/>
        <w:tabs>
          <w:tab w:leader="none" w:pos="16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Other immaterial business operations that do not represent a reportable segment.</w:t>
      </w:r>
    </w:p>
    <w:p>
      <w:pPr>
        <w:ind w:left="160" w:hanging="156"/>
        <w:spacing w:after="0" w:line="261" w:lineRule="auto"/>
        <w:tabs>
          <w:tab w:leader="none" w:pos="148"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Eliminations include revenues from contracts with customers and the related costs that are reported in the Payments &amp; Network segment as well as in the Retail or Hospitality segments, including merchant acquiring services that are monetized via payments.</w:t>
      </w:r>
    </w:p>
    <w:p>
      <w:pPr>
        <w:ind w:left="160" w:hanging="156"/>
        <w:spacing w:after="0" w:line="256" w:lineRule="auto"/>
        <w:tabs>
          <w:tab w:leader="none" w:pos="166"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Other adjustment reflects the revenue attributable to the Company’s operations in Russia for the nine months ended September 30, 2022 that were excluded from management’s measure of revenue due to our previous announcement to suspend sales to Russia and orderly wind down of our operations in Russia beginning in the first quarter of 2022.</w:t>
      </w:r>
    </w:p>
    <w:p>
      <w:pPr>
        <w:spacing w:after="0" w:line="20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provides a reconciliation of segment and total revenue percentage growth (GAAP) to revenue percentage growth constant currency (non-GAAP) for the three and nine months ended September 30,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40" w:type="dxa"/>
            <w:vAlign w:val="bottom"/>
          </w:tcPr>
          <w:p>
            <w:pPr>
              <w:spacing w:after="0"/>
              <w:rPr>
                <w:sz w:val="17"/>
                <w:szCs w:val="17"/>
                <w:color w:val="auto"/>
              </w:rPr>
            </w:pPr>
          </w:p>
        </w:tc>
        <w:tc>
          <w:tcPr>
            <w:tcW w:w="4380" w:type="dxa"/>
            <w:vAlign w:val="bottom"/>
            <w:gridSpan w:val="6"/>
          </w:tcPr>
          <w:p>
            <w:pPr>
              <w:ind w:left="800"/>
              <w:spacing w:after="0"/>
              <w:rPr>
                <w:sz w:val="20"/>
                <w:szCs w:val="20"/>
                <w:color w:val="auto"/>
              </w:rPr>
            </w:pPr>
            <w:r>
              <w:rPr>
                <w:rFonts w:ascii="Arial" w:cs="Arial" w:eastAsia="Arial" w:hAnsi="Arial"/>
                <w:sz w:val="16"/>
                <w:szCs w:val="16"/>
                <w:b w:val="1"/>
                <w:bCs w:val="1"/>
                <w:color w:val="auto"/>
              </w:rPr>
              <w:t>Three months ended September 30, 2023</w:t>
            </w:r>
          </w:p>
        </w:tc>
        <w:tc>
          <w:tcPr>
            <w:tcW w:w="4740" w:type="dxa"/>
            <w:vAlign w:val="bottom"/>
            <w:gridSpan w:val="5"/>
          </w:tcPr>
          <w:p>
            <w:pPr>
              <w:jc w:val="right"/>
              <w:ind w:right="976"/>
              <w:spacing w:after="0"/>
              <w:rPr>
                <w:sz w:val="20"/>
                <w:szCs w:val="20"/>
                <w:color w:val="auto"/>
              </w:rPr>
            </w:pPr>
            <w:r>
              <w:rPr>
                <w:rFonts w:ascii="Arial" w:cs="Arial" w:eastAsia="Arial" w:hAnsi="Arial"/>
                <w:sz w:val="16"/>
                <w:szCs w:val="16"/>
                <w:b w:val="1"/>
                <w:bCs w:val="1"/>
                <w:color w:val="auto"/>
              </w:rPr>
              <w:t>Nine months ended September 30, 2023</w:t>
            </w:r>
          </w:p>
        </w:tc>
        <w:tc>
          <w:tcPr>
            <w:tcW w:w="0" w:type="dxa"/>
            <w:vAlign w:val="bottom"/>
          </w:tcPr>
          <w:p>
            <w:pPr>
              <w:spacing w:after="0"/>
              <w:rPr>
                <w:sz w:val="1"/>
                <w:szCs w:val="1"/>
                <w:color w:val="auto"/>
              </w:rPr>
            </w:pPr>
          </w:p>
        </w:tc>
      </w:tr>
      <w:tr>
        <w:trPr>
          <w:trHeight w:val="151"/>
        </w:trPr>
        <w:tc>
          <w:tcPr>
            <w:tcW w:w="1940" w:type="dxa"/>
            <w:vAlign w:val="bottom"/>
          </w:tcPr>
          <w:p>
            <w:pPr>
              <w:spacing w:after="0"/>
              <w:rPr>
                <w:sz w:val="13"/>
                <w:szCs w:val="13"/>
                <w:color w:val="auto"/>
              </w:rPr>
            </w:pPr>
          </w:p>
        </w:tc>
        <w:tc>
          <w:tcPr>
            <w:tcW w:w="13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Revenue Growth</w:t>
            </w:r>
          </w:p>
        </w:tc>
        <w:tc>
          <w:tcPr>
            <w:tcW w:w="1460" w:type="dxa"/>
            <w:vAlign w:val="bottom"/>
            <w:tcBorders>
              <w:top w:val="single" w:sz="8" w:color="auto"/>
            </w:tcBorders>
            <w:gridSpan w:val="2"/>
          </w:tcPr>
          <w:p>
            <w:pPr>
              <w:jc w:val="center"/>
              <w:ind w:right="100"/>
              <w:spacing w:after="0" w:line="152" w:lineRule="exact"/>
              <w:rPr>
                <w:sz w:val="20"/>
                <w:szCs w:val="20"/>
                <w:color w:val="auto"/>
              </w:rPr>
            </w:pPr>
            <w:r>
              <w:rPr>
                <w:rFonts w:ascii="Arial" w:cs="Arial" w:eastAsia="Arial" w:hAnsi="Arial"/>
                <w:sz w:val="16"/>
                <w:szCs w:val="16"/>
                <w:b w:val="1"/>
                <w:bCs w:val="1"/>
                <w:color w:val="auto"/>
                <w:w w:val="89"/>
              </w:rPr>
              <w:t>Favorable</w:t>
            </w:r>
          </w:p>
        </w:tc>
        <w:tc>
          <w:tcPr>
            <w:tcW w:w="15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b w:val="1"/>
                <w:bCs w:val="1"/>
                <w:color w:val="auto"/>
                <w:w w:val="90"/>
              </w:rPr>
              <w:t>Revenue Growth %</w:t>
            </w:r>
          </w:p>
        </w:tc>
        <w:tc>
          <w:tcPr>
            <w:tcW w:w="100" w:type="dxa"/>
            <w:vAlign w:val="bottom"/>
          </w:tcPr>
          <w:p>
            <w:pPr>
              <w:spacing w:after="0"/>
              <w:rPr>
                <w:sz w:val="13"/>
                <w:szCs w:val="13"/>
                <w:color w:val="auto"/>
              </w:rPr>
            </w:pPr>
          </w:p>
        </w:tc>
        <w:tc>
          <w:tcPr>
            <w:tcW w:w="15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Revenue Growth %</w:t>
            </w:r>
          </w:p>
        </w:tc>
        <w:tc>
          <w:tcPr>
            <w:tcW w:w="1640" w:type="dxa"/>
            <w:vAlign w:val="bottom"/>
            <w:tcBorders>
              <w:top w:val="single" w:sz="8" w:color="auto"/>
            </w:tcBorders>
            <w:gridSpan w:val="2"/>
          </w:tcPr>
          <w:p>
            <w:pPr>
              <w:jc w:val="center"/>
              <w:ind w:right="80"/>
              <w:spacing w:after="0" w:line="152" w:lineRule="exact"/>
              <w:rPr>
                <w:sz w:val="20"/>
                <w:szCs w:val="20"/>
                <w:color w:val="auto"/>
              </w:rPr>
            </w:pPr>
            <w:r>
              <w:rPr>
                <w:rFonts w:ascii="Arial" w:cs="Arial" w:eastAsia="Arial" w:hAnsi="Arial"/>
                <w:sz w:val="16"/>
                <w:szCs w:val="16"/>
                <w:b w:val="1"/>
                <w:bCs w:val="1"/>
                <w:color w:val="auto"/>
                <w:w w:val="89"/>
              </w:rPr>
              <w:t>Favorable</w:t>
            </w:r>
          </w:p>
        </w:tc>
        <w:tc>
          <w:tcPr>
            <w:tcW w:w="160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b w:val="1"/>
                <w:bCs w:val="1"/>
                <w:color w:val="auto"/>
                <w:w w:val="90"/>
              </w:rPr>
              <w:t>Revenue Growth %</w:t>
            </w: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6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2"/>
              </w:rPr>
              <w:t>(Unfavorable) FX</w:t>
            </w:r>
          </w:p>
        </w:tc>
        <w:tc>
          <w:tcPr>
            <w:tcW w:w="162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88"/>
              </w:rPr>
              <w:t>Constant Currency</w:t>
            </w:r>
          </w:p>
        </w:tc>
        <w:tc>
          <w:tcPr>
            <w:tcW w:w="1500" w:type="dxa"/>
            <w:vAlign w:val="bottom"/>
            <w:gridSpan w:val="2"/>
            <w:vMerge w:val="continue"/>
          </w:tcPr>
          <w:p>
            <w:pPr>
              <w:spacing w:after="0"/>
              <w:rPr>
                <w:sz w:val="13"/>
                <w:szCs w:val="13"/>
                <w:color w:val="auto"/>
              </w:rPr>
            </w:pPr>
          </w:p>
        </w:tc>
        <w:tc>
          <w:tcPr>
            <w:tcW w:w="16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2"/>
              </w:rPr>
              <w:t>(Unfavorable) FX</w:t>
            </w:r>
          </w:p>
        </w:tc>
        <w:tc>
          <w:tcPr>
            <w:tcW w:w="16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Constant Currency</w:t>
            </w:r>
          </w:p>
        </w:tc>
        <w:tc>
          <w:tcPr>
            <w:tcW w:w="0" w:type="dxa"/>
            <w:vAlign w:val="bottom"/>
          </w:tcPr>
          <w:p>
            <w:pPr>
              <w:spacing w:after="0"/>
              <w:rPr>
                <w:sz w:val="1"/>
                <w:szCs w:val="1"/>
                <w:color w:val="auto"/>
              </w:rPr>
            </w:pPr>
          </w:p>
        </w:tc>
      </w:tr>
      <w:tr>
        <w:trPr>
          <w:trHeight w:val="205"/>
        </w:trPr>
        <w:tc>
          <w:tcPr>
            <w:tcW w:w="19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(GAAP)</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Impact</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(non-GAAP)</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(GAAP)</w:t>
            </w: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Impact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(non-GAAP)</w:t>
            </w:r>
          </w:p>
        </w:tc>
        <w:tc>
          <w:tcPr>
            <w:tcW w:w="0" w:type="dxa"/>
            <w:vAlign w:val="bottom"/>
          </w:tcPr>
          <w:p>
            <w:pPr>
              <w:spacing w:after="0"/>
              <w:rPr>
                <w:sz w:val="1"/>
                <w:szCs w:val="1"/>
                <w:color w:val="auto"/>
              </w:rPr>
            </w:pPr>
          </w:p>
        </w:tc>
      </w:tr>
      <w:tr>
        <w:trPr>
          <w:trHeight w:val="216"/>
        </w:trPr>
        <w:tc>
          <w:tcPr>
            <w:tcW w:w="19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Retail</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0"/>
        </w:trPr>
        <w:tc>
          <w:tcPr>
            <w:tcW w:w="1940" w:type="dxa"/>
            <w:vAlign w:val="bottom"/>
          </w:tcPr>
          <w:p>
            <w:pPr>
              <w:ind w:left="120"/>
              <w:spacing w:after="0"/>
              <w:rPr>
                <w:sz w:val="20"/>
                <w:szCs w:val="20"/>
                <w:color w:val="auto"/>
              </w:rPr>
            </w:pPr>
            <w:r>
              <w:rPr>
                <w:rFonts w:ascii="Arial" w:cs="Arial" w:eastAsia="Arial" w:hAnsi="Arial"/>
                <w:sz w:val="17"/>
                <w:szCs w:val="17"/>
                <w:color w:val="auto"/>
              </w:rPr>
              <w:t>Hospitality</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1 %</w:t>
            </w:r>
          </w:p>
        </w:tc>
        <w:tc>
          <w:tcPr>
            <w:tcW w:w="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600" w:type="dxa"/>
            <w:vAlign w:val="bottom"/>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Digital Banking</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1940" w:type="dxa"/>
            <w:vAlign w:val="bottom"/>
          </w:tcPr>
          <w:p>
            <w:pPr>
              <w:ind w:left="120"/>
              <w:spacing w:after="0"/>
              <w:rPr>
                <w:sz w:val="20"/>
                <w:szCs w:val="20"/>
                <w:color w:val="auto"/>
              </w:rPr>
            </w:pPr>
            <w:r>
              <w:rPr>
                <w:rFonts w:ascii="Arial" w:cs="Arial" w:eastAsia="Arial" w:hAnsi="Arial"/>
                <w:sz w:val="17"/>
                <w:szCs w:val="17"/>
                <w:color w:val="auto"/>
              </w:rPr>
              <w:t>Payments &amp; Network</w:t>
            </w:r>
          </w:p>
        </w:tc>
        <w:tc>
          <w:tcPr>
            <w:tcW w:w="1200" w:type="dxa"/>
            <w:vAlign w:val="bottom"/>
          </w:tcPr>
          <w:p>
            <w:pPr>
              <w:jc w:val="right"/>
              <w:spacing w:after="0"/>
              <w:rPr>
                <w:sz w:val="20"/>
                <w:szCs w:val="20"/>
                <w:color w:val="auto"/>
              </w:rPr>
            </w:pPr>
            <w:r>
              <w:rPr>
                <w:rFonts w:ascii="Arial" w:cs="Arial" w:eastAsia="Arial" w:hAnsi="Arial"/>
                <w:sz w:val="17"/>
                <w:szCs w:val="17"/>
                <w:color w:val="auto"/>
              </w:rPr>
              <w:t>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5 %</w:t>
            </w:r>
          </w:p>
        </w:tc>
        <w:tc>
          <w:tcPr>
            <w:tcW w:w="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600" w:type="dxa"/>
            <w:vAlign w:val="bottom"/>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Self-Service Banking</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0"/>
        </w:trPr>
        <w:tc>
          <w:tcPr>
            <w:tcW w:w="1940" w:type="dxa"/>
            <w:vAlign w:val="bottom"/>
          </w:tcPr>
          <w:p>
            <w:pPr>
              <w:ind w:left="20"/>
              <w:spacing w:after="0"/>
              <w:rPr>
                <w:sz w:val="20"/>
                <w:szCs w:val="20"/>
                <w:color w:val="auto"/>
              </w:rPr>
            </w:pPr>
            <w:r>
              <w:rPr>
                <w:rFonts w:ascii="Arial" w:cs="Arial" w:eastAsia="Arial" w:hAnsi="Arial"/>
                <w:sz w:val="17"/>
                <w:szCs w:val="17"/>
                <w:b w:val="1"/>
                <w:bCs w:val="1"/>
                <w:color w:val="auto"/>
              </w:rPr>
              <w:t>Total segment revenue</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2 %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3 %</w:t>
            </w: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20"/>
        </w:trPr>
        <w:tc>
          <w:tcPr>
            <w:tcW w:w="1940" w:type="dxa"/>
            <w:vAlign w:val="bottom"/>
          </w:tcPr>
          <w:p>
            <w:pPr>
              <w:ind w:left="120"/>
              <w:spacing w:after="0"/>
              <w:rPr>
                <w:sz w:val="20"/>
                <w:szCs w:val="20"/>
                <w:color w:val="auto"/>
              </w:rPr>
            </w:pPr>
            <w:r>
              <w:rPr>
                <w:rFonts w:ascii="Arial" w:cs="Arial" w:eastAsia="Arial" w:hAnsi="Arial"/>
                <w:sz w:val="17"/>
                <w:szCs w:val="17"/>
                <w:color w:val="auto"/>
              </w:rPr>
              <w:t>Eliminations</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9 %</w:t>
            </w:r>
          </w:p>
        </w:tc>
        <w:tc>
          <w:tcPr>
            <w:tcW w:w="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600" w:type="dxa"/>
            <w:vAlign w:val="bottom"/>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Revenue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and nine months ended September 30, 2023 compared to the three and nine months ended September 30, 2022</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Retail revenue decreased 1% for the three months ended September 30, 2023 compared to the prior year period and increased 1% for the nine months ended September 30, 2023 compared to the prior year period. For the three months ended September 30, 2023, the decrease in revenue is due to a decrease in hardware revenue partially offset by increases in software and services revenues. For the nine months ended September 30, 2023, the increase in revenue of 1% compared to the prior year period was primarily due to increases in software and services revenues partially offset by a decrease in hardware revenue.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Hospitality revenue remained flat for the three months ended September 30, 2023 compared to the prior year period and increased 1% for the nine months ended September 30, 2023 compared to the prior year period. For the nine months ended September 30, 2023, the increase in revenue is due to an increase in services and software revenues, including growth in cloud services and payment processing, partially offset by a decrease in POS hardware.</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Digital Banking revenue increased 7% and 5% for the three and nine months ended September 30, 2023, respectively, compared to the prior year periods, due to an increase in recurring cloud services and software maintenance revenues.</w:t>
      </w:r>
    </w:p>
    <w:p>
      <w:pPr>
        <w:spacing w:after="0" w:line="186" w:lineRule="exact"/>
        <w:rPr>
          <w:sz w:val="20"/>
          <w:szCs w:val="20"/>
          <w:color w:val="auto"/>
        </w:rPr>
      </w:pPr>
    </w:p>
    <w:p>
      <w:pPr>
        <w:jc w:val="both"/>
        <w:spacing w:after="0" w:line="354" w:lineRule="auto"/>
        <w:rPr>
          <w:sz w:val="20"/>
          <w:szCs w:val="20"/>
          <w:color w:val="auto"/>
        </w:rPr>
      </w:pPr>
      <w:r>
        <w:rPr>
          <w:rFonts w:ascii="Arial" w:cs="Arial" w:eastAsia="Arial" w:hAnsi="Arial"/>
          <w:sz w:val="15"/>
          <w:szCs w:val="15"/>
          <w:color w:val="auto"/>
        </w:rPr>
        <w:t>Payments &amp; Network revenue increased 6% and 5% for the three and nine months ended September 30, 2023, respectively, compared to the prior year periods, due to an increase in payment processing and Bitcoin-related revenue driven by an increase in higher margin ATM transactions and merchant acquiring services.</w:t>
      </w:r>
    </w:p>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Self-Service Banking revenue increased 4% and 1% for the three and nine months ended September 30, 2023, respectively, compared to the prior year periods. The increases in revenue is due to an increase in recurring ATM as-a-Service arrangements. These increases are offset by declines in ATM hardware and software license revenues during the nine months ended September 30, 2023. Software and services revenue as a percent of total Self-Service Banking segment revenue were 70% and 69% in the third quarter of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and nine months ended September 30, 2023 compared to the three and nine months ended September 30, 2022</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Retail Adjusted EBITDA increased 3% and 18% for the three and nine months ended September 30, 2023, respectively, compared to the prior year periods, primarily due to favorable software and services revenue mix and improvements in component, labor and freight costs as well as other cost mitigation and pricing actions taken in the latter part of 2022 and into 2023. These improvements were partially offset by an increase in employee benefit-related costs.</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Hospitality Adjusted EBITDA increased 16% and 25% for the three and nine months ended September 30, 2023, respectively, compared to the prior year periods, primarily driven by favorable software and services revenue mix, pricing and cost mitigation actions taken in the latter part of 2022 and into 2023 as well as improvements in component and fuel costs. These improvements were partially offset by an increase in employee benefit-related costs.</w:t>
      </w:r>
    </w:p>
    <w:p>
      <w:pPr>
        <w:spacing w:after="0" w:line="180"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Digital Banking Adjusted EBITDA decreased 3% and 7% for the three and nine months ended September 30, 2023, respectively, compared to the prior year periods, primarily driven by investment in selling expenses and research and development expenses, and an increase in employee benefit-related costs.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Payments &amp; Network Adjusted EBITDA increased 5% and decreased 2% for the three and nine months ended September 30, 2023, respectively, compared to the prior year periods. The increase in Adjusted EBITDA for the three months ended September 30, 2023 compared to the prior year period was primarily due to increases in higher margin transaction revenue and cost optimization initiatives. These improvements were partially offset by an increase in interest rates, which increases the cost of our vault cash rental obligations, and employee benefit-related costs. The decline in Adjusted EBITDA for the nine months ended September 30, 2023 compared to prior year period was primarily due to significantly higher interest rates on our vault cash agreements, as well as higher cash-in-transit costs driven by the higher volume of cash dispensed in the period, and an increase in employee benefit-related costs. This was partially offset by the increase in higher margin transaction revenue described above.</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Self-Service Banking Adjusted EBITDA increased 13% and 18% for the three and nine months ended September 30, 2023, respectively, compared to the prior year period primarily due to improvement in component and fuel costs, particularly in ATM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hardware, as well as increases in higher margin recurring revenue streams. These improvements were partially offset by an increase in employee benefit-related costs.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Financial Condition, Liquidity, and Capital Resources</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Historically, our principal sources of cash are cash generated from operations, borrowings under our revolving credit facility and issuances of debt. We continually evaluate our liquidity requirements in light of our operating needs, growth initiatives and capital resources.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management uses a non-GAAP measure called “Adjusted free cash flow-unrestricted” to assess the financial performance of the Company. We define Adjusted free cash flow-unrestricted as net cash provided by (used in) operating activities less capital expenditures for property, plant and equipment, less additions to capitalized software, plus/minus the change in restricted cash settlement activity, plus acquisition-related items, plus/minus net reductions or reinvestments in the trade receivables facility established in the third quarter of 2021 due to fluctuations in the outstanding balance of receivables sold, and plus pension contributions and settlements. Restricted cash settlement activity represents the net change in amounts collected on behalf of, but not yet remitted to, certain of the Company’s merchant customers or third-party service providers that are pledged for a particular use or restricted to support these obligations. These amounts can fluctuate significantly period to period based on the number of days for which settlement to the merchant has not yet occurred or day of the week on which a reporting period ends. We believe Adjusted free cash flow-unrestricted information is useful for investors because it relates the operating cash flows from the Company’s continuing and discontinued operations to the capital that is spent to continue and improve business operations. In particular, Adjusted free cash flow-unrestricted indicates the amount of cash available after these adjustments for, among other things, investments in the Company’s existing businesses, strategic acquisitions, repurchases of the Company’s stock and repayment of debt obligations. Adjusted free cash flow-unrestricted does not represent the residual cash flow available for discretionary expenditures, since there may be other non-discretionary expenditures that are not deducted from the measure. Adjusted free cash flow-unrestricted does not have a uniform definition under GAAP, and therefore our definition may differ from other companies’ definitions of this measure. This non-GAAP measure should not be considered a substitute for, or superior to, cash flows from operating activities under GAAP.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Summarized cash flow information for the nine months ended September 30 is as follows:</w:t>
      </w:r>
    </w:p>
    <w:p>
      <w:pPr>
        <w:spacing w:after="0" w:line="278"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Nine months ended September 30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2022</w:t>
            </w:r>
          </w:p>
        </w:tc>
      </w:tr>
      <w:tr>
        <w:trPr>
          <w:trHeight w:val="213"/>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20"/>
        </w:trPr>
        <w:tc>
          <w:tcPr>
            <w:tcW w:w="85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(305)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(298)</w:t>
            </w:r>
          </w:p>
        </w:tc>
      </w:tr>
      <w:tr>
        <w:trPr>
          <w:trHeight w:val="220"/>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bl>
    <w:p>
      <w:pPr>
        <w:spacing w:after="0" w:line="31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Cash provided by operating activities was $728 million in the nine months ended September 30, 2023 compared to cash provided by operating activities of $245 million in the nine months ended September 30, 2022. The increase in cash provided by operating activities in the nine months ended September 30, 2023 was driven by the favorable movement in net working capital accounts of $570 million. Net cash provided by financing activities was $1,879 million in the nine months ended September 30, 2023 compared to cash provided by financing activities of $93 million in the nine months ended September 30, 2022. The increase is mainly related to the net proceeds of certain debt balances that were held in escrow pending consummation of the Spin-Off, and such proceeds were included in Restricted cash, non-current on the Condensed Consolidated Balance Sheets. Refer to Note 5, “Debt Obligations”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net cash provided by operating activities, the most directly comparable GAAP measure, to the Company’s non-GAAP measure of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Adjusted free cash flow-unrestricted for the nine months ended September 30:</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200"/>
        <w:spacing w:after="0"/>
        <w:rPr>
          <w:sz w:val="20"/>
          <w:szCs w:val="20"/>
          <w:color w:val="auto"/>
        </w:rPr>
      </w:pPr>
      <w:r>
        <w:rPr>
          <w:rFonts w:ascii="Arial" w:cs="Arial" w:eastAsia="Arial" w:hAnsi="Arial"/>
          <w:sz w:val="17"/>
          <w:szCs w:val="17"/>
          <w:b w:val="1"/>
          <w:bCs w:val="1"/>
          <w:color w:val="auto"/>
        </w:rPr>
        <w:t>Nine months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(GAAP)</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20"/>
        </w:trPr>
        <w:tc>
          <w:tcPr>
            <w:tcW w:w="7740" w:type="dxa"/>
            <w:vAlign w:val="bottom"/>
          </w:tcPr>
          <w:p>
            <w:pPr>
              <w:ind w:left="340"/>
              <w:spacing w:after="0"/>
              <w:rPr>
                <w:sz w:val="20"/>
                <w:szCs w:val="20"/>
                <w:color w:val="auto"/>
              </w:rPr>
            </w:pPr>
            <w:r>
              <w:rPr>
                <w:rFonts w:ascii="Arial" w:cs="Arial" w:eastAsia="Arial" w:hAnsi="Arial"/>
                <w:sz w:val="17"/>
                <w:szCs w:val="17"/>
                <w:color w:val="auto"/>
              </w:rPr>
              <w:t>Expenditures for property, plant and equipment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20"/>
        </w:trPr>
        <w:tc>
          <w:tcPr>
            <w:tcW w:w="7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Additions to capitalized software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r>
      <w:tr>
        <w:trPr>
          <w:trHeight w:val="220"/>
        </w:trPr>
        <w:tc>
          <w:tcPr>
            <w:tcW w:w="7740" w:type="dxa"/>
            <w:vAlign w:val="bottom"/>
          </w:tcPr>
          <w:p>
            <w:pPr>
              <w:ind w:left="340"/>
              <w:spacing w:after="0"/>
              <w:rPr>
                <w:sz w:val="20"/>
                <w:szCs w:val="20"/>
                <w:color w:val="auto"/>
              </w:rPr>
            </w:pPr>
            <w:r>
              <w:rPr>
                <w:rFonts w:ascii="Arial" w:cs="Arial" w:eastAsia="Arial" w:hAnsi="Arial"/>
                <w:sz w:val="17"/>
                <w:szCs w:val="17"/>
                <w:color w:val="auto"/>
              </w:rPr>
              <w:t>Restricted cash settlement activity</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7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Pension contributions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3"/>
        </w:trPr>
        <w:tc>
          <w:tcPr>
            <w:tcW w:w="7740" w:type="dxa"/>
            <w:vAlign w:val="bottom"/>
          </w:tcPr>
          <w:p>
            <w:pPr>
              <w:ind w:left="20"/>
              <w:spacing w:after="0"/>
              <w:rPr>
                <w:sz w:val="20"/>
                <w:szCs w:val="20"/>
                <w:color w:val="auto"/>
              </w:rPr>
            </w:pPr>
            <w:r>
              <w:rPr>
                <w:rFonts w:ascii="Arial" w:cs="Arial" w:eastAsia="Arial" w:hAnsi="Arial"/>
                <w:sz w:val="17"/>
                <w:szCs w:val="17"/>
                <w:color w:val="auto"/>
              </w:rPr>
              <w:t>Adjusted free cash flow-unrestricted (non-GAAP)</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the nine months ended September 30, 2023, net cash provided by operating activities increased $483 million, which contributed to a net increase in Adjusted free cash flow-unrestricted of $459 million in comparison to the nine months ended September 30, 2022. The increase in net cash provided by operating activities was offset by an increase in restricted cash settlement activity of $14 million and an increase in capital expenditures for property, plant and equipment of $40 million.</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Financing activities and certain other investing activities are not included in our calculation of Adjusted free cash flow-unrestricted. Other investing activities primarily include business acquisitions, divestitures and investments, which were not significant in the nine months ended September 30, 2023 and September 30, 2022.</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financing activities include borrowings and repayments of credit facilities and notes. Financing activities during the nine months ended September 30, 2023 also included dividends paid on the Series A preferred stock of $11 million, proceeds from employee stock plans of $23 million as well as tax withholding payments on behalf of employees for stock based awards that vested of $16 million. Financing activities during the nine months ended September 30, 2022 included dividends paid on the Series A preferred stock of $11 million, proceeds from stock employee plans of $19 million, and tax withholding payments on behalf of employees for stock based awards that vested of $38 million.</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Long Term Borrowings </w:t>
      </w:r>
      <w:r>
        <w:rPr>
          <w:rFonts w:ascii="Arial" w:cs="Arial" w:eastAsia="Arial" w:hAnsi="Arial"/>
          <w:sz w:val="16"/>
          <w:szCs w:val="16"/>
          <w:color w:val="auto"/>
        </w:rPr>
        <w:t>The Senior Secured Credit Facility consisted of term loan facilities in an aggregate principal amount of $2.055 billion,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$1.801 billion was outstanding as of September 30, 2023. Additionally, the Senior Secured Credit Facility provided for a five-year Revolving Credit Facility with an aggregate principal amount of $1.3 billion, of which $438 million was outstanding as of September 30, 2023. The Revolving Credit Facility also contained a sub-facility to be used for letters of credit, and as of September 30, 2023, there were $29 million letters of credit outstanding.</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of September 30, 2023, we had outstanding $1.2 billion in aggregate principal balance of 5.125% senior unsecured notes due in 2029 (the “2029 Notes”), $500 million in aggregate principal balance of 5.750% senior unsecured notes due in 2027 (the “2027 Notes”), $650 million aggregate principal balance of 5.000% senior unsecured notes due in 2028, $500 million in aggregate principal balance of 6.125% senior unsecured notes due in 2029, and $450 million in aggregate principal balance of 5.250% senior unsecured notes due in 2030.</w:t>
      </w:r>
    </w:p>
    <w:p>
      <w:pPr>
        <w:spacing w:after="0" w:line="203"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On October 17, 2023 (the “Redemption Date”), the $500 million 2027 Notes were redeemed, at a redemption premium of 101.438% of the aggregate principal amount. Also on the Redemption Date, the $500 million 2029 Notes were redeemed, at a redemption premium of 103.074% of the aggregate principal amount.</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On September 27, 2023, Atleos entered into a credit agreement (the “Atleos Credit Agreement”) which provides for new senior secured credit facilities in an aggregate principal amount of $2,085 million. As of September 30, 2023, the net proceeds of the Atleos Term Loan B Facility, together with certain other amounts (collectively, the “TLB Escrow Amounts”) were held in escrow pending consummation of the Spin-Off and such proceeds are included in restricted cash on the Condensed Consolidated Balance Sheets. As of September 30, 2023, the Atleos Term Loan A Facility and the Atleos Revolving Credit Facility had been committed to by the lenders providing such facilities, but drawings thereunder were not permitted until the effective date of the Spin-Off. Additionally, as of September 30, 2023, there was no balance outstanding under the Atleos Revolving Credit Facility and no outstanding letters of credit issued under the sub-facility.</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on September 27, 2023, $1,350 million aggregate principal amount of 9.500% senior secured notes due 2029 (the “Atleos Notes”) were issued. As of September 30, 2023, the proceeds of the Atleos Notes were held in escrow pending consummation of the Spin-Off and are included in restricted cash on the Condensed Consolidated Balance Sheets. Upon the completion of the merger of NCR Atleos Escrow Corporation with and into Atleos on October 16, 2023, the Atleos Notes became jointly and severally and unconditionally guaranteed on a senior secured basis by Atleos’s wholly-owned domestic</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subsidiaries, subject to certain limitations. As of the Spin-Off, the Atleos Notes are not obligations of the Company and beginning with the fourth fiscal quarter of 2023 will not be reported as obligations of the Company.</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October 16, 2023, Atleos used a portion of the proceeds from the financing transactions discussed above to make a cash distribution of approximately $3.0 billion to the Company. The Company used such cash distribution on October 16, 2023 to repay all accrued and unpaid loans and other amounts due under the Senior Secured Credit Facility and terminated all commitments thereunder. Additionally, on October 16, 2023, the Company and certain of its subsidiaries entered into a new credit agreement providing for new senior secured credit facilities in an aggregate principal amount of $700 million, which are comprised of (i) a five-year multicurrency $500 million revolving credit facility, and (ii) a five-year term loan “A” facility in the aggregate principal amount of $200 million (together, the “New Credit Facilities”).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October 16, 2023, the Company borrowed the full amount under the Term Loan A facility and drew $63 million in revolving loans under the New Credit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5, “Debt Obligations” for additional information regarding these debt transactions.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Employee Benefit Plans </w:t>
      </w:r>
      <w:r>
        <w:rPr>
          <w:rFonts w:ascii="Arial" w:cs="Arial" w:eastAsia="Arial" w:hAnsi="Arial"/>
          <w:sz w:val="17"/>
          <w:szCs w:val="17"/>
          <w:color w:val="auto"/>
        </w:rPr>
        <w:t>In 2023, we expect to make contributions of $17 million to our international pension plans, $75 million to our postemployment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$2 million to our postretirement plan. In accordance with the Employee Matters Agreement, Atleos will make an additional $136 million contribution to the U.S. pension plan following the Spin-Off for total contributions of $150 million in 2023. For additional information, refer to Note 9, “Employee Benefit Plans”, of the Notes to Condensed Consolidated Financial Statements.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Series A Convertible Preferred Stock </w:t>
      </w:r>
      <w:r>
        <w:rPr>
          <w:rFonts w:ascii="Arial" w:cs="Arial" w:eastAsia="Arial" w:hAnsi="Arial"/>
          <w:sz w:val="17"/>
          <w:szCs w:val="17"/>
          <w:color w:val="auto"/>
        </w:rPr>
        <w:t>As of September 30, 2023, the redemption value of the Series A Preferred Stock was approximately $276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Series A Convertible Preferred Stock are entitled to a cumulative dividend at the rate of 5.5% per annum, payable quarterly in arrears. Beginning in the first quarter of 2020, dividends are payable in cash or in-kind at the option of the Company. During the nine months ended September 30, 2023 and 2022, the Company paid cash dividends of $11 million.</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Series A Convertible Preferred Stock is convertible at the option of the holders at any time into shares of common stock at a conversion price of $30.00 per share, or a conversion rate of 33.333 shares of common stock per share of the Series A Convertible Preferred Stock. As of September 30, 2023 and December 31, 2022, the maximum number of common shares that could be required to be issued upon conversion of the outstanding shares of Series A Convertible Preferred Stock was 9.2 million shares. As a result of the Spin-Off and pursuant to the Company’s Articles of Amendment and Restatement, the adjusted conversion ratio is 57.5601 shares of common stock per share of Series A Convertible Preferred Stock.</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Cash and Cash Equivalents Held by Foreign Subsidiaries </w:t>
      </w:r>
      <w:r>
        <w:rPr>
          <w:rFonts w:ascii="Arial" w:cs="Arial" w:eastAsia="Arial" w:hAnsi="Arial"/>
          <w:sz w:val="17"/>
          <w:szCs w:val="17"/>
          <w:color w:val="auto"/>
        </w:rPr>
        <w:t>Cash and cash equivalents held by the Company’s foreign subsidiaries at September 30, 2023 and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2022 were $418 million and $419 million,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As of September 30, 2023, our cash and cash equivalents totaled $675 million and our total debt was $7.65 billion, excluding deferred fees. As of</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2023, our borrowing capacity under the Revolving Credit Facility was approximately $833 million. Our ability to generate positive cash flows from operations is dependent on general economic conditions, the competitive environment in our industry, and is subject to the business and other risk factors described in Item 1A of Part I of the Company’s 2022 Annual Report on Form 10-K and Item 1A of Part II of this Quarterly Report on Form 10-Q (as applicable). If we are unable to generate sufficient cash flows from operations, or otherwise comply with the terms of our credit facilities, we may be required to seek additional financing alternatives.</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We believe that we have sufficient liquidity based on our current cash position, cash flows from operations and existing financing to meet our expected pension, postemployment, and postretirement plan contributions, remediation payments related to environmental matters, debt servicing obligations, payments related to separation, transformation and restructuring initiatives, and in the long-term (i.e., beyond September 30, 2024) to meet our material cash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Material Cash Requirements from Contractual and Other Obligations</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Other than the transactions discussed above in relation to the Spin-Off, there have been no significant changes in our contractual and other commercial obligations as described in our Form 10-K for the year ended December 31,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Critical Accounting Policies and Estimates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Critical accounting policies are those that are most important to the portrayal of our financial position and results of operations. These policies require highly subjective or complex judgments, often employing the use of estimates about the effect of matters that are inherently uncertain. Our most critical accounting estimates pertain to revenue recognition, inventory valuation, goodwill and intangible assets, pension, postretirement and postemployment benefits, environmental and legal contingencies, and income taxes, which are described in Item 7. of our 2022 Form 10-K.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New Accounting Pronouncements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See discussion in Note 1, “Basis of Presentation and Summary of Significant Accounting Policies”, of the Notes to Condensed Consolidated Financial Statements for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Forward-Looking Statements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use words such as “expect,” “anticipate,” “outlook,” “intend,” “plan,” “confident,” “believe,” “will,” “should,” “would,” “potential,” “positioning,” “proposed,” “planned,” “objective,” “likely,” “could,” “may,” and words of similar meaning, as well as other words or expressions referencing future events, conditions or circumstances. We intend these forward-looking statements to be covered by the safe harbor provisions for forward-looking statements contained in the Act. Statements that describe or relate to the Company’s plans, goals, intentions, strategies, or financial outlook, and statements that do not relate to historical or current fact, are examples of forward-looking statements. Examples of forward-looking statements in this report include, without limitation, statements regarding: our expectations of demand for our solutions and execution and the impact thereof on our financial results in 2023; the Company’s focus on advancing our strategic growth initiatives and transforming the Company into a software-led as-a-service company with a higher mix of recurring revenue streams; our expectations of the Company’s ability to deliver increased value to customers and stockholders; and statements regarding the separation of NCR Corporation into two separate companies, including, but not limited to, statements regarding the future commercial or financial performance of the Company following such transaction, and value creation and ability to innovate and drive growth generally as a result of such transaction. Forward-looking statements are based on our current beliefs, expectations and assumptions, which may not prove to be accurate, and involve a number of known and unknown risks and uncertainties, many of which are out of the Company’s control. Forward-looking statements are not guarantees of future performance, and there are a number of important factors that could cause actual outcomes and results to differ materially from the results contemplated by such forward-looking statements, including those factors relating to:</w:t>
      </w:r>
    </w:p>
    <w:p>
      <w:pPr>
        <w:spacing w:after="0" w:line="217" w:lineRule="exact"/>
        <w:rPr>
          <w:sz w:val="20"/>
          <w:szCs w:val="20"/>
          <w:color w:val="auto"/>
        </w:rPr>
      </w:pPr>
    </w:p>
    <w:p>
      <w:pPr>
        <w:ind w:left="620" w:hanging="305"/>
        <w:spacing w:after="0" w:line="262"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Strategy and Technology: transforming our business model; development and introduction of new solutions; competition in the technology industry; integration of acquisitions and management of alliance activities; and our multinational operations;</w:t>
      </w:r>
    </w:p>
    <w:p>
      <w:pPr>
        <w:jc w:val="both"/>
        <w:ind w:left="620" w:hanging="305"/>
        <w:spacing w:after="0" w:line="254"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Business Operations: domestic and global economic and credit conditions; risks and uncertainties from the payments-related business and industry; disruptions in our data center hosting and public cloud facilities; retention and attraction of key employees; defects, errors, installation difficulties or development delays; failure of third-party suppliers; a major natural disaster or catastrophic event, including the impact of the coronavirus (COVID-19) pandemic and geopolitical and macroeconomic challenges (such as the Israel-Hamas conflict); environmental exposures from historical and ongoing manufacturing activities; and climate change;</w:t>
      </w:r>
    </w:p>
    <w:p>
      <w:pPr>
        <w:spacing w:after="0" w:line="2" w:lineRule="exact"/>
        <w:rPr>
          <w:rFonts w:ascii="Arial" w:cs="Arial" w:eastAsia="Arial" w:hAnsi="Arial"/>
          <w:sz w:val="17"/>
          <w:szCs w:val="17"/>
          <w:color w:val="auto"/>
        </w:rPr>
      </w:pPr>
    </w:p>
    <w:p>
      <w:pPr>
        <w:ind w:left="620" w:hanging="305"/>
        <w:spacing w:after="0" w:line="254"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Data Privacy &amp; Security: impact of data protection, cybersecurity and data privacy including any related issues, including the April 2023 ransomware incident;</w:t>
      </w:r>
    </w:p>
    <w:p>
      <w:pPr>
        <w:spacing w:after="0" w:line="1" w:lineRule="exact"/>
        <w:rPr>
          <w:rFonts w:ascii="Arial" w:cs="Arial" w:eastAsia="Arial" w:hAnsi="Arial"/>
          <w:sz w:val="17"/>
          <w:szCs w:val="17"/>
          <w:color w:val="auto"/>
        </w:rPr>
      </w:pPr>
    </w:p>
    <w:p>
      <w:pPr>
        <w:jc w:val="both"/>
        <w:ind w:left="620" w:hanging="305"/>
        <w:spacing w:after="0" w:line="254"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Finance and Accounting: our level of indebtedness; the terms governing our indebtedness; incurrence of additional debt or similar liabilities or obligations; access or renewal of financing sources; our cash flow sufficiency to service our indebtedness; interest rate risks; the terms governing our trade receivables facility; the impact of certain changes in control relating to acceleration of our indebtedness, our obligations under other financing arrangements, or required repurchase of our senior unsecured notes; any lowering or withdrawal of the ratings assigned to our debt securities by rating agencies; our pension liabilities; and write down of the value of certain significant assets;</w:t>
      </w:r>
    </w:p>
    <w:p>
      <w:pPr>
        <w:spacing w:after="0" w:line="2" w:lineRule="exact"/>
        <w:rPr>
          <w:rFonts w:ascii="Arial" w:cs="Arial" w:eastAsia="Arial" w:hAnsi="Arial"/>
          <w:sz w:val="17"/>
          <w:szCs w:val="17"/>
          <w:color w:val="auto"/>
        </w:rPr>
      </w:pPr>
    </w:p>
    <w:p>
      <w:pPr>
        <w:jc w:val="both"/>
        <w:ind w:left="620" w:hanging="305"/>
        <w:spacing w:after="0" w:line="270" w:lineRule="auto"/>
        <w:tabs>
          <w:tab w:leader="none" w:pos="6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Law and Compliance: allegations or claims by third parties that our products or services infringe on intellectual property rights of others, including claims against our customers and claims by our customers to defend and indemnify them with respect to such claims; protection of our intellectual property; changes to our tax rates and additional income tax liabilities; and uncertainties regarding regulations, lawsuits and other related matters;</w:t>
      </w:r>
    </w:p>
    <w:p>
      <w:pPr>
        <w:spacing w:after="0" w:line="1" w:lineRule="exact"/>
        <w:rPr>
          <w:rFonts w:ascii="Arial" w:cs="Arial" w:eastAsia="Arial" w:hAnsi="Arial"/>
          <w:sz w:val="16"/>
          <w:szCs w:val="16"/>
          <w:color w:val="auto"/>
        </w:rPr>
      </w:pPr>
    </w:p>
    <w:p>
      <w:pPr>
        <w:jc w:val="both"/>
        <w:ind w:left="620" w:hanging="305"/>
        <w:spacing w:after="0" w:line="254"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Governance: impact of the terms of our Series A Convertible Preferred (“Series A”) Stock relating to voting power, share dilution and market price of our common stock; rights, preferences and privileges of Series A stockholders compared to the rights of our common stockholders; and actions or proposals from stockholders that do not align with our business strategies or the interests of our other stockholders;</w:t>
      </w:r>
    </w:p>
    <w:p>
      <w:pPr>
        <w:spacing w:after="0" w:line="1" w:lineRule="exact"/>
        <w:rPr>
          <w:rFonts w:ascii="Arial" w:cs="Arial" w:eastAsia="Arial" w:hAnsi="Arial"/>
          <w:sz w:val="17"/>
          <w:szCs w:val="17"/>
          <w:color w:val="auto"/>
        </w:rPr>
      </w:pPr>
    </w:p>
    <w:p>
      <w:pPr>
        <w:jc w:val="both"/>
        <w:ind w:left="620" w:hanging="305"/>
        <w:spacing w:after="0" w:line="257"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Separation: the potential strategic benefits, synergies or opportunities expected from the separation may not be realized or may take longer to realize than expected; the potential inability to access, or reduced access, to the capital markets or increased cost of borrowings, including as a result of a credit rating downgrade; the incurrence of significant costs in connection with the separation; the potential adverse reactions to the separation by customers, suppliers, strategic partners or key personnel and potential difficulties in maintaining relationships with such persons and risks associated with third party contracts containing consent, and/or other provisions that may be triggered by the separation; unforeseen tax liabilities or changes in tax law; non-compete restrictions in the separation agreement entered into in connection with the separation; and requests, requirements or penalties imposed by any governmental authorities related to certain existing liabilities.</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Should one or more of these risks or uncertainties materialize, or should underlying assumptions prove incorrect, actual results may vary materially from those set forth in the forward-looking statements. There can be no guarantee that stockholders will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achieve any particular level of stockholder returns. Nor can there be any guarantee that, following the separation, the Company and Atleos will be able to realize any of the potential strategic benefits, synergies or opportunities or that the separation will maximize value for stockholders, or that Company or any of its divisions will be commercially successful in the future, or achieve any particular credit rating or financial results. Additional information concerning these and other factors can be found in the Company’s filings with the U.S. Securities and Exchange Commission, including the Company’s most recent annual report on Form 10-K, quarterly reports on Form 10-Q and current reports on Form 8-K. Any forward-looking statement speaks only as of the date on which it is made. The Company does not undertake any obligation to publicly update or revise any forward-looking statements, whether as a result of new information, future events or otherwise, except as required by law.</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Information About the Company</w:t>
      </w:r>
    </w:p>
    <w:p>
      <w:pPr>
        <w:spacing w:after="0" w:line="1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 Company encourages investors to visit its web site (</w:t>
      </w:r>
      <w:r>
        <w:rPr>
          <w:rFonts w:ascii="Arial" w:cs="Arial" w:eastAsia="Arial" w:hAnsi="Arial"/>
          <w:sz w:val="17"/>
          <w:szCs w:val="17"/>
          <w:u w:val="single" w:color="auto"/>
          <w:color w:val="0000FF"/>
        </w:rPr>
        <w:t>http://www.ncrvoyix.com</w:t>
      </w:r>
      <w:r>
        <w:rPr>
          <w:rFonts w:ascii="Arial" w:cs="Arial" w:eastAsia="Arial" w:hAnsi="Arial"/>
          <w:sz w:val="17"/>
          <w:szCs w:val="17"/>
          <w:color w:val="auto"/>
        </w:rPr>
        <w:t>), which is updated regularly with financial and other important information about the Company. The contents of the Company’s web site are not incorporated into this quarterly report or the Company’s other filings with the U.S. Securities and Exchange Commission.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 Risk</w:t>
      </w: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employ derivatives according to documented policies and procedures, including foreign currency contracts and interest rate swaps. We do not use derivatives for trading or speculative purposes.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Risk</w:t>
      </w: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Since a substantial portion of our operations and revenue occur outside the United States, and in currencies other than the U.S. Dollar, our results can be significantly impacted by changes in foreign currency exchange rates. We have exposure to approximately 45 functional currencies 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through the use of foreign exchange forward and option contracts. This is primarily done through the hedging of foreign currency denominated inter-company inventory purchases by the marketing units and the foreign currency denominated inputs to our manufacturing units. All of these transactions are forecasted. If these contracts are designated as highly effective cash flow hedges, the gains or losses are deferred into accumulated other comprehensive income (“AOCI”). The gains or losses from derivative contracts that are designated as highly effective cash flow hedges related to inventory purchases are recorded in cost of products when the inventory is sold to an unrelated third party. Otherwise, the gains or losses from these contracts are recognized in earnings as exchange rates change. We also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utilize non-exchange traded financial instruments, such as foreign exchange forward and option contracts, that we purchase exclusively from highly rated financial institutions. We record these contracts on our balance sheet at fair market value based upon market price quotations from the financial institutions. We do not enter into non-exchange traded contracts that require the use of fair value estimation techniques, but if we did, they could have a material impact on our financial results.</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purposes of analyzing potential risk, we use sensitivity analysis to quantify potential impacts that market rate changes may have on the fair values of our hedge portfolio related to firmly committed or forecasted transactions.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of $32 million as of September 30, 2023. A 10% depreciation in the value of the U.S. Dollar against foreign currencies from the prevailing market rates would have resulted in a corresponding increase in the fair value of the hedge portfolio of $32 million as of September 30, 2023. The Company expects that any increase or decrease in the fair value of the portfolio would be substantially offset by increases or decreases in the underlying exposures being hedged.</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U.S. Dollar was stronger in the third quarter of 2023 compared to the third quarter of 2022 based on comparable weighted averages for our functional currencies. This excludes the effects of our hedging activities and, therefore, does not reflect the actual impact of fluctuations in exchange rates on our 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subject to interest rate risk principally in relation to variable-rate debt. Approximately 44% of our borrowings were on a fixed rate basis as of September 30, 2023. The increase in pre-tax interest expense for the nine months ended September 30, 2023 from a hypothetical 100 basis point increase in variable interest rates would be approximately $19 million. As of September 30, 2023, we do not have any outstanding interest rate derivative contracts related to our variable rate debt.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as our ATM vault cash rental expense is based on market rates of interest, it is sensitive to changes in applicable interest rates in the respective countries in which we operate. We pay a monthly fee on the average outstanding vault cash balances in our ATMs under floating rate formulas based on a spread above various interbank offered rates. The increase in vault cash rental expense for the three months ended September 30, 2023 from a hypothetical 100 basis point increase in variable interest rates would be approximately $9 million, excluding the impact from outstanding interest rate swap agreements.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utilize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Condensed Consolidated Statements of Cash Flows. Refer to Note 13, “Derivatives and Hedging Instruments”, for further information on our interest rate derivative contracts in effect as of September 30, 2023.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Concentrations of Credit Risk</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 on the ability of our customers to pay their obligations on a timely basis. We believe that the reserves for potential losses are adequate. As of September 30, 2023, we did not have any significant concentration of credit risk related to financial instruments.</w:t>
      </w:r>
    </w:p>
    <w:p>
      <w:pPr>
        <w:spacing w:after="0" w:line="20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NCR has established disclosure controls and procedures (as defined in Rules 13a-15(e) and 15d-15(e) of the Securities Exchange Act of 1934 (the Exchange Act)) to provide reasonable assurance that information required to be disclosed by NCR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NCR in the reports that it files or submits under the Exchange Act is accumulated and communicated to NCR’s management, including its Chief Executive and Chief Financial Officers, as appropriate to allow timely decisions regarding required disclosure. Based on their evaluation as of the end of the third quarter of 2023, conducted under their supervision and with the participation of management, the Company’s Chief Executive and Chief Financial Officers have concluded that NCR’s disclosure controls and procedures are effective to meet such objectives and that NCR’s disclosure controls and procedures adequately alert them on a timely basis to material information relating to the Company (including its consolidated subsidiaries) required to be included in NCR’s Exchange Act filings.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September 2023, we implemented a new enterprise resource planning (“ERP”) system for Atleos that was duplicated from our ERP system. ERP systems are designed to accurately maintain our financial records used to report operating results.</w:t>
      </w:r>
    </w:p>
    <w:p>
      <w:pPr>
        <w:spacing w:after="0" w:line="4"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Other than the Atleos ERP implementation, there have been no changes in our internal control over financial reporting that occurred during the three months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4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tab/>
        <w:t>LEGAL PROCEEDINGS</w:t>
      </w:r>
    </w:p>
    <w:p>
      <w:pPr>
        <w:spacing w:after="0" w:line="25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information required by this item is included in Note 10, “Commitments and Contingencies”, of the Notes to Condensed Consolidated Financial Statements in this quarterly report and is incorporated herein by reference.</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tab/>
        <w:t>RISK FACTORS</w:t>
      </w: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following information supplements the disclosure set forth under Part I, Item IA (“Risk Factors”) of the Company’s 2022 Annual Report on Form 10-K (“Form 10-K”). Additional risks and uncertainties not presently known to us or that are currently not believed to be significant to our business may also affect our actual results and could harm our business, financial conditions and results of operations. If any additional risks and uncertainties actually occur, our business, results of operations and financial condition could be materially and adversely affected.</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Risks related to achieving the expected benefits of Atleos’ separation from the Company. </w:t>
      </w:r>
      <w:r>
        <w:rPr>
          <w:rFonts w:ascii="Arial" w:cs="Arial" w:eastAsia="Arial" w:hAnsi="Arial"/>
          <w:sz w:val="16"/>
          <w:szCs w:val="16"/>
          <w:color w:val="auto"/>
        </w:rPr>
        <w:t>We may not realize the anticipated strategic, financial, operational,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benefits from the Spin-Off on October 16, 2023. We cannot predict with certainty when the benefits expected from the Spin-Off will occur or the extent to which they will be achieved, or that the costs or dis-synergies of the transaction will not exceed the anticipated amounts. The Spin-Off resulted in the digital commerce company and the ATM company being smaller, less diversified companies with more limited businesses concentrated in their respective industries than the Company as a whole. As a result, the Company may be more vulnerable to changing market conditions, which could have a material adverse effect on our business, financial condition and results of operations. In addition, the diversification of revenues, costs, and cash flows will diminish, such that the Company’s results of operations, cash flows, working capital, effective tax rate, and financing requirements may be subject to increased volatility and its ability to fund capital expenditures and investments, pay dividends and service debt may be diminished. The Spin-Off may cause uncertainty for or disruptions with our customers, partners, suppliers, and employees, which may negatively impact these relationships or our operations. In addition, we will incur one-time costs and ongoing costs in connection with, or as a result of, the Spin-Off, including costs of operating as independent, publicly-traded companies that the Company will no longer be able to share with Atleos. Those costs may exceed our estimates or could negate some of the benefits we expect to realize. If we do not realize the intended benefits or if our costs exceed our estimates, we could suffer a material adverse effect on the business, financial condition, results of operations, and trading price of the Company.</w:t>
      </w:r>
    </w:p>
    <w:p>
      <w:pPr>
        <w:spacing w:after="0" w:line="19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b w:val="1"/>
          <w:bCs w:val="1"/>
          <w:i w:val="1"/>
          <w:iCs w:val="1"/>
          <w:color w:val="auto"/>
        </w:rPr>
        <w:t>Data protection, cybersecurity and data privacy issues could negatively impact our business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products and services, including our cloud and hosted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solutions as well as our payments and networking solutions, facilitate financial and other transactions for the customers in the industries we serve. As a result, we collect, use, transmit and store certain of the transaction, cryptocurrency, private keys, and personal data of our customers and end-users. We also have access to transaction and personal data of our customers and their customers through or in the course of servicing our products or third-party products. Additionally, we collect, use and store personal data of our employees and the personnel of our business partners, such as resellers, suppliers and contractors, in the ordinary course of business. While we have programs and measures in place designed to protect and safeguard this data, and while we have implemented access controls designed to limit the risk of unauthorized use or disclosure by employees and contractors, the techniques used to obtain unauthorized access to this data are complex and changing, as are the underlying objectives of the attacker, like targeted business disruption, financial impact, intellectual property theft, political motives, or sophisticated nation-state sponsored and organized cyber-criminal activity, and may be difficult to detect for long periods of time. An attack, disruption, intrusion, denial of service, theft or other breach, or an inadvertent act by an employee or contractor, could result in unauthorized access to, or disclosure of, this data, resulting in claims, costs and reputational harm that could negatively affect our operating results. We may also detect, or may receive notice from third parties (including governmental agencies) regarding, potential vulnerabilities in our information technology systems, our products, or third-party products used in conjunction with our products or our business. In the course of our business activities, NCR contracts with numerous suppliers, vendors and resellers who may experience a cybersecurity, data protection or privacy issue that could negatively affect our operating results. Even if these potential vulnerabilities do not result in a data breach, their existence can adversely affect marketplace confidence and reputation. To the extent such vulnerabilities require remediation, such remedial measures could require significant resources and may not be implemented before such vulnerabilities are exploited. As the landscape evolves, we may also find it necessary to make significant further investments to protect information and infrastructure.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Like most companies, NCR is regularly the subject of attempted cyberattacks, which may involve personal data. Most attempted cyberattacks are detected and prevented by the Company’s various information technology and data protections, including but not limited to firewalls, intrusion prevention systems, denial of service detection, anomaly based detection, anti-virus/anti-malware, endpoint encryption and detection and response software, Security Information and Event Management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(“SIEM”) system, identity management technology, security analytics, multi-factor authentication and encryption. There can be no assurance that our protections will be successful.</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April 13, 2023, NCR determined that a single data center outage impacting certain of its customers in its Retail and Hospitality segments was caused by a cyber ransomware incident. Upon such determination, NCR immediately started contacting customers, enacted its cybersecurity protocol and engaged outside experts to contain the incident and begin the recovery process. NCR disclosed this incident publicly on April 17, 2023. Following an extensive investigation which included NCR experts, external forensic cybersecurity experts and federal law enforcement, among others, the Company concluded that this incident impacted operations for some customers only with respect to specific Aloha cloud-based services and Counterpoint. Functionality has been fully restored to customers and the Company built a new cloud environment to host the affected applications.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incurred certain expenses related to the cyber ransomware incident, including expenses to respond to, remediate and investigate this matter and payments made to customers in connection with the incident. See Note 1, “Basis of Presentation and Summary of Significant Accounting Policies” for additional detail. We may incur additional costs relating to this incident in the future, including payment of damages or other costs to customers or others, any of which could materially and adversely impact our business, financial condition or results of operations. We continue to assess the incident and cannot definitively determine, at this time, the full extent of the impact from such event on our business, results of operations or financial condition or whether such impact will ultimately have a material adverse effect. With regard to this incident, factors that could cause actual results to differ materially from those expressed or implied include (i) future claims from customers or other third parties, (ii) legal, reputational and financial risks resulting from the incident, (iii) the effectiveness of business continuity plans and cybersecurity risk management policies during the incident, (iv) the possibility that we will identify materially adverse findings arising from this incident that are not known to us on the date hereof.</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has established relationships with cybersecurity firms and internal cybersecurity experts, which it engages in connection with certain suspected incidents. The costs arising from those engagements, which depending on the incident may include both investigatory and remedial efforts, have not to date been material to the Company. The Company also regularly undergoes evaluation of its protections against incidents, including both self-assessments and expert third-party assessments, and it regularly enhances those protections, both in response to specific threats and as part of the Company’s efforts to stay current with advances in cybersecurity defense. When the Company experiences a confirmed cybersecurity incident, it generally performs root cause analyses and in appropriate instances will implement additional controls based on those analyses. In 2022, Company spending on cybersecurity efforts represented approximately 10% of its overall IT spend. There can be no assurance that the Company or its cybersecurity consultants will be able to prevent or remediate all future incidents or that the cost associated with responding to any such incident will not be significant.</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personal information and other data that we process and store also are subject to data security and data privacy obligations and laws of many jurisdictions, which are growing in complexity and sophistication as data becomes more enriched and technology and the global data protection landscape evolves. These laws may provide a private right of action for individuals alleging a breach of privacy rights, including for example the Illinois Biometric Information Privacy Act (“BIPA”). These laws may also conflict with one another, and many of them are subject to frequent modification and differing interpretations. The laws impose a significant compliance burden and include, for example, the European Union’s (“EU”) General Data Protection Regulation (“GDPR”), the California Consumer Privacy Act and the Brazilian General Data Protection Law. Complying with these evolving and varying standards could require significant expense and effort, and could require us to change our business practices or the functionality of our products and services in a manner adverse to our customers and our business. In addition, violations of these laws can result in significant fines, penalties, claims by regulators or other third-party lawsuits alleging significant damages, and damage to our brand and business. The GDPR, for example, includes fines of up to €20 million or up to 4% of the annual global revenues of the infringer for failure to comply, and grants corrective powers to supervisory authorities including the ability to impose a limit on processing of personal data. The laws also cover the transfer of personal, financial and business information, including transfers of employee information between us and our subsidiaries, across international borders. As another example, the Illinois BIPA provides aggrieved plaintiffs the ability to recover $1,000 for each unauthorized scan of biometric data, and $5,000 for each scan found to be in willful disregard of the statute.</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Disruptions in our data center hosting and public cloud facilities could adversely affect our business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software products are increasingly being offered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on a cloud or other hosted basis through data centers operated by the Company or third parties in the United States and other countries. In addition, certain applications and data that we use in our services offerings and our operations may be hosted or stored at such facilities. These facilities may be vulnerable to natural disasters, including those exacerbated by the effects of climate change, telecommunications failures and similar events, or to intentional acts of misconduct, such as security incidents (including the ransomware incident announced April 17, 2023) or interference (including by disgruntled employees, former employees or contractors). The occurrence of these events or acts, or any other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unanticipated problems, at these facilities could result in damage to or the unavailability of these cloud hosting facilities. Such damage or unavailability could, despite existing disaster recovery and business continuity arrangements, interrupt the availability of our cloud offerings for our customers. We have experienced such interruptions and damage or unavailability which interrupt the availability of applications or data necessary to provide services or conduct critical operations. Interruptions in the availability of our data center or cloud offerings or our ability to service our customers could result in the failure to meet contracted up-time or service levels, which could cause us to issue credits or pay damages or penalties or cause customers to terminate or not renew subscriptions. Interruptions could also expose us to liability claims from customers and others, payment of damages or other amounts, negative publicity and the need to engage in costly remediation efforts, any of which could have a material adverse effect on our business, financial condition or results of operations.</w:t>
      </w:r>
    </w:p>
    <w:p>
      <w:pPr>
        <w:spacing w:after="0" w:line="200" w:lineRule="exact"/>
        <w:rPr>
          <w:sz w:val="20"/>
          <w:szCs w:val="20"/>
          <w:color w:val="auto"/>
        </w:rPr>
      </w:pP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251"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On October 19, 2016, the Board approved a share repurchase program, with no expiration from the date of authorization, for the systematic repurchase of the Company’s common stock to offset the dilutive effects of the Company’s employee stock purchase plan, equity awards and in-kind dividends on the Company’s Series A Convertible Preferred Stock. Availability under this program accrues quarterly based on the average value of dilutive issuances during the quarter.</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12, 2017, the Board approved a second share repurchase program, with no expiration from the date of authorization, that provides for the repurchase of up to $300 million of the Company’s common stock. On July 25, 2018, the Board authorized an incremental $200 million of share repurchases under this program.</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September 30, 2023, $153 million was available for repurchases under the March 2017 program, and approximately $882 million was available for repurchases under the October 2016 dilution offset program. The timing and amount of repurchases under these programs depend upon market conditions and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spacing w:after="0" w:line="18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occasionally purchases vested restricted stock or exercised stock options at the current market price to cover withholding taxes. For the three months ended September 30, 2023, approximately 41,000 shares were purchased at an average price of $27.21 per share.</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Company’s ability to repurchase its common stock is restricted under the Company’s New Credit Facilities and terms of the indentures for the Company’s senior unsecured notes, which prohibit certain share repurchases, including during the occurrence of an event of default, and establish limits on the amount that the Company is permitted to allocate to share repurchases and other restricted payments. The limitations are calculated using formulas based generally on 50% of the Company’s consolidated net income for the period beginning in the third quarter of 2012 through the end of the most recently ended fiscal quarter, subject to certain other adjustments and deductions, with certain prescribed minimums. These formulas are described in greater detail in the Company’s New Credit Facilities and the indentures for the Company’s senior unsecured notes, each of which is filed with the SEC.</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5.</w:t>
        <w:tab/>
        <w:t>OTHER INFORMATION</w:t>
      </w: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During the fiscal quarter ended September 30, 2023, no director or officer of the Company adopted or terminated a “Rule 10b5-1 trading arrangement” or “non-Rule 10b5-1 trading arrangement,” as each term is defined in Item 408(a) of the SEC’s Regulation S-K.</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80" w:type="dxa"/>
            <w:vAlign w:val="bottom"/>
            <w:gridSpan w:val="4"/>
          </w:tcPr>
          <w:p>
            <w:pPr>
              <w:ind w:left="160"/>
              <w:spacing w:after="0"/>
              <w:rPr>
                <w:sz w:val="20"/>
                <w:szCs w:val="20"/>
                <w:color w:val="auto"/>
              </w:rPr>
            </w:pPr>
            <w:r>
              <w:rPr>
                <w:rFonts w:ascii="Arial" w:cs="Arial" w:eastAsia="Arial" w:hAnsi="Arial"/>
                <w:sz w:val="17"/>
                <w:szCs w:val="17"/>
                <w:b w:val="1"/>
                <w:bCs w:val="1"/>
                <w:color w:val="auto"/>
              </w:rPr>
              <w:t>Item 6.</w:t>
            </w:r>
          </w:p>
        </w:tc>
        <w:tc>
          <w:tcPr>
            <w:tcW w:w="10440" w:type="dxa"/>
            <w:vAlign w:val="bottom"/>
          </w:tcPr>
          <w:p>
            <w:pPr>
              <w:ind w:left="120"/>
              <w:spacing w:after="0"/>
              <w:rPr>
                <w:sz w:val="20"/>
                <w:szCs w:val="20"/>
                <w:color w:val="auto"/>
              </w:rPr>
            </w:pPr>
            <w:r>
              <w:rPr>
                <w:rFonts w:ascii="Arial" w:cs="Arial" w:eastAsia="Arial" w:hAnsi="Arial"/>
                <w:sz w:val="17"/>
                <w:szCs w:val="17"/>
                <w:b w:val="1"/>
                <w:bCs w:val="1"/>
                <w:color w:val="auto"/>
              </w:rPr>
              <w:t>EXHIBITS</w:t>
            </w:r>
          </w:p>
        </w:tc>
      </w:tr>
      <w:tr>
        <w:trPr>
          <w:trHeight w:val="298"/>
        </w:trPr>
        <w:tc>
          <w:tcPr>
            <w:tcW w:w="400" w:type="dxa"/>
            <w:vAlign w:val="bottom"/>
            <w:gridSpan w:val="4"/>
          </w:tcPr>
          <w:p>
            <w:pPr>
              <w:ind w:left="20"/>
              <w:spacing w:after="0"/>
              <w:rPr>
                <w:rFonts w:ascii="Arial" w:cs="Arial" w:eastAsia="Arial" w:hAnsi="Arial"/>
                <w:sz w:val="17"/>
                <w:szCs w:val="17"/>
                <w:color w:val="0000FF"/>
              </w:rPr>
            </w:pPr>
            <w:hyperlink r:id="rId86">
              <w:r>
                <w:rPr>
                  <w:rFonts w:ascii="Arial" w:cs="Arial" w:eastAsia="Arial" w:hAnsi="Arial"/>
                  <w:sz w:val="17"/>
                  <w:szCs w:val="17"/>
                  <w:color w:val="0000FF"/>
                </w:rPr>
                <w:t>2.</w:t>
              </w:r>
              <w:r>
                <w:rPr>
                  <w:rFonts w:ascii="Arial" w:cs="Arial" w:eastAsia="Arial" w:hAnsi="Arial"/>
                  <w:sz w:val="17"/>
                  <w:szCs w:val="17"/>
                  <w:u w:val="single" w:color="auto"/>
                  <w:color w:val="0000FF"/>
                </w:rPr>
                <w:t>1#</w:t>
              </w:r>
            </w:hyperlink>
          </w:p>
        </w:tc>
        <w:tc>
          <w:tcPr>
            <w:tcW w:w="400" w:type="dxa"/>
            <w:vAlign w:val="bottom"/>
          </w:tcPr>
          <w:p>
            <w:pPr>
              <w:spacing w:after="0"/>
              <w:rPr>
                <w:sz w:val="24"/>
                <w:szCs w:val="24"/>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Separation and Distribution Agreement, dated as of October 16, 2023, by and between NCR Voyix Corporation and NCR Atleos</w:t>
            </w:r>
          </w:p>
        </w:tc>
      </w:tr>
      <w:tr>
        <w:trPr>
          <w:trHeight w:val="214"/>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Corporation (Exhibit 2.1 to the Company’s Current Report on Form 8-K filed on October 17, 2023 (the “October 17, 2023 8-K”))</w:t>
            </w:r>
          </w:p>
        </w:tc>
      </w:tr>
      <w:tr>
        <w:trPr>
          <w:trHeight w:val="259"/>
        </w:trPr>
        <w:tc>
          <w:tcPr>
            <w:tcW w:w="240" w:type="dxa"/>
            <w:vAlign w:val="bottom"/>
            <w:gridSpan w:val="2"/>
          </w:tcPr>
          <w:p>
            <w:pPr>
              <w:ind w:left="20"/>
              <w:spacing w:after="0"/>
              <w:rPr>
                <w:rFonts w:ascii="Arial" w:cs="Arial" w:eastAsia="Arial" w:hAnsi="Arial"/>
                <w:sz w:val="17"/>
                <w:szCs w:val="17"/>
                <w:color w:val="0000FF"/>
                <w:w w:val="84"/>
              </w:rPr>
            </w:pPr>
            <w:hyperlink r:id="rId87">
              <w:r>
                <w:rPr>
                  <w:rFonts w:ascii="Arial" w:cs="Arial" w:eastAsia="Arial" w:hAnsi="Arial"/>
                  <w:sz w:val="17"/>
                  <w:szCs w:val="17"/>
                  <w:color w:val="0000FF"/>
                  <w:w w:val="84"/>
                </w:rPr>
                <w:t>3.</w:t>
              </w:r>
              <w:r>
                <w:rPr>
                  <w:rFonts w:ascii="Arial" w:cs="Arial" w:eastAsia="Arial" w:hAnsi="Arial"/>
                  <w:sz w:val="17"/>
                  <w:szCs w:val="17"/>
                  <w:u w:val="single" w:color="auto"/>
                  <w:color w:val="0000FF"/>
                  <w:w w:val="84"/>
                </w:rPr>
                <w:t>1</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Articles of Amendment to the Articles of Incorporation of NCR Voyix Corporation, dated as of October 16, 2023 (Exhibit 3.1 to the</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October 17, 2023 8-K)</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0000FF"/>
            </w:tcBorders>
          </w:tcPr>
          <w:p>
            <w:pPr>
              <w:spacing w:after="0"/>
              <w:rPr>
                <w:rFonts w:ascii="Arial" w:cs="Arial" w:eastAsia="Arial" w:hAnsi="Arial"/>
                <w:sz w:val="17"/>
                <w:szCs w:val="17"/>
                <w:color w:val="0000FF"/>
                <w:w w:val="84"/>
              </w:rPr>
            </w:pPr>
            <w:hyperlink r:id="rId88">
              <w:r>
                <w:rPr>
                  <w:rFonts w:ascii="Arial" w:cs="Arial" w:eastAsia="Arial" w:hAnsi="Arial"/>
                  <w:sz w:val="17"/>
                  <w:szCs w:val="17"/>
                  <w:color w:val="0000FF"/>
                  <w:w w:val="84"/>
                </w:rPr>
                <w:t>3.</w:t>
              </w:r>
              <w:r>
                <w:rPr>
                  <w:rFonts w:ascii="Arial" w:cs="Arial" w:eastAsia="Arial" w:hAnsi="Arial"/>
                  <w:sz w:val="17"/>
                  <w:szCs w:val="17"/>
                  <w:u w:val="single" w:color="auto"/>
                  <w:color w:val="0000FF"/>
                  <w:w w:val="84"/>
                </w:rPr>
                <w:t>2</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Amended and Restated By-laws of NCR Voyix Corporation, dated as of October 16, 2023 (Exhibit 3.3 to the October 17, 2023 8-K)</w:t>
            </w:r>
          </w:p>
        </w:tc>
      </w:tr>
      <w:tr>
        <w:trPr>
          <w:trHeight w:val="252"/>
        </w:trPr>
        <w:tc>
          <w:tcPr>
            <w:tcW w:w="240" w:type="dxa"/>
            <w:vAlign w:val="bottom"/>
            <w:gridSpan w:val="2"/>
          </w:tcPr>
          <w:p>
            <w:pPr>
              <w:ind w:left="20"/>
              <w:spacing w:after="0"/>
              <w:rPr>
                <w:rFonts w:ascii="Arial" w:cs="Arial" w:eastAsia="Arial" w:hAnsi="Arial"/>
                <w:sz w:val="17"/>
                <w:szCs w:val="17"/>
                <w:color w:val="0000FF"/>
                <w:w w:val="84"/>
              </w:rPr>
            </w:pPr>
            <w:hyperlink r:id="rId89">
              <w:r>
                <w:rPr>
                  <w:rFonts w:ascii="Arial" w:cs="Arial" w:eastAsia="Arial" w:hAnsi="Arial"/>
                  <w:sz w:val="17"/>
                  <w:szCs w:val="17"/>
                  <w:color w:val="0000FF"/>
                  <w:w w:val="84"/>
                </w:rPr>
                <w:t>3.</w:t>
              </w:r>
              <w:r>
                <w:rPr>
                  <w:rFonts w:ascii="Arial" w:cs="Arial" w:eastAsia="Arial" w:hAnsi="Arial"/>
                  <w:sz w:val="17"/>
                  <w:szCs w:val="17"/>
                  <w:u w:val="single" w:color="auto"/>
                  <w:color w:val="0000FF"/>
                  <w:w w:val="84"/>
                </w:rPr>
                <w:t>3</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Redline of Amended and Restated By-laws of NCR Voyix Corporation, dated as of October 16, 2023 (Exhibit 3.4 to the October 17,</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2023 8-K)</w:t>
            </w:r>
          </w:p>
        </w:tc>
      </w:tr>
      <w:tr>
        <w:trPr>
          <w:trHeight w:val="234"/>
        </w:trPr>
        <w:tc>
          <w:tcPr>
            <w:tcW w:w="240" w:type="dxa"/>
            <w:vAlign w:val="bottom"/>
            <w:gridSpan w:val="2"/>
          </w:tcPr>
          <w:p>
            <w:pPr>
              <w:ind w:left="20"/>
              <w:spacing w:after="0"/>
              <w:rPr>
                <w:rFonts w:ascii="Arial" w:cs="Arial" w:eastAsia="Arial" w:hAnsi="Arial"/>
                <w:sz w:val="17"/>
                <w:szCs w:val="17"/>
                <w:color w:val="0000FF"/>
                <w:w w:val="84"/>
              </w:rPr>
            </w:pPr>
            <w:hyperlink r:id="rId90">
              <w:r>
                <w:rPr>
                  <w:rFonts w:ascii="Arial" w:cs="Arial" w:eastAsia="Arial" w:hAnsi="Arial"/>
                  <w:sz w:val="17"/>
                  <w:szCs w:val="17"/>
                  <w:color w:val="0000FF"/>
                  <w:w w:val="84"/>
                </w:rPr>
                <w:t>4.</w:t>
              </w:r>
              <w:r>
                <w:rPr>
                  <w:rFonts w:ascii="Arial" w:cs="Arial" w:eastAsia="Arial" w:hAnsi="Arial"/>
                  <w:sz w:val="17"/>
                  <w:szCs w:val="17"/>
                  <w:u w:val="single" w:color="auto"/>
                  <w:color w:val="0000FF"/>
                  <w:w w:val="84"/>
                </w:rPr>
                <w:t>1</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w w:val="99"/>
              </w:rPr>
              <w:t>Indenture relating to the Notes, dated September 27, 2023, between NCR Atleos Escrow Corporation and Citibank, N.A. (Exhibit 4.1 to</w:t>
            </w:r>
          </w:p>
        </w:tc>
      </w:tr>
      <w:tr>
        <w:trPr>
          <w:trHeight w:val="214"/>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the Company’s Current Report on 8-K filed on September 28, 2023 (the “September 28, 2023 8-K”))</w:t>
            </w:r>
          </w:p>
        </w:tc>
      </w:tr>
      <w:tr>
        <w:trPr>
          <w:trHeight w:val="259"/>
        </w:trPr>
        <w:tc>
          <w:tcPr>
            <w:tcW w:w="20" w:type="dxa"/>
            <w:vAlign w:val="bottom"/>
          </w:tcPr>
          <w:p>
            <w:pPr>
              <w:spacing w:after="0"/>
              <w:rPr>
                <w:sz w:val="22"/>
                <w:szCs w:val="22"/>
                <w:color w:val="auto"/>
              </w:rPr>
            </w:pPr>
          </w:p>
        </w:tc>
        <w:tc>
          <w:tcPr>
            <w:tcW w:w="220" w:type="dxa"/>
            <w:vAlign w:val="bottom"/>
            <w:tcBorders>
              <w:bottom w:val="single" w:sz="8" w:color="0000FF"/>
            </w:tcBorders>
          </w:tcPr>
          <w:p>
            <w:pPr>
              <w:spacing w:after="0"/>
              <w:rPr>
                <w:rFonts w:ascii="Arial" w:cs="Arial" w:eastAsia="Arial" w:hAnsi="Arial"/>
                <w:sz w:val="17"/>
                <w:szCs w:val="17"/>
                <w:color w:val="0000FF"/>
                <w:w w:val="84"/>
              </w:rPr>
            </w:pPr>
            <w:hyperlink r:id="rId90">
              <w:r>
                <w:rPr>
                  <w:rFonts w:ascii="Arial" w:cs="Arial" w:eastAsia="Arial" w:hAnsi="Arial"/>
                  <w:sz w:val="17"/>
                  <w:szCs w:val="17"/>
                  <w:color w:val="0000FF"/>
                  <w:w w:val="84"/>
                </w:rPr>
                <w:t>4.</w:t>
              </w:r>
              <w:r>
                <w:rPr>
                  <w:rFonts w:ascii="Arial" w:cs="Arial" w:eastAsia="Arial" w:hAnsi="Arial"/>
                  <w:sz w:val="17"/>
                  <w:szCs w:val="17"/>
                  <w:u w:val="single" w:color="auto"/>
                  <w:color w:val="0000FF"/>
                  <w:w w:val="84"/>
                </w:rPr>
                <w:t>2</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Form of 9.500% Senior Secured Notes due 2029 (included in Exhibit 4.1) (Exhibit 4.2 to the September 28, 2023 8-K)</w:t>
            </w:r>
          </w:p>
        </w:tc>
      </w:tr>
      <w:tr>
        <w:trPr>
          <w:trHeight w:val="278"/>
        </w:trPr>
        <w:tc>
          <w:tcPr>
            <w:tcW w:w="240" w:type="dxa"/>
            <w:vAlign w:val="bottom"/>
            <w:gridSpan w:val="2"/>
          </w:tcPr>
          <w:p>
            <w:pPr>
              <w:ind w:left="20"/>
              <w:spacing w:after="0"/>
              <w:rPr>
                <w:sz w:val="20"/>
                <w:szCs w:val="20"/>
                <w:color w:val="auto"/>
              </w:rPr>
            </w:pPr>
            <w:r>
              <w:rPr>
                <w:rFonts w:ascii="Arial" w:cs="Arial" w:eastAsia="Arial" w:hAnsi="Arial"/>
                <w:sz w:val="17"/>
                <w:szCs w:val="17"/>
                <w:color w:val="0000FF"/>
                <w:w w:val="84"/>
              </w:rPr>
              <w:t>4.</w:t>
            </w:r>
            <w:r>
              <w:rPr>
                <w:rFonts w:ascii="Arial" w:cs="Arial" w:eastAsia="Arial" w:hAnsi="Arial"/>
                <w:sz w:val="17"/>
                <w:szCs w:val="17"/>
                <w:u w:val="single" w:color="auto"/>
                <w:color w:val="0000FF"/>
                <w:w w:val="84"/>
              </w:rPr>
              <w:t>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Second Supplemental Indenture, dated as of September 14, 2023, among NCR Corporation, NCR Atleos, LLC, ATM National, LLC,</w:t>
            </w:r>
          </w:p>
        </w:tc>
      </w:tr>
      <w:tr>
        <w:trPr>
          <w:trHeight w:val="188"/>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40" w:type="dxa"/>
            <w:vAlign w:val="bottom"/>
          </w:tcPr>
          <w:p>
            <w:pPr>
              <w:ind w:left="360"/>
              <w:spacing w:after="0" w:line="188" w:lineRule="exact"/>
              <w:rPr>
                <w:sz w:val="20"/>
                <w:szCs w:val="20"/>
                <w:color w:val="auto"/>
              </w:rPr>
            </w:pPr>
            <w:r>
              <w:rPr>
                <w:rFonts w:ascii="Arial" w:cs="Arial" w:eastAsia="Arial" w:hAnsi="Arial"/>
                <w:sz w:val="17"/>
                <w:szCs w:val="17"/>
                <w:color w:val="auto"/>
              </w:rPr>
              <w:t>Cardtronics Holdings, LLC, Cardtronics, Inc., Cardtronics USA, Inc., CATM Holdings LLC, NCR International, Inc., and</w:t>
            </w: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40" w:type="dxa"/>
            <w:vAlign w:val="bottom"/>
          </w:tcPr>
          <w:p>
            <w:pPr>
              <w:ind w:left="360"/>
              <w:spacing w:after="0" w:line="181" w:lineRule="exact"/>
              <w:rPr>
                <w:sz w:val="20"/>
                <w:szCs w:val="20"/>
                <w:color w:val="auto"/>
              </w:rPr>
            </w:pPr>
            <w:r>
              <w:rPr>
                <w:rFonts w:ascii="Arial" w:cs="Arial" w:eastAsia="Arial" w:hAnsi="Arial"/>
                <w:sz w:val="17"/>
                <w:szCs w:val="17"/>
                <w:color w:val="auto"/>
              </w:rPr>
              <w:t>Computershare Trust Company, N.A. (as successor to Wells Fargo Bank, National Association), as trustee, relating to Registrant’s</w:t>
            </w: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5.000% Notes due 2028.</w:t>
            </w:r>
          </w:p>
        </w:tc>
      </w:tr>
      <w:tr>
        <w:trPr>
          <w:trHeight w:val="272"/>
        </w:trPr>
        <w:tc>
          <w:tcPr>
            <w:tcW w:w="240" w:type="dxa"/>
            <w:vAlign w:val="bottom"/>
            <w:gridSpan w:val="2"/>
          </w:tcPr>
          <w:p>
            <w:pPr>
              <w:ind w:left="20"/>
              <w:spacing w:after="0"/>
              <w:rPr>
                <w:sz w:val="20"/>
                <w:szCs w:val="20"/>
                <w:color w:val="auto"/>
              </w:rPr>
            </w:pPr>
            <w:r>
              <w:rPr>
                <w:rFonts w:ascii="Arial" w:cs="Arial" w:eastAsia="Arial" w:hAnsi="Arial"/>
                <w:sz w:val="17"/>
                <w:szCs w:val="17"/>
                <w:color w:val="0000FF"/>
                <w:w w:val="84"/>
              </w:rPr>
              <w:t>4.</w:t>
            </w:r>
            <w:r>
              <w:rPr>
                <w:rFonts w:ascii="Arial" w:cs="Arial" w:eastAsia="Arial" w:hAnsi="Arial"/>
                <w:sz w:val="17"/>
                <w:szCs w:val="17"/>
                <w:u w:val="single" w:color="auto"/>
                <w:color w:val="0000FF"/>
                <w:w w:val="84"/>
              </w:rPr>
              <w:t>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Second Supplemental Indenture, dated as of September 14, 2023, among NCR Corporation, NCR Atleos, LLC, ATM National, LLC,</w:t>
            </w:r>
          </w:p>
        </w:tc>
      </w:tr>
      <w:tr>
        <w:trPr>
          <w:trHeight w:val="188"/>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40" w:type="dxa"/>
            <w:vAlign w:val="bottom"/>
          </w:tcPr>
          <w:p>
            <w:pPr>
              <w:ind w:left="360"/>
              <w:spacing w:after="0" w:line="188" w:lineRule="exact"/>
              <w:rPr>
                <w:sz w:val="20"/>
                <w:szCs w:val="20"/>
                <w:color w:val="auto"/>
              </w:rPr>
            </w:pPr>
            <w:r>
              <w:rPr>
                <w:rFonts w:ascii="Arial" w:cs="Arial" w:eastAsia="Arial" w:hAnsi="Arial"/>
                <w:sz w:val="17"/>
                <w:szCs w:val="17"/>
                <w:color w:val="auto"/>
              </w:rPr>
              <w:t>Cardtronics Holdings, LLC, Cardtronics, Inc., Cardtronics USA, Inc., CATM Holdings LLC, NCR International, Inc., and</w:t>
            </w: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40" w:type="dxa"/>
            <w:vAlign w:val="bottom"/>
          </w:tcPr>
          <w:p>
            <w:pPr>
              <w:ind w:left="360"/>
              <w:spacing w:after="0" w:line="181" w:lineRule="exact"/>
              <w:rPr>
                <w:sz w:val="20"/>
                <w:szCs w:val="20"/>
                <w:color w:val="auto"/>
              </w:rPr>
            </w:pPr>
            <w:r>
              <w:rPr>
                <w:rFonts w:ascii="Arial" w:cs="Arial" w:eastAsia="Arial" w:hAnsi="Arial"/>
                <w:sz w:val="17"/>
                <w:szCs w:val="17"/>
                <w:color w:val="auto"/>
              </w:rPr>
              <w:t>Computershare Trust Company, N.A. (as successor to Wells Fargo Bank, National Association), as trustee, relating to Registrant’s</w:t>
            </w: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5.125% Notes due 2029.</w:t>
            </w:r>
          </w:p>
        </w:tc>
      </w:tr>
      <w:tr>
        <w:trPr>
          <w:trHeight w:val="272"/>
        </w:trPr>
        <w:tc>
          <w:tcPr>
            <w:tcW w:w="240" w:type="dxa"/>
            <w:vAlign w:val="bottom"/>
            <w:gridSpan w:val="2"/>
          </w:tcPr>
          <w:p>
            <w:pPr>
              <w:ind w:left="20"/>
              <w:spacing w:after="0"/>
              <w:rPr>
                <w:sz w:val="20"/>
                <w:szCs w:val="20"/>
                <w:color w:val="auto"/>
              </w:rPr>
            </w:pPr>
            <w:r>
              <w:rPr>
                <w:rFonts w:ascii="Arial" w:cs="Arial" w:eastAsia="Arial" w:hAnsi="Arial"/>
                <w:sz w:val="17"/>
                <w:szCs w:val="17"/>
                <w:color w:val="0000FF"/>
                <w:w w:val="84"/>
              </w:rPr>
              <w:t>4.</w:t>
            </w:r>
            <w:r>
              <w:rPr>
                <w:rFonts w:ascii="Arial" w:cs="Arial" w:eastAsia="Arial" w:hAnsi="Arial"/>
                <w:sz w:val="17"/>
                <w:szCs w:val="17"/>
                <w:u w:val="single" w:color="auto"/>
                <w:color w:val="0000FF"/>
                <w:w w:val="84"/>
              </w:rPr>
              <w:t>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Second Supplemental Indenture, dated as of September 14, 2023, among NCR Corporation, NCR Atleos, LLC, ATM National, LLC,</w:t>
            </w:r>
          </w:p>
        </w:tc>
      </w:tr>
      <w:tr>
        <w:trPr>
          <w:trHeight w:val="188"/>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40" w:type="dxa"/>
            <w:vAlign w:val="bottom"/>
          </w:tcPr>
          <w:p>
            <w:pPr>
              <w:ind w:left="360"/>
              <w:spacing w:after="0" w:line="188" w:lineRule="exact"/>
              <w:rPr>
                <w:sz w:val="20"/>
                <w:szCs w:val="20"/>
                <w:color w:val="auto"/>
              </w:rPr>
            </w:pPr>
            <w:r>
              <w:rPr>
                <w:rFonts w:ascii="Arial" w:cs="Arial" w:eastAsia="Arial" w:hAnsi="Arial"/>
                <w:sz w:val="17"/>
                <w:szCs w:val="17"/>
                <w:color w:val="auto"/>
              </w:rPr>
              <w:t>Cardtronics Holdings, LLC, Cardtronics, Inc., Cardtronics USA, Inc., CATM Holdings LLC, NCR International, Inc., and</w:t>
            </w: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40" w:type="dxa"/>
            <w:vAlign w:val="bottom"/>
          </w:tcPr>
          <w:p>
            <w:pPr>
              <w:ind w:left="360"/>
              <w:spacing w:after="0" w:line="181" w:lineRule="exact"/>
              <w:rPr>
                <w:sz w:val="20"/>
                <w:szCs w:val="20"/>
                <w:color w:val="auto"/>
              </w:rPr>
            </w:pPr>
            <w:r>
              <w:rPr>
                <w:rFonts w:ascii="Arial" w:cs="Arial" w:eastAsia="Arial" w:hAnsi="Arial"/>
                <w:sz w:val="17"/>
                <w:szCs w:val="17"/>
                <w:color w:val="auto"/>
              </w:rPr>
              <w:t>Computershare Trust Company, N.A. (as successor to Wells Fargo Bank, National Association), as trustee, relating to Registrant’s</w:t>
            </w: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5.250% Notes due 2030.</w:t>
            </w:r>
          </w:p>
        </w:tc>
      </w:tr>
      <w:tr>
        <w:trPr>
          <w:trHeight w:val="272"/>
        </w:trPr>
        <w:tc>
          <w:tcPr>
            <w:tcW w:w="240" w:type="dxa"/>
            <w:vAlign w:val="bottom"/>
            <w:gridSpan w:val="2"/>
          </w:tcPr>
          <w:p>
            <w:pPr>
              <w:ind w:left="20"/>
              <w:spacing w:after="0"/>
              <w:rPr>
                <w:sz w:val="20"/>
                <w:szCs w:val="20"/>
                <w:color w:val="auto"/>
              </w:rPr>
            </w:pPr>
            <w:r>
              <w:rPr>
                <w:rFonts w:ascii="Arial" w:cs="Arial" w:eastAsia="Arial" w:hAnsi="Arial"/>
                <w:sz w:val="17"/>
                <w:szCs w:val="17"/>
                <w:color w:val="0000FF"/>
                <w:w w:val="84"/>
              </w:rPr>
              <w:t>4.</w:t>
            </w:r>
            <w:r>
              <w:rPr>
                <w:rFonts w:ascii="Arial" w:cs="Arial" w:eastAsia="Arial" w:hAnsi="Arial"/>
                <w:sz w:val="17"/>
                <w:szCs w:val="17"/>
                <w:u w:val="single" w:color="auto"/>
                <w:color w:val="0000FF"/>
                <w:w w:val="84"/>
              </w:rPr>
              <w:t>6</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Second Supplemental Indenture, dated as of September 14, 2023, among NCR Corporation, NCR Atleos, LLC, ATM National, LLC,</w:t>
            </w:r>
          </w:p>
        </w:tc>
      </w:tr>
      <w:tr>
        <w:trPr>
          <w:trHeight w:val="188"/>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40" w:type="dxa"/>
            <w:vAlign w:val="bottom"/>
          </w:tcPr>
          <w:p>
            <w:pPr>
              <w:ind w:left="360"/>
              <w:spacing w:after="0" w:line="188" w:lineRule="exact"/>
              <w:rPr>
                <w:sz w:val="20"/>
                <w:szCs w:val="20"/>
                <w:color w:val="auto"/>
              </w:rPr>
            </w:pPr>
            <w:r>
              <w:rPr>
                <w:rFonts w:ascii="Arial" w:cs="Arial" w:eastAsia="Arial" w:hAnsi="Arial"/>
                <w:sz w:val="17"/>
                <w:szCs w:val="17"/>
                <w:color w:val="auto"/>
              </w:rPr>
              <w:t>Cardtronics Holdings, LLC, Cardtronics, Inc., Cardtronics USA, Inc., CATM Holdings LLC, NCR International, Inc., and</w:t>
            </w: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40" w:type="dxa"/>
            <w:vAlign w:val="bottom"/>
          </w:tcPr>
          <w:p>
            <w:pPr>
              <w:ind w:left="360"/>
              <w:spacing w:after="0" w:line="181" w:lineRule="exact"/>
              <w:rPr>
                <w:sz w:val="20"/>
                <w:szCs w:val="20"/>
                <w:color w:val="auto"/>
              </w:rPr>
            </w:pPr>
            <w:r>
              <w:rPr>
                <w:rFonts w:ascii="Arial" w:cs="Arial" w:eastAsia="Arial" w:hAnsi="Arial"/>
                <w:sz w:val="17"/>
                <w:szCs w:val="17"/>
                <w:color w:val="auto"/>
              </w:rPr>
              <w:t>Computershare Trust Company, N.A. (as successor to Wells Fargo Bank, National Association), as trustee, relating to Registrant’s</w:t>
            </w: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5.750% Notes due 2027.</w:t>
            </w:r>
          </w:p>
        </w:tc>
      </w:tr>
      <w:tr>
        <w:trPr>
          <w:trHeight w:val="272"/>
        </w:trPr>
        <w:tc>
          <w:tcPr>
            <w:tcW w:w="240" w:type="dxa"/>
            <w:vAlign w:val="bottom"/>
            <w:gridSpan w:val="2"/>
          </w:tcPr>
          <w:p>
            <w:pPr>
              <w:ind w:left="20"/>
              <w:spacing w:after="0"/>
              <w:rPr>
                <w:sz w:val="20"/>
                <w:szCs w:val="20"/>
                <w:color w:val="auto"/>
              </w:rPr>
            </w:pPr>
            <w:r>
              <w:rPr>
                <w:rFonts w:ascii="Arial" w:cs="Arial" w:eastAsia="Arial" w:hAnsi="Arial"/>
                <w:sz w:val="17"/>
                <w:szCs w:val="17"/>
                <w:color w:val="0000FF"/>
                <w:w w:val="84"/>
              </w:rPr>
              <w:t>4.</w:t>
            </w:r>
            <w:r>
              <w:rPr>
                <w:rFonts w:ascii="Arial" w:cs="Arial" w:eastAsia="Arial" w:hAnsi="Arial"/>
                <w:sz w:val="17"/>
                <w:szCs w:val="17"/>
                <w:u w:val="single" w:color="auto"/>
                <w:color w:val="0000FF"/>
                <w:w w:val="84"/>
              </w:rPr>
              <w:t>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Second Supplemental Indenture, dated as of September 14, 2023, among NCR Corporation, NCR Atleos, LLC, ATM National, LLC,</w:t>
            </w:r>
          </w:p>
        </w:tc>
      </w:tr>
      <w:tr>
        <w:trPr>
          <w:trHeight w:val="188"/>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40" w:type="dxa"/>
            <w:vAlign w:val="bottom"/>
          </w:tcPr>
          <w:p>
            <w:pPr>
              <w:ind w:left="360"/>
              <w:spacing w:after="0" w:line="188" w:lineRule="exact"/>
              <w:rPr>
                <w:sz w:val="20"/>
                <w:szCs w:val="20"/>
                <w:color w:val="auto"/>
              </w:rPr>
            </w:pPr>
            <w:r>
              <w:rPr>
                <w:rFonts w:ascii="Arial" w:cs="Arial" w:eastAsia="Arial" w:hAnsi="Arial"/>
                <w:sz w:val="17"/>
                <w:szCs w:val="17"/>
                <w:color w:val="auto"/>
              </w:rPr>
              <w:t>Cardtronics Holdings, LLC, Cardtronics, Inc., Cardtronics USA, Inc., CATM Holdings LLC, NCR International, Inc., and</w:t>
            </w: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40" w:type="dxa"/>
            <w:vAlign w:val="bottom"/>
          </w:tcPr>
          <w:p>
            <w:pPr>
              <w:ind w:left="360"/>
              <w:spacing w:after="0" w:line="181" w:lineRule="exact"/>
              <w:rPr>
                <w:sz w:val="20"/>
                <w:szCs w:val="20"/>
                <w:color w:val="auto"/>
              </w:rPr>
            </w:pPr>
            <w:r>
              <w:rPr>
                <w:rFonts w:ascii="Arial" w:cs="Arial" w:eastAsia="Arial" w:hAnsi="Arial"/>
                <w:sz w:val="17"/>
                <w:szCs w:val="17"/>
                <w:color w:val="auto"/>
              </w:rPr>
              <w:t>Computershare Trust Company, N.A. (as successor to Wells Fargo Bank, National Association), as trustee, relating to Registrant’s</w:t>
            </w: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6.125% Notes due 2029.</w:t>
            </w:r>
          </w:p>
        </w:tc>
      </w:tr>
      <w:tr>
        <w:trPr>
          <w:trHeight w:val="272"/>
        </w:trPr>
        <w:tc>
          <w:tcPr>
            <w:tcW w:w="800" w:type="dxa"/>
            <w:vAlign w:val="bottom"/>
            <w:gridSpan w:val="5"/>
          </w:tcPr>
          <w:p>
            <w:pPr>
              <w:ind w:left="20"/>
              <w:spacing w:after="0"/>
              <w:rPr>
                <w:rFonts w:ascii="Arial" w:cs="Arial" w:eastAsia="Arial" w:hAnsi="Arial"/>
                <w:sz w:val="17"/>
                <w:szCs w:val="17"/>
                <w:color w:val="0000FF"/>
              </w:rPr>
            </w:pPr>
            <w:hyperlink r:id="rId91">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10440" w:type="dxa"/>
            <w:vAlign w:val="bottom"/>
          </w:tcPr>
          <w:p>
            <w:pPr>
              <w:ind w:left="360"/>
              <w:spacing w:after="0"/>
              <w:rPr>
                <w:sz w:val="20"/>
                <w:szCs w:val="20"/>
                <w:color w:val="auto"/>
              </w:rPr>
            </w:pPr>
            <w:r>
              <w:rPr>
                <w:rFonts w:ascii="Arial" w:cs="Arial" w:eastAsia="Arial" w:hAnsi="Arial"/>
                <w:sz w:val="17"/>
                <w:szCs w:val="17"/>
                <w:color w:val="auto"/>
              </w:rPr>
              <w:t>Credit Agreement, dated as of September 27, 2023, among NCR Atleos LLC, NCR Atleos Escrow Corporation, the lenders party</w:t>
            </w:r>
          </w:p>
        </w:tc>
      </w:tr>
      <w:tr>
        <w:trPr>
          <w:trHeight w:val="188"/>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0440" w:type="dxa"/>
            <w:vAlign w:val="bottom"/>
          </w:tcPr>
          <w:p>
            <w:pPr>
              <w:ind w:left="360"/>
              <w:spacing w:after="0" w:line="188" w:lineRule="exact"/>
              <w:rPr>
                <w:sz w:val="20"/>
                <w:szCs w:val="20"/>
                <w:color w:val="auto"/>
              </w:rPr>
            </w:pPr>
            <w:r>
              <w:rPr>
                <w:rFonts w:ascii="Arial" w:cs="Arial" w:eastAsia="Arial" w:hAnsi="Arial"/>
                <w:sz w:val="17"/>
                <w:szCs w:val="17"/>
                <w:color w:val="auto"/>
                <w:w w:val="99"/>
              </w:rPr>
              <w:t>thereto, any foreign borrower party thereto and Bank of America, N.A., as administrative agent (Exhibit 10.1 to the September 28, 2023</w:t>
            </w: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8-K)</w:t>
            </w:r>
          </w:p>
        </w:tc>
      </w:tr>
      <w:tr>
        <w:trPr>
          <w:trHeight w:val="259"/>
        </w:trPr>
        <w:tc>
          <w:tcPr>
            <w:tcW w:w="800" w:type="dxa"/>
            <w:vAlign w:val="bottom"/>
            <w:gridSpan w:val="5"/>
          </w:tcPr>
          <w:p>
            <w:pPr>
              <w:ind w:left="20"/>
              <w:spacing w:after="0"/>
              <w:rPr>
                <w:rFonts w:ascii="Arial" w:cs="Arial" w:eastAsia="Arial" w:hAnsi="Arial"/>
                <w:sz w:val="17"/>
                <w:szCs w:val="17"/>
                <w:color w:val="0000FF"/>
              </w:rPr>
            </w:pPr>
            <w:hyperlink r:id="rId92">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10440" w:type="dxa"/>
            <w:vAlign w:val="bottom"/>
          </w:tcPr>
          <w:p>
            <w:pPr>
              <w:ind w:left="360"/>
              <w:spacing w:after="0"/>
              <w:rPr>
                <w:sz w:val="20"/>
                <w:szCs w:val="20"/>
                <w:color w:val="auto"/>
              </w:rPr>
            </w:pPr>
            <w:r>
              <w:rPr>
                <w:rFonts w:ascii="Arial" w:cs="Arial" w:eastAsia="Arial" w:hAnsi="Arial"/>
                <w:sz w:val="17"/>
                <w:szCs w:val="17"/>
                <w:color w:val="auto"/>
              </w:rPr>
              <w:t>Transition Services Agreement, dated as of October 16, 2023, by and between NCR Voyix Corporation and NCR Atleos Corporation</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(Exhibit 10.1 to the October 16, 2023 8-K)</w:t>
            </w:r>
          </w:p>
        </w:tc>
      </w:tr>
      <w:tr>
        <w:trPr>
          <w:trHeight w:val="234"/>
        </w:trPr>
        <w:tc>
          <w:tcPr>
            <w:tcW w:w="800" w:type="dxa"/>
            <w:vAlign w:val="bottom"/>
            <w:gridSpan w:val="5"/>
          </w:tcPr>
          <w:p>
            <w:pPr>
              <w:ind w:left="20"/>
              <w:spacing w:after="0"/>
              <w:rPr>
                <w:rFonts w:ascii="Arial" w:cs="Arial" w:eastAsia="Arial" w:hAnsi="Arial"/>
                <w:sz w:val="17"/>
                <w:szCs w:val="17"/>
                <w:color w:val="0000FF"/>
              </w:rPr>
            </w:pPr>
            <w:hyperlink r:id="rId93">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10440" w:type="dxa"/>
            <w:vAlign w:val="bottom"/>
          </w:tcPr>
          <w:p>
            <w:pPr>
              <w:ind w:left="360"/>
              <w:spacing w:after="0"/>
              <w:rPr>
                <w:sz w:val="20"/>
                <w:szCs w:val="20"/>
                <w:color w:val="auto"/>
              </w:rPr>
            </w:pPr>
            <w:r>
              <w:rPr>
                <w:rFonts w:ascii="Arial" w:cs="Arial" w:eastAsia="Arial" w:hAnsi="Arial"/>
                <w:sz w:val="17"/>
                <w:szCs w:val="17"/>
                <w:color w:val="auto"/>
              </w:rPr>
              <w:t>Tax Matters Agreement, dated as of October 16, 2023, by and between NCR Voyix Corporation and NCR Atleos Corporation (Exhibit</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10.2 to the October 16, 2023 8-K)</w:t>
            </w:r>
          </w:p>
        </w:tc>
      </w:tr>
      <w:tr>
        <w:trPr>
          <w:trHeight w:val="234"/>
        </w:trPr>
        <w:tc>
          <w:tcPr>
            <w:tcW w:w="800" w:type="dxa"/>
            <w:vAlign w:val="bottom"/>
            <w:gridSpan w:val="5"/>
          </w:tcPr>
          <w:p>
            <w:pPr>
              <w:ind w:left="20"/>
              <w:spacing w:after="0"/>
              <w:rPr>
                <w:rFonts w:ascii="Arial" w:cs="Arial" w:eastAsia="Arial" w:hAnsi="Arial"/>
                <w:sz w:val="17"/>
                <w:szCs w:val="17"/>
                <w:color w:val="0000FF"/>
              </w:rPr>
            </w:pPr>
            <w:hyperlink r:id="rId94">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10440" w:type="dxa"/>
            <w:vAlign w:val="bottom"/>
          </w:tcPr>
          <w:p>
            <w:pPr>
              <w:ind w:left="360"/>
              <w:spacing w:after="0"/>
              <w:rPr>
                <w:sz w:val="20"/>
                <w:szCs w:val="20"/>
                <w:color w:val="auto"/>
              </w:rPr>
            </w:pPr>
            <w:r>
              <w:rPr>
                <w:rFonts w:ascii="Arial" w:cs="Arial" w:eastAsia="Arial" w:hAnsi="Arial"/>
                <w:sz w:val="17"/>
                <w:szCs w:val="17"/>
                <w:color w:val="auto"/>
              </w:rPr>
              <w:t>Employee Matters Agreement, dated as of October 16, 2023, by and between NCR Voyix Corporation and NCR Atleos Corporation</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(Exhibit 10.3 to the October 16, 2023 8-K)</w:t>
            </w:r>
          </w:p>
        </w:tc>
      </w:tr>
      <w:tr>
        <w:trPr>
          <w:trHeight w:val="234"/>
        </w:trPr>
        <w:tc>
          <w:tcPr>
            <w:tcW w:w="800" w:type="dxa"/>
            <w:vAlign w:val="bottom"/>
            <w:gridSpan w:val="5"/>
          </w:tcPr>
          <w:p>
            <w:pPr>
              <w:ind w:left="20"/>
              <w:spacing w:after="0"/>
              <w:rPr>
                <w:rFonts w:ascii="Arial" w:cs="Arial" w:eastAsia="Arial" w:hAnsi="Arial"/>
                <w:sz w:val="17"/>
                <w:szCs w:val="17"/>
                <w:color w:val="0000FF"/>
              </w:rPr>
            </w:pPr>
            <w:hyperlink r:id="rId95">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10440" w:type="dxa"/>
            <w:vAlign w:val="bottom"/>
          </w:tcPr>
          <w:p>
            <w:pPr>
              <w:ind w:left="360"/>
              <w:spacing w:after="0"/>
              <w:rPr>
                <w:sz w:val="20"/>
                <w:szCs w:val="20"/>
                <w:color w:val="auto"/>
              </w:rPr>
            </w:pPr>
            <w:r>
              <w:rPr>
                <w:rFonts w:ascii="Arial" w:cs="Arial" w:eastAsia="Arial" w:hAnsi="Arial"/>
                <w:sz w:val="17"/>
                <w:szCs w:val="17"/>
                <w:color w:val="auto"/>
              </w:rPr>
              <w:t>Patent and Technology Cross-License Agreement, dated as of October 16, 2023, by and between NCR Voyix Corporation and NCR</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Atleos Corporation (Exhibit 10.4 to the October 16, 2023 8-K)</w:t>
            </w:r>
          </w:p>
        </w:tc>
      </w:tr>
      <w:tr>
        <w:trPr>
          <w:trHeight w:val="234"/>
        </w:trPr>
        <w:tc>
          <w:tcPr>
            <w:tcW w:w="800" w:type="dxa"/>
            <w:vAlign w:val="bottom"/>
            <w:gridSpan w:val="5"/>
          </w:tcPr>
          <w:p>
            <w:pPr>
              <w:ind w:left="20"/>
              <w:spacing w:after="0"/>
              <w:rPr>
                <w:rFonts w:ascii="Arial" w:cs="Arial" w:eastAsia="Arial" w:hAnsi="Arial"/>
                <w:sz w:val="17"/>
                <w:szCs w:val="17"/>
                <w:color w:val="0000FF"/>
              </w:rPr>
            </w:pPr>
            <w:hyperlink r:id="rId96">
              <w:r>
                <w:rPr>
                  <w:rFonts w:ascii="Arial" w:cs="Arial" w:eastAsia="Arial" w:hAnsi="Arial"/>
                  <w:sz w:val="17"/>
                  <w:szCs w:val="17"/>
                  <w:color w:val="0000FF"/>
                </w:rPr>
                <w:t>10.</w:t>
              </w:r>
              <w:r>
                <w:rPr>
                  <w:rFonts w:ascii="Arial" w:cs="Arial" w:eastAsia="Arial" w:hAnsi="Arial"/>
                  <w:sz w:val="17"/>
                  <w:szCs w:val="17"/>
                  <w:u w:val="single" w:color="auto"/>
                  <w:color w:val="0000FF"/>
                </w:rPr>
                <w:t>6#</w:t>
              </w:r>
            </w:hyperlink>
          </w:p>
        </w:tc>
        <w:tc>
          <w:tcPr>
            <w:tcW w:w="10440" w:type="dxa"/>
            <w:vAlign w:val="bottom"/>
          </w:tcPr>
          <w:p>
            <w:pPr>
              <w:ind w:left="360"/>
              <w:spacing w:after="0"/>
              <w:rPr>
                <w:sz w:val="20"/>
                <w:szCs w:val="20"/>
                <w:color w:val="auto"/>
              </w:rPr>
            </w:pPr>
            <w:r>
              <w:rPr>
                <w:rFonts w:ascii="Arial" w:cs="Arial" w:eastAsia="Arial" w:hAnsi="Arial"/>
                <w:sz w:val="17"/>
                <w:szCs w:val="17"/>
                <w:color w:val="auto"/>
              </w:rPr>
              <w:t>Trademark License and Use Agreement, dated as of October 16 ,2023, by and between NCR Voyix Corporation and NCR Atleos</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Corporation (Exhibit 10.5 to the October 16, 2023 8-K)</w:t>
            </w:r>
          </w:p>
        </w:tc>
      </w:tr>
      <w:tr>
        <w:trPr>
          <w:trHeight w:val="234"/>
        </w:trPr>
        <w:tc>
          <w:tcPr>
            <w:tcW w:w="800" w:type="dxa"/>
            <w:vAlign w:val="bottom"/>
            <w:gridSpan w:val="5"/>
          </w:tcPr>
          <w:p>
            <w:pPr>
              <w:ind w:left="20"/>
              <w:spacing w:after="0"/>
              <w:rPr>
                <w:rFonts w:ascii="Arial" w:cs="Arial" w:eastAsia="Arial" w:hAnsi="Arial"/>
                <w:sz w:val="17"/>
                <w:szCs w:val="17"/>
                <w:color w:val="0000FF"/>
              </w:rPr>
            </w:pPr>
            <w:hyperlink r:id="rId97">
              <w:r>
                <w:rPr>
                  <w:rFonts w:ascii="Arial" w:cs="Arial" w:eastAsia="Arial" w:hAnsi="Arial"/>
                  <w:sz w:val="17"/>
                  <w:szCs w:val="17"/>
                  <w:color w:val="0000FF"/>
                </w:rPr>
                <w:t>10.</w:t>
              </w:r>
              <w:r>
                <w:rPr>
                  <w:rFonts w:ascii="Arial" w:cs="Arial" w:eastAsia="Arial" w:hAnsi="Arial"/>
                  <w:sz w:val="17"/>
                  <w:szCs w:val="17"/>
                  <w:u w:val="single" w:color="auto"/>
                  <w:color w:val="0000FF"/>
                </w:rPr>
                <w:t>7#</w:t>
              </w:r>
            </w:hyperlink>
          </w:p>
        </w:tc>
        <w:tc>
          <w:tcPr>
            <w:tcW w:w="10440" w:type="dxa"/>
            <w:vAlign w:val="bottom"/>
          </w:tcPr>
          <w:p>
            <w:pPr>
              <w:ind w:left="360"/>
              <w:spacing w:after="0"/>
              <w:rPr>
                <w:sz w:val="20"/>
                <w:szCs w:val="20"/>
                <w:color w:val="auto"/>
              </w:rPr>
            </w:pPr>
            <w:r>
              <w:rPr>
                <w:rFonts w:ascii="Arial" w:cs="Arial" w:eastAsia="Arial" w:hAnsi="Arial"/>
                <w:sz w:val="17"/>
                <w:szCs w:val="17"/>
                <w:color w:val="auto"/>
                <w:w w:val="99"/>
              </w:rPr>
              <w:t>Master Services Agreement, dated October 16, 2023, by and between NCR Voyix Corporation and Cardtronics USA, Inc. (Exhibit 10.6</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440" w:type="dxa"/>
            <w:vAlign w:val="bottom"/>
          </w:tcPr>
          <w:p>
            <w:pPr>
              <w:ind w:left="360"/>
              <w:spacing w:after="0"/>
              <w:rPr>
                <w:sz w:val="20"/>
                <w:szCs w:val="20"/>
                <w:color w:val="auto"/>
              </w:rPr>
            </w:pPr>
            <w:r>
              <w:rPr>
                <w:rFonts w:ascii="Arial" w:cs="Arial" w:eastAsia="Arial" w:hAnsi="Arial"/>
                <w:sz w:val="17"/>
                <w:szCs w:val="17"/>
                <w:color w:val="auto"/>
              </w:rPr>
              <w:t>to the October 16, 2023 8-K)</w:t>
            </w:r>
          </w:p>
        </w:tc>
      </w:tr>
      <w:tr>
        <w:trPr>
          <w:trHeight w:val="86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40" w:type="dxa"/>
            <w:vAlign w:val="bottom"/>
          </w:tcPr>
          <w:p>
            <w:pPr>
              <w:ind w:left="4740"/>
              <w:spacing w:after="0"/>
              <w:rPr>
                <w:sz w:val="20"/>
                <w:szCs w:val="20"/>
                <w:color w:val="auto"/>
              </w:rPr>
            </w:pPr>
            <w:r>
              <w:rPr>
                <w:rFonts w:ascii="Arial" w:cs="Arial" w:eastAsia="Arial" w:hAnsi="Arial"/>
                <w:sz w:val="17"/>
                <w:szCs w:val="17"/>
                <w:color w:val="auto"/>
              </w:rPr>
              <w:t>71</w:t>
            </w:r>
          </w:p>
        </w:tc>
      </w:tr>
      <w:tr>
        <w:trPr>
          <w:trHeight w:val="110"/>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80" w:type="dxa"/>
            <w:vAlign w:val="bottom"/>
            <w:gridSpan w:val="3"/>
          </w:tcPr>
          <w:p>
            <w:pPr>
              <w:spacing w:after="0"/>
              <w:rPr>
                <w:rFonts w:ascii="Arial" w:cs="Arial" w:eastAsia="Arial" w:hAnsi="Arial"/>
                <w:sz w:val="17"/>
                <w:szCs w:val="17"/>
                <w:color w:val="0000FF"/>
              </w:rPr>
            </w:pPr>
            <w:hyperlink r:id="rId100">
              <w:r>
                <w:rPr>
                  <w:rFonts w:ascii="Arial" w:cs="Arial" w:eastAsia="Arial" w:hAnsi="Arial"/>
                  <w:sz w:val="17"/>
                  <w:szCs w:val="17"/>
                  <w:color w:val="0000FF"/>
                </w:rPr>
                <w:t>10.</w:t>
              </w:r>
              <w:r>
                <w:rPr>
                  <w:rFonts w:ascii="Arial" w:cs="Arial" w:eastAsia="Arial" w:hAnsi="Arial"/>
                  <w:sz w:val="17"/>
                  <w:szCs w:val="17"/>
                  <w:u w:val="single" w:color="auto"/>
                  <w:color w:val="0000FF"/>
                </w:rPr>
                <w:t>8#</w:t>
              </w:r>
            </w:hyperlink>
          </w:p>
        </w:tc>
        <w:tc>
          <w:tcPr>
            <w:tcW w:w="320" w:type="dxa"/>
            <w:vAlign w:val="bottom"/>
          </w:tcPr>
          <w:p>
            <w:pPr>
              <w:spacing w:after="0"/>
              <w:rPr>
                <w:sz w:val="16"/>
                <w:szCs w:val="16"/>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Manufacturing Services Agreement, dated October 16 2023, by and between NCR Voyix Corporation and Terafina Software Solutions</w:t>
            </w:r>
          </w:p>
        </w:tc>
      </w:tr>
      <w:tr>
        <w:trPr>
          <w:trHeight w:val="200"/>
        </w:trPr>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Private Limited and NCR Corporation India Private Limited (Exhibit 10.7 to the October 16, 2023 8-K)</w:t>
            </w:r>
          </w:p>
        </w:tc>
      </w:tr>
      <w:tr>
        <w:trPr>
          <w:trHeight w:val="234"/>
        </w:trPr>
        <w:tc>
          <w:tcPr>
            <w:tcW w:w="480" w:type="dxa"/>
            <w:vAlign w:val="bottom"/>
            <w:gridSpan w:val="3"/>
          </w:tcPr>
          <w:p>
            <w:pPr>
              <w:spacing w:after="0"/>
              <w:rPr>
                <w:rFonts w:ascii="Arial" w:cs="Arial" w:eastAsia="Arial" w:hAnsi="Arial"/>
                <w:sz w:val="17"/>
                <w:szCs w:val="17"/>
                <w:color w:val="0000FF"/>
              </w:rPr>
            </w:pPr>
            <w:hyperlink r:id="rId101">
              <w:r>
                <w:rPr>
                  <w:rFonts w:ascii="Arial" w:cs="Arial" w:eastAsia="Arial" w:hAnsi="Arial"/>
                  <w:sz w:val="17"/>
                  <w:szCs w:val="17"/>
                  <w:color w:val="0000FF"/>
                </w:rPr>
                <w:t>10.</w:t>
              </w:r>
              <w:r>
                <w:rPr>
                  <w:rFonts w:ascii="Arial" w:cs="Arial" w:eastAsia="Arial" w:hAnsi="Arial"/>
                  <w:sz w:val="17"/>
                  <w:szCs w:val="17"/>
                  <w:u w:val="single" w:color="auto"/>
                  <w:color w:val="0000FF"/>
                </w:rPr>
                <w:t>9#</w:t>
              </w:r>
            </w:hyperlink>
          </w:p>
        </w:tc>
        <w:tc>
          <w:tcPr>
            <w:tcW w:w="320" w:type="dxa"/>
            <w:vAlign w:val="bottom"/>
          </w:tcPr>
          <w:p>
            <w:pPr>
              <w:spacing w:after="0"/>
              <w:rPr>
                <w:sz w:val="20"/>
                <w:szCs w:val="20"/>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7"/>
              </w:rPr>
              <w:t>Credit Agreement, dated as of October 16, 2023, by and between NCR Voyix Corporation, the foreign borrowers party thereto, the</w:t>
            </w:r>
          </w:p>
        </w:tc>
      </w:tr>
      <w:tr>
        <w:trPr>
          <w:trHeight w:val="200"/>
        </w:trPr>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lenders and issuing banks party thereto and Bank of America, N.A., as administrative agent (Exhibit 10.8 to the October 16, 2023 8-K)</w:t>
            </w:r>
          </w:p>
        </w:tc>
      </w:tr>
      <w:tr>
        <w:trPr>
          <w:trHeight w:val="234"/>
        </w:trPr>
        <w:tc>
          <w:tcPr>
            <w:tcW w:w="480" w:type="dxa"/>
            <w:vAlign w:val="bottom"/>
            <w:gridSpan w:val="3"/>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10</w:t>
            </w:r>
          </w:p>
        </w:tc>
        <w:tc>
          <w:tcPr>
            <w:tcW w:w="320" w:type="dxa"/>
            <w:vAlign w:val="bottom"/>
          </w:tcPr>
          <w:p>
            <w:pPr>
              <w:spacing w:after="0"/>
              <w:rPr>
                <w:sz w:val="20"/>
                <w:szCs w:val="20"/>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Fourth Amendment to the Receivables Purchase Agreement, dated as of August 7, 2023, by and among NCR Corporation, as servicer,</w:t>
            </w:r>
          </w:p>
        </w:tc>
      </w:tr>
      <w:tr>
        <w:trPr>
          <w:trHeight w:val="136"/>
        </w:trPr>
        <w:tc>
          <w:tcPr>
            <w:tcW w:w="3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40" w:type="dxa"/>
            <w:vAlign w:val="bottom"/>
          </w:tcPr>
          <w:p>
            <w:pPr>
              <w:ind w:left="340"/>
              <w:spacing w:after="0" w:line="136" w:lineRule="exact"/>
              <w:rPr>
                <w:sz w:val="20"/>
                <w:szCs w:val="20"/>
                <w:color w:val="auto"/>
              </w:rPr>
            </w:pPr>
            <w:r>
              <w:rPr>
                <w:rFonts w:ascii="Arial" w:cs="Arial" w:eastAsia="Arial" w:hAnsi="Arial"/>
                <w:sz w:val="15"/>
                <w:szCs w:val="15"/>
                <w:color w:val="auto"/>
              </w:rPr>
              <w:t>NCR Receivables LLC, as seller, NCR Canada Receivables LP, as Canadian guarantor, NCR Canada Corp., as Canadian servicer,</w:t>
            </w:r>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40" w:type="dxa"/>
            <w:vAlign w:val="bottom"/>
          </w:tcPr>
          <w:p>
            <w:pPr>
              <w:ind w:left="340"/>
              <w:spacing w:after="0" w:line="181" w:lineRule="exact"/>
              <w:rPr>
                <w:sz w:val="20"/>
                <w:szCs w:val="20"/>
                <w:color w:val="auto"/>
              </w:rPr>
            </w:pPr>
            <w:r>
              <w:rPr>
                <w:rFonts w:ascii="Arial" w:cs="Arial" w:eastAsia="Arial" w:hAnsi="Arial"/>
                <w:sz w:val="17"/>
                <w:szCs w:val="17"/>
                <w:color w:val="auto"/>
                <w:w w:val="98"/>
              </w:rPr>
              <w:t>MUFG Bank, Ltd. and PNC Bank, National Association, as committed purchasers, Victory Receivables Corporation, as a conduit</w:t>
            </w:r>
          </w:p>
        </w:tc>
      </w:tr>
      <w:tr>
        <w:trPr>
          <w:trHeight w:val="169"/>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40" w:type="dxa"/>
            <w:vAlign w:val="bottom"/>
          </w:tcPr>
          <w:p>
            <w:pPr>
              <w:ind w:left="340"/>
              <w:spacing w:after="0" w:line="168" w:lineRule="exact"/>
              <w:rPr>
                <w:sz w:val="20"/>
                <w:szCs w:val="20"/>
                <w:color w:val="auto"/>
              </w:rPr>
            </w:pPr>
            <w:r>
              <w:rPr>
                <w:rFonts w:ascii="Arial" w:cs="Arial" w:eastAsia="Arial" w:hAnsi="Arial"/>
                <w:sz w:val="17"/>
                <w:szCs w:val="17"/>
                <w:color w:val="auto"/>
                <w:w w:val="94"/>
              </w:rPr>
              <w:t>purchaser, PNC Bank, National Association, as group agent and as administrative agent and PNC Capital Markets LLC, as structuring</w:t>
            </w:r>
          </w:p>
        </w:tc>
      </w:tr>
      <w:tr>
        <w:trPr>
          <w:trHeight w:val="220"/>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agent.</w:t>
            </w:r>
          </w:p>
        </w:tc>
      </w:tr>
      <w:tr>
        <w:trPr>
          <w:trHeight w:val="246"/>
        </w:trPr>
        <w:tc>
          <w:tcPr>
            <w:tcW w:w="380" w:type="dxa"/>
            <w:vAlign w:val="bottom"/>
            <w:tcBorders>
              <w:bottom w:val="single" w:sz="8" w:color="0000FF"/>
            </w:tcBorders>
            <w:gridSpan w:val="2"/>
          </w:tcPr>
          <w:p>
            <w:pPr>
              <w:spacing w:after="0"/>
              <w:rPr>
                <w:rFonts w:ascii="Arial" w:cs="Arial" w:eastAsia="Arial" w:hAnsi="Arial"/>
                <w:sz w:val="17"/>
                <w:szCs w:val="17"/>
                <w:color w:val="0000FF"/>
                <w:w w:val="84"/>
              </w:rPr>
            </w:pPr>
            <w:hyperlink r:id="rId102">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11</w:t>
              </w:r>
            </w:hyperlink>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Fifth Amendment to the Receivables Purchase Agreement, dated as of September 1, 2023, by and among NCR Corporation, as servicer,</w:t>
            </w:r>
          </w:p>
        </w:tc>
      </w:tr>
      <w:tr>
        <w:trPr>
          <w:trHeight w:val="136"/>
        </w:trPr>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40" w:type="dxa"/>
            <w:vAlign w:val="bottom"/>
          </w:tcPr>
          <w:p>
            <w:pPr>
              <w:ind w:left="340"/>
              <w:spacing w:after="0" w:line="136" w:lineRule="exact"/>
              <w:rPr>
                <w:sz w:val="20"/>
                <w:szCs w:val="20"/>
                <w:color w:val="auto"/>
              </w:rPr>
            </w:pPr>
            <w:r>
              <w:rPr>
                <w:rFonts w:ascii="Arial" w:cs="Arial" w:eastAsia="Arial" w:hAnsi="Arial"/>
                <w:sz w:val="15"/>
                <w:szCs w:val="15"/>
                <w:color w:val="auto"/>
              </w:rPr>
              <w:t>NCR Receivables LLC, as seller NCR Canada Receivables LP, as Canadian guarantor, NCR Canada Corp., as Canadian servicer, MUFG</w:t>
            </w:r>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40" w:type="dxa"/>
            <w:vAlign w:val="bottom"/>
          </w:tcPr>
          <w:p>
            <w:pPr>
              <w:ind w:left="340"/>
              <w:spacing w:after="0" w:line="181" w:lineRule="exact"/>
              <w:rPr>
                <w:sz w:val="20"/>
                <w:szCs w:val="20"/>
                <w:color w:val="auto"/>
              </w:rPr>
            </w:pPr>
            <w:r>
              <w:rPr>
                <w:rFonts w:ascii="Arial" w:cs="Arial" w:eastAsia="Arial" w:hAnsi="Arial"/>
                <w:sz w:val="17"/>
                <w:szCs w:val="17"/>
                <w:color w:val="auto"/>
                <w:w w:val="95"/>
              </w:rPr>
              <w:t>Bank, Ltd. and PNC Bank, National Association as committed purchasers, Victory Receivables Corporation, as a conduit purchaser,</w:t>
            </w:r>
          </w:p>
        </w:tc>
      </w:tr>
      <w:tr>
        <w:trPr>
          <w:trHeight w:val="169"/>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40" w:type="dxa"/>
            <w:vAlign w:val="bottom"/>
          </w:tcPr>
          <w:p>
            <w:pPr>
              <w:ind w:left="340"/>
              <w:spacing w:after="0" w:line="168" w:lineRule="exact"/>
              <w:rPr>
                <w:sz w:val="20"/>
                <w:szCs w:val="20"/>
                <w:color w:val="auto"/>
              </w:rPr>
            </w:pPr>
            <w:r>
              <w:rPr>
                <w:rFonts w:ascii="Arial" w:cs="Arial" w:eastAsia="Arial" w:hAnsi="Arial"/>
                <w:sz w:val="17"/>
                <w:szCs w:val="17"/>
                <w:color w:val="auto"/>
                <w:w w:val="97"/>
              </w:rPr>
              <w:t>PNC Bank, National Association, as group agent and as administrative agent and PNC Capital Markets LLC, as structuring agent</w:t>
            </w:r>
          </w:p>
        </w:tc>
      </w:tr>
      <w:tr>
        <w:trPr>
          <w:trHeight w:val="220"/>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(Exhibit 10.2 to the Company’s Current Report on Form 8-K dated September 7, 2023)</w:t>
            </w:r>
          </w:p>
        </w:tc>
      </w:tr>
      <w:tr>
        <w:trPr>
          <w:trHeight w:val="246"/>
        </w:trPr>
        <w:tc>
          <w:tcPr>
            <w:tcW w:w="480" w:type="dxa"/>
            <w:vAlign w:val="bottom"/>
            <w:gridSpan w:val="3"/>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12</w:t>
            </w:r>
          </w:p>
        </w:tc>
        <w:tc>
          <w:tcPr>
            <w:tcW w:w="320" w:type="dxa"/>
            <w:vAlign w:val="bottom"/>
          </w:tcPr>
          <w:p>
            <w:pPr>
              <w:spacing w:after="0"/>
              <w:rPr>
                <w:sz w:val="21"/>
                <w:szCs w:val="21"/>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7"/>
              </w:rPr>
              <w:t>Sixth Amendment to the Receivables Purchase Agreement, dated as of September 27, 2023, by and among NCR Corporation, as</w:t>
            </w:r>
          </w:p>
        </w:tc>
      </w:tr>
      <w:tr>
        <w:trPr>
          <w:trHeight w:val="136"/>
        </w:trPr>
        <w:tc>
          <w:tcPr>
            <w:tcW w:w="3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40" w:type="dxa"/>
            <w:vAlign w:val="bottom"/>
          </w:tcPr>
          <w:p>
            <w:pPr>
              <w:ind w:left="340"/>
              <w:spacing w:after="0" w:line="136" w:lineRule="exact"/>
              <w:rPr>
                <w:sz w:val="20"/>
                <w:szCs w:val="20"/>
                <w:color w:val="auto"/>
              </w:rPr>
            </w:pPr>
            <w:r>
              <w:rPr>
                <w:rFonts w:ascii="Arial" w:cs="Arial" w:eastAsia="Arial" w:hAnsi="Arial"/>
                <w:sz w:val="15"/>
                <w:szCs w:val="15"/>
                <w:color w:val="auto"/>
              </w:rPr>
              <w:t>servicer, NCR Receivables LLC, as seller, NCR Canada Receivables LP, as Canadian guarantor, NCR Canada Corp., as Canadian</w:t>
            </w:r>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40" w:type="dxa"/>
            <w:vAlign w:val="bottom"/>
          </w:tcPr>
          <w:p>
            <w:pPr>
              <w:ind w:left="340"/>
              <w:spacing w:after="0" w:line="181" w:lineRule="exact"/>
              <w:rPr>
                <w:sz w:val="20"/>
                <w:szCs w:val="20"/>
                <w:color w:val="auto"/>
              </w:rPr>
            </w:pPr>
            <w:r>
              <w:rPr>
                <w:rFonts w:ascii="Arial" w:cs="Arial" w:eastAsia="Arial" w:hAnsi="Arial"/>
                <w:sz w:val="17"/>
                <w:szCs w:val="17"/>
                <w:color w:val="auto"/>
                <w:w w:val="97"/>
              </w:rPr>
              <w:t>servicer, MUFG Bank, Ltd. and PNC Bank, National Association, as committed purchasers, Victory Receivables Corporation, as a</w:t>
            </w:r>
          </w:p>
        </w:tc>
      </w:tr>
      <w:tr>
        <w:trPr>
          <w:trHeight w:val="169"/>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40" w:type="dxa"/>
            <w:vAlign w:val="bottom"/>
          </w:tcPr>
          <w:p>
            <w:pPr>
              <w:ind w:left="340"/>
              <w:spacing w:after="0" w:line="168" w:lineRule="exact"/>
              <w:rPr>
                <w:sz w:val="20"/>
                <w:szCs w:val="20"/>
                <w:color w:val="auto"/>
              </w:rPr>
            </w:pPr>
            <w:r>
              <w:rPr>
                <w:rFonts w:ascii="Arial" w:cs="Arial" w:eastAsia="Arial" w:hAnsi="Arial"/>
                <w:sz w:val="17"/>
                <w:szCs w:val="17"/>
                <w:color w:val="auto"/>
                <w:w w:val="96"/>
              </w:rPr>
              <w:t>conduit purchaser, PNC Bank, National Association, as group agent and as administrative agent and PNC Capital Markets LLC, as</w:t>
            </w:r>
          </w:p>
        </w:tc>
      </w:tr>
      <w:tr>
        <w:trPr>
          <w:trHeight w:val="220"/>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structuring agent.</w:t>
            </w:r>
          </w:p>
        </w:tc>
      </w:tr>
      <w:tr>
        <w:trPr>
          <w:trHeight w:val="246"/>
        </w:trPr>
        <w:tc>
          <w:tcPr>
            <w:tcW w:w="800" w:type="dxa"/>
            <w:vAlign w:val="bottom"/>
            <w:gridSpan w:val="4"/>
          </w:tcPr>
          <w:p>
            <w:pPr>
              <w:spacing w:after="0"/>
              <w:rPr>
                <w:rFonts w:ascii="Arial" w:cs="Arial" w:eastAsia="Arial" w:hAnsi="Arial"/>
                <w:sz w:val="17"/>
                <w:szCs w:val="17"/>
                <w:color w:val="0000FF"/>
              </w:rPr>
            </w:pPr>
            <w:hyperlink r:id="rId103">
              <w:r>
                <w:rPr>
                  <w:rFonts w:ascii="Arial" w:cs="Arial" w:eastAsia="Arial" w:hAnsi="Arial"/>
                  <w:sz w:val="17"/>
                  <w:szCs w:val="17"/>
                  <w:color w:val="0000FF"/>
                </w:rPr>
                <w:t>10.</w:t>
              </w:r>
              <w:r>
                <w:rPr>
                  <w:rFonts w:ascii="Arial" w:cs="Arial" w:eastAsia="Arial" w:hAnsi="Arial"/>
                  <w:sz w:val="17"/>
                  <w:szCs w:val="17"/>
                  <w:u w:val="single" w:color="auto"/>
                  <w:color w:val="0000FF"/>
                </w:rPr>
                <w:t>13#</w:t>
              </w:r>
            </w:hyperlink>
          </w:p>
        </w:tc>
        <w:tc>
          <w:tcPr>
            <w:tcW w:w="9840" w:type="dxa"/>
            <w:vAlign w:val="bottom"/>
          </w:tcPr>
          <w:p>
            <w:pPr>
              <w:ind w:left="340"/>
              <w:spacing w:after="0"/>
              <w:rPr>
                <w:sz w:val="20"/>
                <w:szCs w:val="20"/>
                <w:color w:val="auto"/>
              </w:rPr>
            </w:pPr>
            <w:r>
              <w:rPr>
                <w:rFonts w:ascii="Arial" w:cs="Arial" w:eastAsia="Arial" w:hAnsi="Arial"/>
                <w:sz w:val="17"/>
                <w:szCs w:val="17"/>
                <w:color w:val="auto"/>
                <w:w w:val="91"/>
              </w:rPr>
              <w:t>Seventh Amendment to Receivables Purchase Agreement, dated as of October 16, 2023, by and among NCR Receivables LLC, as seller,</w:t>
            </w:r>
          </w:p>
        </w:tc>
      </w:tr>
      <w:tr>
        <w:trPr>
          <w:trHeight w:val="136"/>
        </w:trPr>
        <w:tc>
          <w:tcPr>
            <w:tcW w:w="3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9840" w:type="dxa"/>
            <w:vAlign w:val="bottom"/>
          </w:tcPr>
          <w:p>
            <w:pPr>
              <w:ind w:left="340"/>
              <w:spacing w:after="0" w:line="136" w:lineRule="exact"/>
              <w:rPr>
                <w:sz w:val="20"/>
                <w:szCs w:val="20"/>
                <w:color w:val="auto"/>
              </w:rPr>
            </w:pPr>
            <w:r>
              <w:rPr>
                <w:rFonts w:ascii="Arial" w:cs="Arial" w:eastAsia="Arial" w:hAnsi="Arial"/>
                <w:sz w:val="15"/>
                <w:szCs w:val="15"/>
                <w:color w:val="auto"/>
              </w:rPr>
              <w:t>NCR Canada Receivables LP, as guarantor, NCR Corporation, as servicer, NCR Canada Corp., as servicer, PNC Bank, National</w:t>
            </w:r>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40" w:type="dxa"/>
            <w:vAlign w:val="bottom"/>
          </w:tcPr>
          <w:p>
            <w:pPr>
              <w:ind w:left="340"/>
              <w:spacing w:after="0" w:line="181" w:lineRule="exact"/>
              <w:rPr>
                <w:sz w:val="20"/>
                <w:szCs w:val="20"/>
                <w:color w:val="auto"/>
              </w:rPr>
            </w:pPr>
            <w:r>
              <w:rPr>
                <w:rFonts w:ascii="Arial" w:cs="Arial" w:eastAsia="Arial" w:hAnsi="Arial"/>
                <w:sz w:val="17"/>
                <w:szCs w:val="17"/>
                <w:color w:val="auto"/>
                <w:w w:val="93"/>
              </w:rPr>
              <w:t>Association, as administrative agent, and PNC Bank, National Association, MUFG Bank, Ltd., Victory Receivables Corporation and the</w:t>
            </w:r>
          </w:p>
        </w:tc>
      </w:tr>
      <w:tr>
        <w:trPr>
          <w:trHeight w:val="220"/>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other purchasers from time to time party thereto (Exhibit 10.9 to the October 16, 2023 8-K)</w:t>
            </w:r>
          </w:p>
        </w:tc>
      </w:tr>
      <w:tr>
        <w:trPr>
          <w:trHeight w:val="233"/>
        </w:trPr>
        <w:tc>
          <w:tcPr>
            <w:tcW w:w="800" w:type="dxa"/>
            <w:vAlign w:val="bottom"/>
            <w:gridSpan w:val="4"/>
          </w:tcPr>
          <w:p>
            <w:pPr>
              <w:spacing w:after="0"/>
              <w:rPr>
                <w:rFonts w:ascii="Arial" w:cs="Arial" w:eastAsia="Arial" w:hAnsi="Arial"/>
                <w:sz w:val="17"/>
                <w:szCs w:val="17"/>
                <w:color w:val="0000FF"/>
              </w:rPr>
            </w:pPr>
            <w:hyperlink r:id="rId104">
              <w:r>
                <w:rPr>
                  <w:rFonts w:ascii="Arial" w:cs="Arial" w:eastAsia="Arial" w:hAnsi="Arial"/>
                  <w:sz w:val="17"/>
                  <w:szCs w:val="17"/>
                  <w:color w:val="0000FF"/>
                </w:rPr>
                <w:t>10.</w:t>
              </w:r>
              <w:r>
                <w:rPr>
                  <w:rFonts w:ascii="Arial" w:cs="Arial" w:eastAsia="Arial" w:hAnsi="Arial"/>
                  <w:sz w:val="17"/>
                  <w:szCs w:val="17"/>
                  <w:u w:val="single" w:color="auto"/>
                  <w:color w:val="0000FF"/>
                </w:rPr>
                <w:t>14#</w:t>
              </w:r>
            </w:hyperlink>
          </w:p>
        </w:tc>
        <w:tc>
          <w:tcPr>
            <w:tcW w:w="9840" w:type="dxa"/>
            <w:vAlign w:val="bottom"/>
          </w:tcPr>
          <w:p>
            <w:pPr>
              <w:ind w:left="340"/>
              <w:spacing w:after="0"/>
              <w:rPr>
                <w:sz w:val="20"/>
                <w:szCs w:val="20"/>
                <w:color w:val="auto"/>
              </w:rPr>
            </w:pPr>
            <w:r>
              <w:rPr>
                <w:rFonts w:ascii="Arial" w:cs="Arial" w:eastAsia="Arial" w:hAnsi="Arial"/>
                <w:sz w:val="17"/>
                <w:szCs w:val="17"/>
                <w:color w:val="auto"/>
                <w:w w:val="91"/>
              </w:rPr>
              <w:t>First Amendment to Amended and Restated Purchase and Sale Agreement, dated as of October 16, 2023, among NCR Receivables LLC,</w:t>
            </w:r>
          </w:p>
        </w:tc>
      </w:tr>
      <w:tr>
        <w:trPr>
          <w:trHeight w:val="136"/>
        </w:trPr>
        <w:tc>
          <w:tcPr>
            <w:tcW w:w="3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9840" w:type="dxa"/>
            <w:vAlign w:val="bottom"/>
          </w:tcPr>
          <w:p>
            <w:pPr>
              <w:ind w:left="340"/>
              <w:spacing w:after="0" w:line="136" w:lineRule="exact"/>
              <w:rPr>
                <w:sz w:val="20"/>
                <w:szCs w:val="20"/>
                <w:color w:val="auto"/>
              </w:rPr>
            </w:pPr>
            <w:r>
              <w:rPr>
                <w:rFonts w:ascii="Arial" w:cs="Arial" w:eastAsia="Arial" w:hAnsi="Arial"/>
                <w:sz w:val="15"/>
                <w:szCs w:val="15"/>
                <w:color w:val="auto"/>
              </w:rPr>
              <w:t>as buyer, and NCR Corporation, as initial servicer and as an originator, Cardtronics USA, Inc. as a released original and ATM National,</w:t>
            </w:r>
          </w:p>
        </w:tc>
      </w:tr>
      <w:tr>
        <w:trPr>
          <w:trHeight w:val="220"/>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LLC, as a released originator (Exhibit 10.10 to the October 16, 2023 8-K)</w:t>
            </w:r>
          </w:p>
        </w:tc>
      </w:tr>
      <w:tr>
        <w:trPr>
          <w:trHeight w:val="246"/>
        </w:trPr>
        <w:tc>
          <w:tcPr>
            <w:tcW w:w="800" w:type="dxa"/>
            <w:vAlign w:val="bottom"/>
            <w:gridSpan w:val="4"/>
          </w:tcPr>
          <w:p>
            <w:pPr>
              <w:spacing w:after="0"/>
              <w:rPr>
                <w:rFonts w:ascii="Arial" w:cs="Arial" w:eastAsia="Arial" w:hAnsi="Arial"/>
                <w:sz w:val="17"/>
                <w:szCs w:val="17"/>
                <w:color w:val="0000FF"/>
              </w:rPr>
            </w:pPr>
            <w:hyperlink r:id="rId105">
              <w:r>
                <w:rPr>
                  <w:rFonts w:ascii="Arial" w:cs="Arial" w:eastAsia="Arial" w:hAnsi="Arial"/>
                  <w:sz w:val="17"/>
                  <w:szCs w:val="17"/>
                  <w:color w:val="0000FF"/>
                </w:rPr>
                <w:t>10.</w:t>
              </w:r>
              <w:r>
                <w:rPr>
                  <w:rFonts w:ascii="Arial" w:cs="Arial" w:eastAsia="Arial" w:hAnsi="Arial"/>
                  <w:sz w:val="17"/>
                  <w:szCs w:val="17"/>
                  <w:u w:val="single" w:color="auto"/>
                  <w:color w:val="0000FF"/>
                </w:rPr>
                <w:t>15#</w:t>
              </w:r>
            </w:hyperlink>
          </w:p>
        </w:tc>
        <w:tc>
          <w:tcPr>
            <w:tcW w:w="9840" w:type="dxa"/>
            <w:vAlign w:val="bottom"/>
          </w:tcPr>
          <w:p>
            <w:pPr>
              <w:ind w:left="340"/>
              <w:spacing w:after="0"/>
              <w:rPr>
                <w:sz w:val="20"/>
                <w:szCs w:val="20"/>
                <w:color w:val="auto"/>
              </w:rPr>
            </w:pPr>
            <w:r>
              <w:rPr>
                <w:rFonts w:ascii="Arial" w:cs="Arial" w:eastAsia="Arial" w:hAnsi="Arial"/>
                <w:sz w:val="17"/>
                <w:szCs w:val="17"/>
                <w:color w:val="auto"/>
                <w:w w:val="92"/>
              </w:rPr>
              <w:t>Release Under Canadian Purchase and Sale Agreement, dated as of October 16, 2023, among NCR Canada Receivables LP, as buyer,</w:t>
            </w:r>
          </w:p>
        </w:tc>
      </w:tr>
      <w:tr>
        <w:trPr>
          <w:trHeight w:val="136"/>
        </w:trPr>
        <w:tc>
          <w:tcPr>
            <w:tcW w:w="3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9840" w:type="dxa"/>
            <w:vAlign w:val="bottom"/>
          </w:tcPr>
          <w:p>
            <w:pPr>
              <w:ind w:left="340"/>
              <w:spacing w:after="0" w:line="136" w:lineRule="exact"/>
              <w:rPr>
                <w:sz w:val="20"/>
                <w:szCs w:val="20"/>
                <w:color w:val="auto"/>
              </w:rPr>
            </w:pPr>
            <w:r>
              <w:rPr>
                <w:rFonts w:ascii="Arial" w:cs="Arial" w:eastAsia="Arial" w:hAnsi="Arial"/>
                <w:sz w:val="15"/>
                <w:szCs w:val="15"/>
                <w:color w:val="auto"/>
              </w:rPr>
              <w:t>NCR Canada Corp., as initial servicer and as originator, and Canada Holdings, Inc., as a released originator (Exhibit 10.11 to the October</w:t>
            </w:r>
          </w:p>
        </w:tc>
      </w:tr>
      <w:tr>
        <w:trPr>
          <w:trHeight w:val="220"/>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16, 2023 8-K)</w:t>
            </w:r>
          </w:p>
        </w:tc>
      </w:tr>
      <w:tr>
        <w:trPr>
          <w:trHeight w:val="246"/>
        </w:trPr>
        <w:tc>
          <w:tcPr>
            <w:tcW w:w="480" w:type="dxa"/>
            <w:vAlign w:val="bottom"/>
            <w:gridSpan w:val="3"/>
          </w:tcPr>
          <w:p>
            <w:pPr>
              <w:spacing w:after="0"/>
              <w:rPr>
                <w:rFonts w:ascii="Arial" w:cs="Arial" w:eastAsia="Arial" w:hAnsi="Arial"/>
                <w:sz w:val="17"/>
                <w:szCs w:val="17"/>
                <w:color w:val="0000FF"/>
              </w:rPr>
            </w:pPr>
            <w:hyperlink r:id="rId106">
              <w:r>
                <w:rPr>
                  <w:rFonts w:ascii="Arial" w:cs="Arial" w:eastAsia="Arial" w:hAnsi="Arial"/>
                  <w:sz w:val="17"/>
                  <w:szCs w:val="17"/>
                  <w:color w:val="0000FF"/>
                </w:rPr>
                <w:t>10.</w:t>
              </w:r>
              <w:r>
                <w:rPr>
                  <w:rFonts w:ascii="Arial" w:cs="Arial" w:eastAsia="Arial" w:hAnsi="Arial"/>
                  <w:sz w:val="17"/>
                  <w:szCs w:val="17"/>
                  <w:u w:val="single" w:color="auto"/>
                  <w:color w:val="0000FF"/>
                </w:rPr>
                <w:t>16</w:t>
              </w:r>
            </w:hyperlink>
          </w:p>
        </w:tc>
        <w:tc>
          <w:tcPr>
            <w:tcW w:w="320" w:type="dxa"/>
            <w:vAlign w:val="bottom"/>
          </w:tcPr>
          <w:p>
            <w:pPr>
              <w:spacing w:after="0"/>
              <w:rPr>
                <w:sz w:val="21"/>
                <w:szCs w:val="21"/>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Seventh Amendment dated as of August 31, 2023, among NCR Corporation, the lenders party thereto, and JPMorgan Chase Bank, N.A.,</w:t>
            </w:r>
          </w:p>
        </w:tc>
      </w:tr>
      <w:tr>
        <w:trPr>
          <w:trHeight w:val="200"/>
        </w:trPr>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as administrative agent (Exhibit 10.1 to the Company’s Current Report on Form 8-K filed on September 7, 2023)</w:t>
            </w:r>
          </w:p>
        </w:tc>
      </w:tr>
      <w:tr>
        <w:trPr>
          <w:trHeight w:val="234"/>
        </w:trPr>
        <w:tc>
          <w:tcPr>
            <w:tcW w:w="800" w:type="dxa"/>
            <w:vAlign w:val="bottom"/>
            <w:gridSpan w:val="4"/>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17*</w:t>
            </w:r>
          </w:p>
        </w:tc>
        <w:tc>
          <w:tcPr>
            <w:tcW w:w="9840" w:type="dxa"/>
            <w:vAlign w:val="bottom"/>
          </w:tcPr>
          <w:p>
            <w:pPr>
              <w:ind w:left="340"/>
              <w:spacing w:after="0"/>
              <w:rPr>
                <w:sz w:val="20"/>
                <w:szCs w:val="20"/>
                <w:color w:val="auto"/>
              </w:rPr>
            </w:pPr>
            <w:r>
              <w:rPr>
                <w:rFonts w:ascii="Arial" w:cs="Arial" w:eastAsia="Arial" w:hAnsi="Arial"/>
                <w:sz w:val="17"/>
                <w:szCs w:val="17"/>
                <w:color w:val="auto"/>
              </w:rPr>
              <w:t>Employment Agreement, dated September 25, 2023, between David Wilkinson and NCR Corporation</w:t>
            </w:r>
          </w:p>
        </w:tc>
      </w:tr>
      <w:tr>
        <w:trPr>
          <w:trHeight w:val="252"/>
        </w:trPr>
        <w:tc>
          <w:tcPr>
            <w:tcW w:w="3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1</w:t>
            </w: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Certification pursuant to Rule 13a-14(a) and Rule 15d-14(a) of the Securities Exchange Act of 1934.</w:t>
            </w:r>
          </w:p>
        </w:tc>
      </w:tr>
      <w:tr>
        <w:trPr>
          <w:trHeight w:val="252"/>
        </w:trPr>
        <w:tc>
          <w:tcPr>
            <w:tcW w:w="3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Certification pursuant to Rule 13a-14(a) and Rule 15d-14(a) of the Securities Exchange Act of 1934.</w:t>
            </w:r>
          </w:p>
        </w:tc>
      </w:tr>
    </w:tbl>
    <w:p>
      <w:pPr>
        <w:spacing w:after="0" w:line="78" w:lineRule="exact"/>
        <w:rPr>
          <w:sz w:val="20"/>
          <w:szCs w:val="20"/>
          <w:color w:val="auto"/>
        </w:rPr>
      </w:pPr>
    </w:p>
    <w:p>
      <w:pPr>
        <w:ind w:left="1160" w:hanging="1139"/>
        <w:spacing w:after="0"/>
        <w:tabs>
          <w:tab w:leader="none" w:pos="1160" w:val="left"/>
        </w:tabs>
        <w:numPr>
          <w:ilvl w:val="0"/>
          <w:numId w:val="23"/>
        </w:numPr>
        <w:rPr>
          <w:rFonts w:ascii="Arial" w:cs="Arial" w:eastAsia="Arial" w:hAnsi="Arial"/>
          <w:sz w:val="17"/>
          <w:szCs w:val="17"/>
          <w:u w:val="single" w:color="auto"/>
          <w:color w:val="0000FF"/>
        </w:rPr>
      </w:pPr>
      <w:r>
        <w:rPr>
          <w:rFonts w:ascii="Arial" w:cs="Arial" w:eastAsia="Arial" w:hAnsi="Arial"/>
          <w:sz w:val="17"/>
          <w:szCs w:val="17"/>
          <w:color w:val="auto"/>
        </w:rPr>
        <w:t>Certification pursuant to 18 U.S.C. Section 1350 as adopted pursuant to Section 906 of the Sarbanes-Oxley Act of 2002.</w:t>
      </w:r>
    </w:p>
    <w:p>
      <w:pPr>
        <w:spacing w:after="0" w:line="77" w:lineRule="exact"/>
        <w:rPr>
          <w:sz w:val="20"/>
          <w:szCs w:val="20"/>
          <w:color w:val="auto"/>
        </w:rPr>
      </w:pPr>
    </w:p>
    <w:p>
      <w:pPr>
        <w:jc w:val="both"/>
        <w:ind w:left="1160" w:hanging="1139"/>
        <w:spacing w:after="0" w:line="270" w:lineRule="auto"/>
        <w:tabs>
          <w:tab w:leader="none" w:pos="11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following materials from NCR Corporation’s Quarterly Report on Form 10-Q for the quarter ended September 30, 2023, formatted in iXBRL (Inline Extensible Business Reporting Language): (i) our condensed consolidated statements of operations for the three and nine months ended September 30, 2023 and 2022; (ii) our condensed consolidated statements of comprehensive income for the three and nine months ended September 30, 2023 and 2022; (iii) our condensed consolidated balance sheets as of September 30, 2023 and December 31, 2022; (iv) our condensed consolidated statements of cash flows for the nine months ended September 30, 2023 and 2022;</w:t>
      </w:r>
    </w:p>
    <w:p>
      <w:pPr>
        <w:spacing w:after="0" w:line="3" w:lineRule="exact"/>
        <w:rPr>
          <w:rFonts w:ascii="Arial" w:cs="Arial" w:eastAsia="Arial" w:hAnsi="Arial"/>
          <w:sz w:val="15"/>
          <w:szCs w:val="15"/>
          <w:color w:val="auto"/>
        </w:rPr>
      </w:pPr>
    </w:p>
    <w:p>
      <w:pPr>
        <w:ind w:left="1160"/>
        <w:spacing w:after="0" w:line="251" w:lineRule="auto"/>
        <w:rPr>
          <w:rFonts w:ascii="Arial" w:cs="Arial" w:eastAsia="Arial" w:hAnsi="Arial"/>
          <w:sz w:val="15"/>
          <w:szCs w:val="15"/>
          <w:color w:val="auto"/>
        </w:rPr>
      </w:pPr>
      <w:r>
        <w:rPr>
          <w:rFonts w:ascii="Arial" w:cs="Arial" w:eastAsia="Arial" w:hAnsi="Arial"/>
          <w:sz w:val="17"/>
          <w:szCs w:val="17"/>
          <w:color w:val="auto"/>
        </w:rPr>
        <w:t>(v) our condensed consolidated statements of changes in stockholder's equity for the three and nine months ended September 30, 2023 and 2022; and (vi) the notes to our condensed consolidated financial statements.</w:t>
      </w:r>
    </w:p>
    <w:p>
      <w:pPr>
        <w:spacing w:after="0" w:line="122" w:lineRule="exact"/>
        <w:rPr>
          <w:sz w:val="20"/>
          <w:szCs w:val="20"/>
          <w:color w:val="auto"/>
        </w:rPr>
      </w:pPr>
    </w:p>
    <w:p>
      <w:pPr>
        <w:ind w:left="1160" w:hanging="1139"/>
        <w:spacing w:after="0"/>
        <w:tabs>
          <w:tab w:leader="none" w:pos="11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Cover Page Interactive Data File, formatted in Inline XBRL and contained in Exhibit 101.</w:t>
      </w:r>
    </w:p>
    <w:p>
      <w:pPr>
        <w:spacing w:after="0" w:line="9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 Management contracts or compensatory plans/arrangements.</w:t>
      </w: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60"/>
          </w:cols>
          <w:pgMar w:left="320" w:top="122" w:right="9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firstLine="4"/>
        <w:spacing w:after="0" w:line="255" w:lineRule="auto"/>
        <w:tabs>
          <w:tab w:leader="none" w:pos="1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Certain schedules and/or exhibits have been omitted from this filing pursuant to Item 601(a)(5) of Regulation S-K. The registrant agrees to furnish supplementally a copy of any omitted schedule or exhibit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SIGNATURES</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6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NCR VOYIX CORPORATION</w:t>
      </w:r>
    </w:p>
    <w:p>
      <w:pPr>
        <w:spacing w:after="0" w:line="284" w:lineRule="exact"/>
        <w:rPr>
          <w:sz w:val="20"/>
          <w:szCs w:val="20"/>
          <w:color w:val="auto"/>
        </w:rPr>
      </w:pPr>
    </w:p>
    <w:p>
      <w:pPr>
        <w:ind w:left="260"/>
        <w:spacing w:after="0"/>
        <w:tabs>
          <w:tab w:leader="none" w:pos="5600" w:val="left"/>
          <w:tab w:leader="none" w:pos="8120" w:val="left"/>
        </w:tabs>
        <w:rPr>
          <w:sz w:val="20"/>
          <w:szCs w:val="20"/>
          <w:color w:val="auto"/>
        </w:rPr>
      </w:pPr>
      <w:r>
        <w:rPr>
          <w:rFonts w:ascii="Arial" w:cs="Arial" w:eastAsia="Arial" w:hAnsi="Arial"/>
          <w:sz w:val="17"/>
          <w:szCs w:val="17"/>
          <w:color w:val="auto"/>
        </w:rPr>
        <w:t>Date: November 14,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Kelly Moyer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15240</wp:posOffset>
            </wp:positionV>
            <wp:extent cx="33839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5"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Kelly Moyer</w:t>
      </w:r>
    </w:p>
    <w:p>
      <w:pPr>
        <w:ind w:left="7160"/>
        <w:spacing w:after="0" w:line="193" w:lineRule="auto"/>
        <w:rPr>
          <w:sz w:val="20"/>
          <w:szCs w:val="20"/>
          <w:color w:val="auto"/>
        </w:rPr>
      </w:pPr>
      <w:r>
        <w:rPr>
          <w:rFonts w:ascii="Arial" w:cs="Arial" w:eastAsia="Arial" w:hAnsi="Arial"/>
          <w:sz w:val="14"/>
          <w:szCs w:val="14"/>
          <w:b w:val="1"/>
          <w:bCs w:val="1"/>
          <w:color w:val="auto"/>
        </w:rPr>
        <w:t>Corporate Vice President, Chief Accounting Officer</w:t>
      </w:r>
    </w:p>
    <w:p>
      <w:pPr>
        <w:ind w:left="778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00"/>
          </w:cols>
          <w:pgMar w:left="320" w:top="122" w:right="779" w:bottom="1440" w:gutter="0" w:footer="0" w:header="0"/>
        </w:sectPr>
      </w:pPr>
    </w:p>
    <w:bookmarkStart w:id="75" w:name="page76"/>
    <w:bookmarkEnd w:id="75"/>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right="180"/>
        <w:spacing w:after="0" w:line="234" w:lineRule="auto"/>
        <w:rPr>
          <w:sz w:val="20"/>
          <w:szCs w:val="20"/>
          <w:color w:val="auto"/>
        </w:rPr>
      </w:pPr>
      <w:r>
        <w:rPr>
          <w:rFonts w:ascii="Arial" w:cs="Arial" w:eastAsia="Arial" w:hAnsi="Arial"/>
          <w:sz w:val="19"/>
          <w:szCs w:val="19"/>
          <w:color w:val="auto"/>
        </w:rPr>
        <w:t>SECOND SUPPLEMENTAL INDENTURE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September 14, 2023, among NCR Corporation (or its successor), a Maryland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”),NCR Atleos, LLC, a Delaware limited liability company and a subsidiary of the Company (the “</w:t>
      </w:r>
      <w:r>
        <w:rPr>
          <w:rFonts w:ascii="Arial" w:cs="Arial" w:eastAsia="Arial" w:hAnsi="Arial"/>
          <w:sz w:val="19"/>
          <w:szCs w:val="19"/>
          <w:u w:val="single" w:color="auto"/>
          <w:color w:val="auto"/>
        </w:rPr>
        <w:t>New Guarantor</w:t>
      </w:r>
      <w:r>
        <w:rPr>
          <w:rFonts w:ascii="Arial" w:cs="Arial" w:eastAsia="Arial" w:hAnsi="Arial"/>
          <w:sz w:val="19"/>
          <w:szCs w:val="19"/>
          <w:color w:val="auto"/>
        </w:rPr>
        <w:t>”), ATM National, LLC, a Delaware limited liability company (“</w:t>
      </w:r>
      <w:r>
        <w:rPr>
          <w:rFonts w:ascii="Arial" w:cs="Arial" w:eastAsia="Arial" w:hAnsi="Arial"/>
          <w:sz w:val="19"/>
          <w:szCs w:val="19"/>
          <w:u w:val="single" w:color="auto"/>
          <w:color w:val="auto"/>
        </w:rPr>
        <w:t>ATM National</w:t>
      </w:r>
      <w:r>
        <w:rPr>
          <w:rFonts w:ascii="Arial" w:cs="Arial" w:eastAsia="Arial" w:hAnsi="Arial"/>
          <w:sz w:val="19"/>
          <w:szCs w:val="19"/>
          <w:color w:val="auto"/>
        </w:rPr>
        <w:t>”), Cardtronics Holdings, LLC, a Delaware limited liability company (“</w:t>
      </w:r>
      <w:r>
        <w:rPr>
          <w:rFonts w:ascii="Arial" w:cs="Arial" w:eastAsia="Arial" w:hAnsi="Arial"/>
          <w:sz w:val="19"/>
          <w:szCs w:val="19"/>
          <w:u w:val="single" w:color="auto"/>
          <w:color w:val="auto"/>
        </w:rPr>
        <w:t>Cardtronics</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Holdings</w:t>
      </w:r>
      <w:r>
        <w:rPr>
          <w:rFonts w:ascii="Arial" w:cs="Arial" w:eastAsia="Arial" w:hAnsi="Arial"/>
          <w:sz w:val="19"/>
          <w:szCs w:val="19"/>
          <w:color w:val="auto"/>
        </w:rPr>
        <w:t>”), Cardtronics, Inc., a Delaware corporation (“</w:t>
      </w:r>
      <w:r>
        <w:rPr>
          <w:rFonts w:ascii="Arial" w:cs="Arial" w:eastAsia="Arial" w:hAnsi="Arial"/>
          <w:sz w:val="19"/>
          <w:szCs w:val="19"/>
          <w:u w:val="single" w:color="auto"/>
          <w:color w:val="auto"/>
        </w:rPr>
        <w:t>Cardtronics</w:t>
      </w:r>
      <w:r>
        <w:rPr>
          <w:rFonts w:ascii="Arial" w:cs="Arial" w:eastAsia="Arial" w:hAnsi="Arial"/>
          <w:sz w:val="19"/>
          <w:szCs w:val="19"/>
          <w:color w:val="auto"/>
        </w:rPr>
        <w:t>”), Cardtronics USA, Inc., a Delaware corporation (“</w:t>
      </w:r>
      <w:r>
        <w:rPr>
          <w:rFonts w:ascii="Arial" w:cs="Arial" w:eastAsia="Arial" w:hAnsi="Arial"/>
          <w:sz w:val="19"/>
          <w:szCs w:val="19"/>
          <w:u w:val="single" w:color="auto"/>
          <w:color w:val="auto"/>
        </w:rPr>
        <w:t>Cardtronics USA</w:t>
      </w:r>
      <w:r>
        <w:rPr>
          <w:rFonts w:ascii="Arial" w:cs="Arial" w:eastAsia="Arial" w:hAnsi="Arial"/>
          <w:sz w:val="19"/>
          <w:szCs w:val="19"/>
          <w:color w:val="auto"/>
        </w:rPr>
        <w:t>”), CATM Holdings LLC, a Delaware limited liability company (“</w:t>
      </w:r>
      <w:r>
        <w:rPr>
          <w:rFonts w:ascii="Arial" w:cs="Arial" w:eastAsia="Arial" w:hAnsi="Arial"/>
          <w:sz w:val="19"/>
          <w:szCs w:val="19"/>
          <w:u w:val="single" w:color="auto"/>
          <w:color w:val="auto"/>
        </w:rPr>
        <w:t>CATM Holdings</w:t>
      </w:r>
      <w:r>
        <w:rPr>
          <w:rFonts w:ascii="Arial" w:cs="Arial" w:eastAsia="Arial" w:hAnsi="Arial"/>
          <w:sz w:val="19"/>
          <w:szCs w:val="19"/>
          <w:color w:val="auto"/>
        </w:rPr>
        <w:t>”), NCR International, Inc., a Delaware corporation (collectively with ATM National, Cardtronics Holdings, Cardtronics, Cardtronics USA and CATM Holdings, the “</w:t>
      </w:r>
      <w:r>
        <w:rPr>
          <w:rFonts w:ascii="Arial" w:cs="Arial" w:eastAsia="Arial" w:hAnsi="Arial"/>
          <w:sz w:val="19"/>
          <w:szCs w:val="19"/>
          <w:u w:val="single" w:color="auto"/>
          <w:color w:val="auto"/>
        </w:rPr>
        <w:t>Existing Guarantors</w:t>
      </w:r>
      <w:r>
        <w:rPr>
          <w:rFonts w:ascii="Arial" w:cs="Arial" w:eastAsia="Arial" w:hAnsi="Arial"/>
          <w:sz w:val="19"/>
          <w:szCs w:val="19"/>
          <w:color w:val="auto"/>
        </w:rPr>
        <w:t>”), and COMPUTERSHARE TRUST COMPANY, N.A., as successor trustee to Wells Fargo Bank, National Association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 :</w:t>
      </w:r>
    </w:p>
    <w:p>
      <w:pPr>
        <w:spacing w:after="0" w:line="381" w:lineRule="exact"/>
        <w:rPr>
          <w:sz w:val="20"/>
          <w:szCs w:val="20"/>
          <w:color w:val="auto"/>
        </w:rPr>
      </w:pPr>
    </w:p>
    <w:p>
      <w:pPr>
        <w:ind w:right="20" w:firstLine="1245"/>
        <w:spacing w:after="0" w:line="220" w:lineRule="auto"/>
        <w:rPr>
          <w:sz w:val="20"/>
          <w:szCs w:val="20"/>
          <w:color w:val="auto"/>
        </w:rPr>
      </w:pPr>
      <w:r>
        <w:rPr>
          <w:rFonts w:ascii="Arial" w:cs="Arial" w:eastAsia="Arial" w:hAnsi="Arial"/>
          <w:sz w:val="21"/>
          <w:szCs w:val="21"/>
          <w:color w:val="auto"/>
        </w:rPr>
        <w:t>WHEREAS the Company and the Existing Guarantors have heretofore executed and delivered to the Trustee an Indenture (as supplemented by a Supplemental Indenture, dated as of October 14, 2021, and as otherwise amended, restated, or modified from time to time, the “</w:t>
      </w:r>
      <w:r>
        <w:rPr>
          <w:rFonts w:ascii="Arial" w:cs="Arial" w:eastAsia="Arial" w:hAnsi="Arial"/>
          <w:sz w:val="21"/>
          <w:szCs w:val="21"/>
          <w:u w:val="single" w:color="auto"/>
          <w:color w:val="auto"/>
        </w:rPr>
        <w:t>Indenture</w:t>
      </w:r>
      <w:r>
        <w:rPr>
          <w:rFonts w:ascii="Arial" w:cs="Arial" w:eastAsia="Arial" w:hAnsi="Arial"/>
          <w:sz w:val="21"/>
          <w:szCs w:val="21"/>
          <w:color w:val="auto"/>
        </w:rPr>
        <w:t>”) dated as of August 20, 2020, providing for the issuance of 5.000% Senior Notes due 2028 (the “</w:t>
      </w:r>
      <w:r>
        <w:rPr>
          <w:rFonts w:ascii="Arial" w:cs="Arial" w:eastAsia="Arial" w:hAnsi="Arial"/>
          <w:sz w:val="21"/>
          <w:szCs w:val="21"/>
          <w:u w:val="single" w:color="auto"/>
          <w:color w:val="auto"/>
        </w:rPr>
        <w:t>Securities</w:t>
      </w:r>
      <w:r>
        <w:rPr>
          <w:rFonts w:ascii="Arial" w:cs="Arial" w:eastAsia="Arial" w:hAnsi="Arial"/>
          <w:sz w:val="21"/>
          <w:szCs w:val="21"/>
          <w:color w:val="auto"/>
        </w:rPr>
        <w:t>”);</w:t>
      </w:r>
    </w:p>
    <w:p>
      <w:pPr>
        <w:spacing w:after="0" w:line="152" w:lineRule="exact"/>
        <w:rPr>
          <w:sz w:val="20"/>
          <w:szCs w:val="20"/>
          <w:color w:val="auto"/>
        </w:rPr>
      </w:pPr>
    </w:p>
    <w:p>
      <w:pPr>
        <w:ind w:right="220" w:firstLine="1245"/>
        <w:spacing w:after="0" w:line="220" w:lineRule="auto"/>
        <w:rPr>
          <w:sz w:val="20"/>
          <w:szCs w:val="20"/>
          <w:color w:val="auto"/>
        </w:rPr>
      </w:pPr>
      <w:r>
        <w:rPr>
          <w:rFonts w:ascii="Arial" w:cs="Arial" w:eastAsia="Arial" w:hAnsi="Arial"/>
          <w:sz w:val="21"/>
          <w:szCs w:val="21"/>
          <w:color w:val="auto"/>
        </w:rPr>
        <w:t>WHEREAS Section 4.11 of the Indenture provides that under certain circumstances the Company is required to cause the New Guarantor to execute and deliver to the Trustee a supplemental indenture pursuant to which the New Guarantor shall unconditionally guarantee all the Company’s obligations under the Securities pursuant to a Subsidiary Guarantee on the terms and conditions set forth herein; and</w:t>
      </w:r>
    </w:p>
    <w:p>
      <w:pPr>
        <w:spacing w:after="0" w:line="152" w:lineRule="exact"/>
        <w:rPr>
          <w:sz w:val="20"/>
          <w:szCs w:val="20"/>
          <w:color w:val="auto"/>
        </w:rPr>
      </w:pPr>
    </w:p>
    <w:p>
      <w:pPr>
        <w:ind w:right="620" w:firstLine="1245"/>
        <w:spacing w:after="0" w:line="234" w:lineRule="auto"/>
        <w:rPr>
          <w:sz w:val="20"/>
          <w:szCs w:val="20"/>
          <w:color w:val="auto"/>
        </w:rPr>
      </w:pPr>
      <w:r>
        <w:rPr>
          <w:rFonts w:ascii="Arial" w:cs="Arial" w:eastAsia="Arial" w:hAnsi="Arial"/>
          <w:sz w:val="21"/>
          <w:szCs w:val="21"/>
          <w:color w:val="auto"/>
        </w:rPr>
        <w:t>WHEREAS pursuant to Section 9.01 of the Indenture, the Trustee, the Company and the Existing Guarantors are authorized to execute and deliver this Supplemental Indenture;</w:t>
      </w:r>
    </w:p>
    <w:p>
      <w:pPr>
        <w:spacing w:after="0" w:line="151" w:lineRule="exact"/>
        <w:rPr>
          <w:sz w:val="20"/>
          <w:szCs w:val="20"/>
          <w:color w:val="auto"/>
        </w:rPr>
      </w:pPr>
    </w:p>
    <w:p>
      <w:pPr>
        <w:jc w:val="both"/>
        <w:ind w:right="360" w:firstLine="1245"/>
        <w:spacing w:after="0" w:line="225"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New Guarantor, the Company, the Existing Guarantors and the Trustee mutually covenant and agree for the equal and ratable benefit of the holders of the Securities as follows:</w:t>
      </w:r>
    </w:p>
    <w:p>
      <w:pPr>
        <w:spacing w:after="0" w:line="151" w:lineRule="exact"/>
        <w:rPr>
          <w:sz w:val="20"/>
          <w:szCs w:val="20"/>
          <w:color w:val="auto"/>
        </w:rPr>
      </w:pPr>
    </w:p>
    <w:p>
      <w:pPr>
        <w:ind w:right="20" w:firstLine="1248"/>
        <w:spacing w:after="0" w:line="253" w:lineRule="auto"/>
        <w:tabs>
          <w:tab w:leader="none" w:pos="1452"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xml:space="preserve"> The New Guarantor hereby agrees, jointly and severally with all the Existing Guarantors, to unconditionally guarantee the Company’s obligations under the Securities on the terms and subject to the conditions set forth in Article 10 of the Indenture and to be bound by all other applicable provisions of the Indenture and the Securities.</w:t>
      </w:r>
    </w:p>
    <w:p>
      <w:pPr>
        <w:spacing w:after="0" w:line="138" w:lineRule="exact"/>
        <w:rPr>
          <w:rFonts w:ascii="Arial" w:cs="Arial" w:eastAsia="Arial" w:hAnsi="Arial"/>
          <w:sz w:val="19"/>
          <w:szCs w:val="19"/>
          <w:color w:val="auto"/>
        </w:rPr>
      </w:pPr>
    </w:p>
    <w:p>
      <w:pPr>
        <w:ind w:right="360" w:firstLine="1248"/>
        <w:spacing w:after="0" w:line="220" w:lineRule="auto"/>
        <w:tabs>
          <w:tab w:leader="none" w:pos="1504"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Ratification of Indenture; Supplemental Indentures Part of Indenture.</w:t>
      </w:r>
      <w:r>
        <w:rPr>
          <w:rFonts w:ascii="Arial" w:cs="Arial" w:eastAsia="Arial" w:hAnsi="Arial"/>
          <w:sz w:val="21"/>
          <w:szCs w:val="21"/>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pacing w:after="0" w:line="145" w:lineRule="exact"/>
        <w:rPr>
          <w:rFonts w:ascii="Arial" w:cs="Arial" w:eastAsia="Arial" w:hAnsi="Arial"/>
          <w:sz w:val="21"/>
          <w:szCs w:val="21"/>
          <w:color w:val="auto"/>
        </w:rPr>
      </w:pPr>
    </w:p>
    <w:p>
      <w:pPr>
        <w:ind w:left="1460" w:hanging="212"/>
        <w:spacing w:after="0"/>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SUPPLEMENTAL INDENTURE SHALL BE GOVERNED BY, AND CONSTRUED IN</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b w:val="1"/>
          <w:bCs w:val="1"/>
          <w:color w:val="auto"/>
        </w:rPr>
        <w:t>ACCORDANCE WITH, THE LAWS OF THE STATE OF NEW YORK.</w:t>
      </w:r>
    </w:p>
    <w:p>
      <w:pPr>
        <w:sectPr>
          <w:pgSz w:w="11900" w:h="16838" w:orient="portrait"/>
          <w:cols w:equalWidth="0" w:num="1">
            <w:col w:w="11240"/>
          </w:cols>
          <w:pgMar w:left="320" w:top="100" w:right="339" w:bottom="1440" w:gutter="0" w:footer="0" w:header="0"/>
        </w:sectPr>
      </w:pPr>
    </w:p>
    <w:bookmarkStart w:id="76" w:name="page77"/>
    <w:bookmarkEnd w:id="76"/>
    <w:p>
      <w:pPr>
        <w:ind w:right="440" w:firstLine="1248"/>
        <w:spacing w:after="0" w:line="234" w:lineRule="auto"/>
        <w:tabs>
          <w:tab w:leader="none" w:pos="1452"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Trustee Makes No Representation.</w:t>
      </w:r>
      <w:r>
        <w:rPr>
          <w:rFonts w:ascii="Arial" w:cs="Arial" w:eastAsia="Arial" w:hAnsi="Arial"/>
          <w:sz w:val="21"/>
          <w:szCs w:val="21"/>
          <w:color w:val="auto"/>
        </w:rPr>
        <w:t xml:space="preserve"> The Trustee makes no representation as to the validity or sufficiency of this Supplemental Indenture.</w:t>
      </w:r>
    </w:p>
    <w:p>
      <w:pPr>
        <w:spacing w:after="0" w:line="151" w:lineRule="exact"/>
        <w:rPr>
          <w:rFonts w:ascii="Arial" w:cs="Arial" w:eastAsia="Arial" w:hAnsi="Arial"/>
          <w:sz w:val="21"/>
          <w:szCs w:val="21"/>
          <w:color w:val="auto"/>
        </w:rPr>
      </w:pPr>
    </w:p>
    <w:p>
      <w:pPr>
        <w:ind w:firstLine="1248"/>
        <w:spacing w:after="0" w:line="234" w:lineRule="auto"/>
        <w:tabs>
          <w:tab w:leader="none" w:pos="1452"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The parties may sign any number of copies of this Supplemental Indenture. Each signed copy shall be an original, but all of them together represent the same agreement.</w:t>
      </w:r>
    </w:p>
    <w:p>
      <w:pPr>
        <w:spacing w:after="0" w:line="151" w:lineRule="exact"/>
        <w:rPr>
          <w:rFonts w:ascii="Arial" w:cs="Arial" w:eastAsia="Arial" w:hAnsi="Arial"/>
          <w:sz w:val="21"/>
          <w:szCs w:val="21"/>
          <w:color w:val="auto"/>
        </w:rPr>
      </w:pPr>
    </w:p>
    <w:p>
      <w:pPr>
        <w:ind w:left="1460" w:hanging="212"/>
        <w:spacing w:after="0"/>
        <w:tabs>
          <w:tab w:leader="none" w:pos="146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xml:space="preserve"> The Section headings herein are for convenience only and shall not affect the construction</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80"/>
          </w:cols>
          <w:pgMar w:left="320" w:top="1350" w:right="499" w:bottom="1440" w:gutter="0" w:footer="0" w:header="0"/>
        </w:sectPr>
      </w:pPr>
    </w:p>
    <w:bookmarkStart w:id="77" w:name="page78"/>
    <w:bookmarkEnd w:id="77"/>
    <w:p>
      <w:pPr>
        <w:ind w:firstLine="1245"/>
        <w:spacing w:after="0" w:line="234"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as of the date first above written.</w:t>
      </w:r>
    </w:p>
    <w:p>
      <w:pPr>
        <w:spacing w:after="0" w:line="151"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NCR ATLEOS, LLC,</w:t>
      </w:r>
    </w:p>
    <w:p>
      <w:pPr>
        <w:spacing w:after="0" w:line="157" w:lineRule="exact"/>
        <w:rPr>
          <w:sz w:val="20"/>
          <w:szCs w:val="20"/>
          <w:color w:val="auto"/>
        </w:rPr>
      </w:pPr>
    </w:p>
    <w:p>
      <w:pPr>
        <w:ind w:left="3940"/>
        <w:spacing w:after="0"/>
        <w:rPr>
          <w:sz w:val="20"/>
          <w:szCs w:val="20"/>
          <w:color w:val="auto"/>
        </w:rPr>
      </w:pPr>
      <w:r>
        <w:rPr>
          <w:rFonts w:ascii="Arial" w:cs="Arial" w:eastAsia="Arial" w:hAnsi="Arial"/>
          <w:sz w:val="21"/>
          <w:szCs w:val="21"/>
          <w:color w:val="auto"/>
        </w:rPr>
        <w:t>by /s/ Timothy C. Oliver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-5715</wp:posOffset>
            </wp:positionV>
            <wp:extent cx="12611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4160"/>
        <w:spacing w:after="0" w:line="206" w:lineRule="auto"/>
        <w:rPr>
          <w:sz w:val="20"/>
          <w:szCs w:val="20"/>
          <w:color w:val="auto"/>
        </w:rPr>
      </w:pPr>
      <w:r>
        <w:rPr>
          <w:rFonts w:ascii="Arial" w:cs="Arial" w:eastAsia="Arial" w:hAnsi="Arial"/>
          <w:sz w:val="21"/>
          <w:szCs w:val="21"/>
          <w:color w:val="auto"/>
        </w:rPr>
        <w:t>Name: Timothy C. Oliver</w:t>
      </w:r>
    </w:p>
    <w:p>
      <w:pPr>
        <w:ind w:left="4160"/>
        <w:spacing w:after="0"/>
        <w:rPr>
          <w:sz w:val="20"/>
          <w:szCs w:val="20"/>
          <w:color w:val="auto"/>
        </w:rPr>
      </w:pPr>
      <w:r>
        <w:rPr>
          <w:rFonts w:ascii="Arial" w:cs="Arial" w:eastAsia="Arial" w:hAnsi="Arial"/>
          <w:sz w:val="21"/>
          <w:szCs w:val="21"/>
          <w:color w:val="auto"/>
        </w:rPr>
        <w:t>Title: President</w:t>
      </w:r>
    </w:p>
    <w:p>
      <w:pPr>
        <w:spacing w:after="0" w:line="363" w:lineRule="exact"/>
        <w:rPr>
          <w:sz w:val="20"/>
          <w:szCs w:val="20"/>
          <w:color w:val="auto"/>
        </w:rPr>
      </w:pPr>
    </w:p>
    <w:tbl>
      <w:tblPr>
        <w:tblLayout w:type="fixed"/>
        <w:tblInd w:w="3740" w:type="dxa"/>
        <w:tblCellMar>
          <w:top w:w="0" w:type="dxa"/>
          <w:left w:w="0" w:type="dxa"/>
          <w:bottom w:w="0" w:type="dxa"/>
          <w:right w:w="0" w:type="dxa"/>
        </w:tblCellMar>
      </w:tblPr>
      <w:tr>
        <w:trPr>
          <w:trHeight w:val="265"/>
        </w:trPr>
        <w:tc>
          <w:tcPr>
            <w:tcW w:w="4220" w:type="dxa"/>
            <w:vAlign w:val="bottom"/>
            <w:gridSpan w:val="6"/>
          </w:tcPr>
          <w:p>
            <w:pPr>
              <w:spacing w:after="0"/>
              <w:rPr>
                <w:sz w:val="20"/>
                <w:szCs w:val="20"/>
                <w:color w:val="auto"/>
              </w:rPr>
            </w:pPr>
            <w:r>
              <w:rPr>
                <w:rFonts w:ascii="Arial" w:cs="Arial" w:eastAsia="Arial" w:hAnsi="Arial"/>
                <w:sz w:val="21"/>
                <w:szCs w:val="21"/>
                <w:color w:val="auto"/>
              </w:rPr>
              <w:t>NCR CORPORATION,</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/s/Timothy C. Oliver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760" w:type="dxa"/>
            <w:vAlign w:val="bottom"/>
            <w:gridSpan w:val="5"/>
          </w:tcPr>
          <w:p>
            <w:pPr>
              <w:spacing w:after="0" w:line="179" w:lineRule="exact"/>
              <w:rPr>
                <w:sz w:val="20"/>
                <w:szCs w:val="20"/>
                <w:color w:val="auto"/>
              </w:rPr>
            </w:pPr>
            <w:r>
              <w:rPr>
                <w:rFonts w:ascii="Arial" w:cs="Arial" w:eastAsia="Arial" w:hAnsi="Arial"/>
                <w:sz w:val="20"/>
                <w:szCs w:val="20"/>
                <w:color w:val="auto"/>
              </w:rPr>
              <w:t>Name: Timothy C. Oliver</w:t>
            </w:r>
          </w:p>
        </w:tc>
        <w:tc>
          <w:tcPr>
            <w:tcW w:w="1780" w:type="dxa"/>
            <w:vAlign w:val="bottom"/>
            <w:vMerge w:val="restart"/>
          </w:tcPr>
          <w:p>
            <w:pPr>
              <w:ind w:left="360"/>
              <w:spacing w:after="0"/>
              <w:rPr>
                <w:sz w:val="20"/>
                <w:szCs w:val="20"/>
                <w:color w:val="auto"/>
              </w:rPr>
            </w:pPr>
            <w:r>
              <w:rPr>
                <w:rFonts w:ascii="Arial" w:cs="Arial" w:eastAsia="Arial" w:hAnsi="Arial"/>
                <w:sz w:val="21"/>
                <w:szCs w:val="21"/>
                <w:color w:val="auto"/>
                <w:w w:val="92"/>
              </w:rPr>
              <w:t>Financial Officer</w:t>
            </w: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w w:val="99"/>
              </w:rPr>
              <w:t>Title: Executive Vice President and Chief</w:t>
            </w:r>
          </w:p>
        </w:tc>
        <w:tc>
          <w:tcPr>
            <w:tcW w:w="1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ATM NATIONAL,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USA,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CATM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[Signature Page to Supplemental Indenture]</w:t>
      </w:r>
    </w:p>
    <w:p>
      <w:pPr>
        <w:sectPr>
          <w:pgSz w:w="11900" w:h="16838" w:orient="portrait"/>
          <w:cols w:equalWidth="0" w:num="1">
            <w:col w:w="10860"/>
          </w:cols>
          <w:pgMar w:left="320" w:top="1350" w:right="719" w:bottom="1440" w:gutter="0" w:footer="0" w:header="0"/>
        </w:sectPr>
      </w:pPr>
    </w:p>
    <w:bookmarkStart w:id="78" w:name="page79"/>
    <w:bookmarkEnd w:id="78"/>
    <w:p>
      <w:pPr>
        <w:jc w:val="center"/>
        <w:ind w:right="1079"/>
        <w:spacing w:after="0"/>
        <w:rPr>
          <w:sz w:val="20"/>
          <w:szCs w:val="20"/>
          <w:color w:val="auto"/>
        </w:rPr>
      </w:pPr>
      <w:r>
        <w:rPr>
          <w:rFonts w:ascii="Arial" w:cs="Arial" w:eastAsia="Arial" w:hAnsi="Arial"/>
          <w:sz w:val="20"/>
          <w:szCs w:val="20"/>
          <w:color w:val="auto"/>
        </w:rPr>
        <w:t>NCR INTERNATIONAL, INC.,</w:t>
      </w:r>
    </w:p>
    <w:p>
      <w:pPr>
        <w:spacing w:after="0" w:line="169"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/s/Vladimir Samoylenko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1423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Vladimir Samoylenko</w:t>
      </w:r>
    </w:p>
    <w:p>
      <w:pPr>
        <w:ind w:left="3040"/>
        <w:spacing w:after="0"/>
        <w:rPr>
          <w:sz w:val="20"/>
          <w:szCs w:val="20"/>
          <w:color w:val="auto"/>
        </w:rPr>
      </w:pPr>
      <w:r>
        <w:rPr>
          <w:rFonts w:ascii="Arial" w:cs="Arial" w:eastAsia="Arial" w:hAnsi="Arial"/>
          <w:sz w:val="21"/>
          <w:szCs w:val="21"/>
          <w:color w:val="auto"/>
        </w:rPr>
        <w:t>Title: Secretary</w:t>
      </w:r>
    </w:p>
    <w:p>
      <w:pPr>
        <w:spacing w:after="0" w:line="363"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COMPUTERSHARE TRUST COMPANY, N.A., as Trustee,</w:t>
      </w:r>
    </w:p>
    <w:p>
      <w:pPr>
        <w:spacing w:after="0" w:line="180"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 Scott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8782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Scott Little</w:t>
      </w:r>
    </w:p>
    <w:p>
      <w:pPr>
        <w:ind w:left="30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Supplemental Indenture]</w:t>
      </w:r>
    </w:p>
    <w:p>
      <w:pPr>
        <w:sectPr>
          <w:pgSz w:w="11900" w:h="16838" w:orient="portrait"/>
          <w:cols w:equalWidth="0" w:num="1">
            <w:col w:w="9019"/>
          </w:cols>
          <w:pgMar w:left="1440" w:top="1350"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right="60"/>
        <w:spacing w:after="0" w:line="222" w:lineRule="auto"/>
        <w:rPr>
          <w:sz w:val="20"/>
          <w:szCs w:val="20"/>
          <w:color w:val="auto"/>
        </w:rPr>
      </w:pPr>
      <w:r>
        <w:rPr>
          <w:rFonts w:ascii="Arial" w:cs="Arial" w:eastAsia="Arial" w:hAnsi="Arial"/>
          <w:sz w:val="20"/>
          <w:szCs w:val="20"/>
          <w:color w:val="auto"/>
        </w:rPr>
        <w:t>SECOND SUPPLEMENTAL INDENTURE (this “</w:t>
      </w:r>
      <w:r>
        <w:rPr>
          <w:rFonts w:ascii="Arial" w:cs="Arial" w:eastAsia="Arial" w:hAnsi="Arial"/>
          <w:sz w:val="20"/>
          <w:szCs w:val="20"/>
          <w:u w:val="single" w:color="auto"/>
          <w:color w:val="auto"/>
        </w:rPr>
        <w:t>Supplemental Indenture</w:t>
      </w:r>
      <w:r>
        <w:rPr>
          <w:rFonts w:ascii="Arial" w:cs="Arial" w:eastAsia="Arial" w:hAnsi="Arial"/>
          <w:sz w:val="20"/>
          <w:szCs w:val="20"/>
          <w:color w:val="auto"/>
        </w:rPr>
        <w:t>”) dated as of September 14, 2023, among NCR Corporation (or its successor), a Maryland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”),NCR Atleos, LLC, a Delaware limited liability company and a subsidiary of the Company (the “</w:t>
      </w:r>
      <w:r>
        <w:rPr>
          <w:rFonts w:ascii="Arial" w:cs="Arial" w:eastAsia="Arial" w:hAnsi="Arial"/>
          <w:sz w:val="20"/>
          <w:szCs w:val="20"/>
          <w:u w:val="single" w:color="auto"/>
          <w:color w:val="auto"/>
        </w:rPr>
        <w:t>New Guarantor</w:t>
      </w:r>
      <w:r>
        <w:rPr>
          <w:rFonts w:ascii="Arial" w:cs="Arial" w:eastAsia="Arial" w:hAnsi="Arial"/>
          <w:sz w:val="20"/>
          <w:szCs w:val="20"/>
          <w:color w:val="auto"/>
        </w:rPr>
        <w:t>”), ATM National, LLC, a Delaware limited liability company (“</w:t>
      </w:r>
      <w:r>
        <w:rPr>
          <w:rFonts w:ascii="Arial" w:cs="Arial" w:eastAsia="Arial" w:hAnsi="Arial"/>
          <w:sz w:val="20"/>
          <w:szCs w:val="20"/>
          <w:u w:val="single" w:color="auto"/>
          <w:color w:val="auto"/>
        </w:rPr>
        <w:t>ATM National</w:t>
      </w:r>
      <w:r>
        <w:rPr>
          <w:rFonts w:ascii="Arial" w:cs="Arial" w:eastAsia="Arial" w:hAnsi="Arial"/>
          <w:sz w:val="20"/>
          <w:szCs w:val="20"/>
          <w:color w:val="auto"/>
        </w:rPr>
        <w:t>”), Cardtronics Holdings, LLC, a Delaware limited liability company (“</w:t>
      </w:r>
      <w:r>
        <w:rPr>
          <w:rFonts w:ascii="Arial" w:cs="Arial" w:eastAsia="Arial" w:hAnsi="Arial"/>
          <w:sz w:val="20"/>
          <w:szCs w:val="20"/>
          <w:u w:val="single" w:color="auto"/>
          <w:color w:val="auto"/>
        </w:rPr>
        <w:t>Cardtronics</w:t>
      </w:r>
      <w:r>
        <w:rPr>
          <w:rFonts w:ascii="Arial" w:cs="Arial" w:eastAsia="Arial" w:hAnsi="Arial"/>
          <w:sz w:val="20"/>
          <w:szCs w:val="20"/>
          <w:color w:val="auto"/>
        </w:rPr>
        <w:t xml:space="preserve"> </w:t>
      </w:r>
      <w:r>
        <w:rPr>
          <w:rFonts w:ascii="Arial" w:cs="Arial" w:eastAsia="Arial" w:hAnsi="Arial"/>
          <w:sz w:val="20"/>
          <w:szCs w:val="20"/>
          <w:u w:val="single" w:color="auto"/>
          <w:color w:val="auto"/>
        </w:rPr>
        <w:t>Holdings</w:t>
      </w:r>
      <w:r>
        <w:rPr>
          <w:rFonts w:ascii="Arial" w:cs="Arial" w:eastAsia="Arial" w:hAnsi="Arial"/>
          <w:sz w:val="20"/>
          <w:szCs w:val="20"/>
          <w:color w:val="auto"/>
        </w:rPr>
        <w:t>”), Cardtronics, Inc., a Delaware corporation (“</w:t>
      </w:r>
      <w:r>
        <w:rPr>
          <w:rFonts w:ascii="Arial" w:cs="Arial" w:eastAsia="Arial" w:hAnsi="Arial"/>
          <w:sz w:val="20"/>
          <w:szCs w:val="20"/>
          <w:u w:val="single" w:color="auto"/>
          <w:color w:val="auto"/>
        </w:rPr>
        <w:t>Cardtronics</w:t>
      </w:r>
      <w:r>
        <w:rPr>
          <w:rFonts w:ascii="Arial" w:cs="Arial" w:eastAsia="Arial" w:hAnsi="Arial"/>
          <w:sz w:val="20"/>
          <w:szCs w:val="20"/>
          <w:color w:val="auto"/>
        </w:rPr>
        <w:t>”), Cardtronics USA, Inc., a Delaware corporation (“</w:t>
      </w:r>
      <w:r>
        <w:rPr>
          <w:rFonts w:ascii="Arial" w:cs="Arial" w:eastAsia="Arial" w:hAnsi="Arial"/>
          <w:sz w:val="20"/>
          <w:szCs w:val="20"/>
          <w:u w:val="single" w:color="auto"/>
          <w:color w:val="auto"/>
        </w:rPr>
        <w:t>Cardtronics USA</w:t>
      </w:r>
      <w:r>
        <w:rPr>
          <w:rFonts w:ascii="Arial" w:cs="Arial" w:eastAsia="Arial" w:hAnsi="Arial"/>
          <w:sz w:val="20"/>
          <w:szCs w:val="20"/>
          <w:color w:val="auto"/>
        </w:rPr>
        <w:t>”), CATM Holdings LLC, a Delaware limited liability company (“</w:t>
      </w:r>
      <w:r>
        <w:rPr>
          <w:rFonts w:ascii="Arial" w:cs="Arial" w:eastAsia="Arial" w:hAnsi="Arial"/>
          <w:sz w:val="20"/>
          <w:szCs w:val="20"/>
          <w:u w:val="single" w:color="auto"/>
          <w:color w:val="auto"/>
        </w:rPr>
        <w:t>CATM Holdings</w:t>
      </w:r>
      <w:r>
        <w:rPr>
          <w:rFonts w:ascii="Arial" w:cs="Arial" w:eastAsia="Arial" w:hAnsi="Arial"/>
          <w:sz w:val="20"/>
          <w:szCs w:val="20"/>
          <w:color w:val="auto"/>
        </w:rPr>
        <w:t>”), NCR International, Inc., a Delaware corporation (collectively with ATM National, Cardtronics Holdings, Cardtronics, Cardtronics USA and CATM Holdings, the “</w:t>
      </w:r>
      <w:r>
        <w:rPr>
          <w:rFonts w:ascii="Arial" w:cs="Arial" w:eastAsia="Arial" w:hAnsi="Arial"/>
          <w:sz w:val="20"/>
          <w:szCs w:val="20"/>
          <w:u w:val="single" w:color="auto"/>
          <w:color w:val="auto"/>
        </w:rPr>
        <w:t>Existing Guarantors</w:t>
      </w:r>
      <w:r>
        <w:rPr>
          <w:rFonts w:ascii="Arial" w:cs="Arial" w:eastAsia="Arial" w:hAnsi="Arial"/>
          <w:sz w:val="20"/>
          <w:szCs w:val="20"/>
          <w:color w:val="auto"/>
        </w:rPr>
        <w:t>”), and U.S. BANK TRUST COMPANY, NATIONAL ASSOCIATION, as successor in interest to U.S. Bank National Association, a national banking association, as trustee under the indenture referred to below (the “</w:t>
      </w:r>
      <w:r>
        <w:rPr>
          <w:rFonts w:ascii="Arial" w:cs="Arial" w:eastAsia="Arial" w:hAnsi="Arial"/>
          <w:sz w:val="20"/>
          <w:szCs w:val="20"/>
          <w:u w:val="single" w:color="auto"/>
          <w:color w:val="auto"/>
        </w:rPr>
        <w:t>Trustee</w:t>
      </w:r>
      <w:r>
        <w:rPr>
          <w:rFonts w:ascii="Arial" w:cs="Arial" w:eastAsia="Arial" w:hAnsi="Arial"/>
          <w:sz w:val="20"/>
          <w:szCs w:val="20"/>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 :</w:t>
      </w:r>
    </w:p>
    <w:p>
      <w:pPr>
        <w:spacing w:after="0" w:line="381" w:lineRule="exact"/>
        <w:rPr>
          <w:sz w:val="20"/>
          <w:szCs w:val="20"/>
          <w:color w:val="auto"/>
        </w:rPr>
      </w:pPr>
    </w:p>
    <w:p>
      <w:pPr>
        <w:ind w:right="280" w:firstLine="1245"/>
        <w:spacing w:after="0" w:line="220" w:lineRule="auto"/>
        <w:rPr>
          <w:sz w:val="20"/>
          <w:szCs w:val="20"/>
          <w:color w:val="auto"/>
        </w:rPr>
      </w:pPr>
      <w:r>
        <w:rPr>
          <w:rFonts w:ascii="Arial" w:cs="Arial" w:eastAsia="Arial" w:hAnsi="Arial"/>
          <w:sz w:val="21"/>
          <w:szCs w:val="21"/>
          <w:color w:val="auto"/>
        </w:rPr>
        <w:t>WHEREAS the Company and the Existing Guarantors have heretofore executed and delivered to the Trustee an Indenture (as supplemented by a Supplemental Indenture, dated as of October 14, 2021, and as otherwise amended, restated, or modified from time to time, the “</w:t>
      </w:r>
      <w:r>
        <w:rPr>
          <w:rFonts w:ascii="Arial" w:cs="Arial" w:eastAsia="Arial" w:hAnsi="Arial"/>
          <w:sz w:val="21"/>
          <w:szCs w:val="21"/>
          <w:u w:val="single" w:color="auto"/>
          <w:color w:val="auto"/>
        </w:rPr>
        <w:t>Indenture</w:t>
      </w:r>
      <w:r>
        <w:rPr>
          <w:rFonts w:ascii="Arial" w:cs="Arial" w:eastAsia="Arial" w:hAnsi="Arial"/>
          <w:sz w:val="21"/>
          <w:szCs w:val="21"/>
          <w:color w:val="auto"/>
        </w:rPr>
        <w:t>”) dated as of April 6, 2021, providing for the issuance of 5.125% Senior Notes due 2029 (the “</w:t>
      </w:r>
      <w:r>
        <w:rPr>
          <w:rFonts w:ascii="Arial" w:cs="Arial" w:eastAsia="Arial" w:hAnsi="Arial"/>
          <w:sz w:val="21"/>
          <w:szCs w:val="21"/>
          <w:u w:val="single" w:color="auto"/>
          <w:color w:val="auto"/>
        </w:rPr>
        <w:t>Securities</w:t>
      </w:r>
      <w:r>
        <w:rPr>
          <w:rFonts w:ascii="Arial" w:cs="Arial" w:eastAsia="Arial" w:hAnsi="Arial"/>
          <w:sz w:val="21"/>
          <w:szCs w:val="21"/>
          <w:color w:val="auto"/>
        </w:rPr>
        <w:t>”);</w:t>
      </w:r>
    </w:p>
    <w:p>
      <w:pPr>
        <w:spacing w:after="0" w:line="152" w:lineRule="exact"/>
        <w:rPr>
          <w:sz w:val="20"/>
          <w:szCs w:val="20"/>
          <w:color w:val="auto"/>
        </w:rPr>
      </w:pPr>
    </w:p>
    <w:p>
      <w:pPr>
        <w:ind w:right="220" w:firstLine="1245"/>
        <w:spacing w:after="0" w:line="220" w:lineRule="auto"/>
        <w:rPr>
          <w:sz w:val="20"/>
          <w:szCs w:val="20"/>
          <w:color w:val="auto"/>
        </w:rPr>
      </w:pPr>
      <w:r>
        <w:rPr>
          <w:rFonts w:ascii="Arial" w:cs="Arial" w:eastAsia="Arial" w:hAnsi="Arial"/>
          <w:sz w:val="21"/>
          <w:szCs w:val="21"/>
          <w:color w:val="auto"/>
        </w:rPr>
        <w:t>WHEREAS Section 4.11 of the Indenture provides that under certain circumstances the Company is required to cause the New Guarantor to execute and deliver to the Trustee a supplemental indenture pursuant to which the New Guarantor shall unconditionally guarantee all the Company’s obligations under the Securities pursuant to a Subsidiary Guarantee on the terms and conditions set forth herein; and</w:t>
      </w:r>
    </w:p>
    <w:p>
      <w:pPr>
        <w:spacing w:after="0" w:line="152" w:lineRule="exact"/>
        <w:rPr>
          <w:sz w:val="20"/>
          <w:szCs w:val="20"/>
          <w:color w:val="auto"/>
        </w:rPr>
      </w:pPr>
    </w:p>
    <w:p>
      <w:pPr>
        <w:ind w:right="620" w:firstLine="1245"/>
        <w:spacing w:after="0" w:line="234" w:lineRule="auto"/>
        <w:rPr>
          <w:sz w:val="20"/>
          <w:szCs w:val="20"/>
          <w:color w:val="auto"/>
        </w:rPr>
      </w:pPr>
      <w:r>
        <w:rPr>
          <w:rFonts w:ascii="Arial" w:cs="Arial" w:eastAsia="Arial" w:hAnsi="Arial"/>
          <w:sz w:val="21"/>
          <w:szCs w:val="21"/>
          <w:color w:val="auto"/>
        </w:rPr>
        <w:t>WHEREAS pursuant to Section 9.01 of the Indenture, the Trustee, the Company and the Existing Guarantors are authorized to execute and deliver this Supplemental Indenture;</w:t>
      </w:r>
    </w:p>
    <w:p>
      <w:pPr>
        <w:spacing w:after="0" w:line="151" w:lineRule="exact"/>
        <w:rPr>
          <w:sz w:val="20"/>
          <w:szCs w:val="20"/>
          <w:color w:val="auto"/>
        </w:rPr>
      </w:pPr>
    </w:p>
    <w:p>
      <w:pPr>
        <w:jc w:val="both"/>
        <w:ind w:right="360" w:firstLine="1245"/>
        <w:spacing w:after="0" w:line="225"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New Guarantor, the Company, the Existing Guarantors and the Trustee mutually covenant and agree for the equal and ratable benefit of the holders of the Securities as follows:</w:t>
      </w:r>
    </w:p>
    <w:p>
      <w:pPr>
        <w:spacing w:after="0" w:line="151" w:lineRule="exact"/>
        <w:rPr>
          <w:sz w:val="20"/>
          <w:szCs w:val="20"/>
          <w:color w:val="auto"/>
        </w:rPr>
      </w:pPr>
    </w:p>
    <w:p>
      <w:pPr>
        <w:ind w:right="20" w:firstLine="1248"/>
        <w:spacing w:after="0" w:line="253" w:lineRule="auto"/>
        <w:tabs>
          <w:tab w:leader="none" w:pos="1452"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xml:space="preserve"> The New Guarantor hereby agrees, jointly and severally with all the Existing Guarantors, to unconditionally guarantee the Company’s obligations under the Securities on the terms and subject to the conditions set forth in Article 10 of the Indenture and to be bound by all other applicable provisions of the Indenture and the Securities.</w:t>
      </w:r>
    </w:p>
    <w:p>
      <w:pPr>
        <w:spacing w:after="0" w:line="138" w:lineRule="exact"/>
        <w:rPr>
          <w:rFonts w:ascii="Arial" w:cs="Arial" w:eastAsia="Arial" w:hAnsi="Arial"/>
          <w:sz w:val="19"/>
          <w:szCs w:val="19"/>
          <w:color w:val="auto"/>
        </w:rPr>
      </w:pPr>
    </w:p>
    <w:p>
      <w:pPr>
        <w:ind w:right="360" w:firstLine="1248"/>
        <w:spacing w:after="0" w:line="220" w:lineRule="auto"/>
        <w:tabs>
          <w:tab w:leader="none" w:pos="1504"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Ratification of Indenture; Supplemental Indentures Part of Indenture.</w:t>
      </w:r>
      <w:r>
        <w:rPr>
          <w:rFonts w:ascii="Arial" w:cs="Arial" w:eastAsia="Arial" w:hAnsi="Arial"/>
          <w:sz w:val="21"/>
          <w:szCs w:val="21"/>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ectPr>
          <w:pgSz w:w="11900" w:h="16838" w:orient="portrait"/>
          <w:cols w:equalWidth="0" w:num="1">
            <w:col w:w="11240"/>
          </w:cols>
          <w:pgMar w:left="320" w:top="100" w:right="339" w:bottom="1440" w:gutter="0" w:footer="0" w:header="0"/>
        </w:sectPr>
      </w:pPr>
    </w:p>
    <w:bookmarkStart w:id="80" w:name="page81"/>
    <w:bookmarkEnd w:id="80"/>
    <w:p>
      <w:pPr>
        <w:ind w:left="1460" w:hanging="212"/>
        <w:spacing w:after="0"/>
        <w:tabs>
          <w:tab w:leader="none" w:pos="14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SUPPLEMENTAL INDENTURE SHALL BE GOVERNED BY, AND CONSTRUED IN</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b w:val="1"/>
          <w:bCs w:val="1"/>
          <w:color w:val="auto"/>
        </w:rPr>
        <w:t>ACCORDANCE WITH, THE LAWS OF THE STATE OF NEW YORK.</w:t>
      </w:r>
    </w:p>
    <w:p>
      <w:pPr>
        <w:spacing w:after="0" w:line="155" w:lineRule="exact"/>
        <w:rPr>
          <w:rFonts w:ascii="Arial" w:cs="Arial" w:eastAsia="Arial" w:hAnsi="Arial"/>
          <w:sz w:val="20"/>
          <w:szCs w:val="20"/>
          <w:color w:val="auto"/>
        </w:rPr>
      </w:pPr>
    </w:p>
    <w:p>
      <w:pPr>
        <w:ind w:right="600" w:firstLine="1248"/>
        <w:spacing w:after="0" w:line="234" w:lineRule="auto"/>
        <w:tabs>
          <w:tab w:leader="none" w:pos="1452"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Trustee Makes No Representation.</w:t>
      </w:r>
      <w:r>
        <w:rPr>
          <w:rFonts w:ascii="Arial" w:cs="Arial" w:eastAsia="Arial" w:hAnsi="Arial"/>
          <w:sz w:val="21"/>
          <w:szCs w:val="21"/>
          <w:color w:val="auto"/>
        </w:rPr>
        <w:t xml:space="preserve"> The Trustee makes no representation as to the validity or sufficiency of this Supplemental Indenture.</w:t>
      </w:r>
    </w:p>
    <w:p>
      <w:pPr>
        <w:spacing w:after="0" w:line="151" w:lineRule="exact"/>
        <w:rPr>
          <w:rFonts w:ascii="Arial" w:cs="Arial" w:eastAsia="Arial" w:hAnsi="Arial"/>
          <w:sz w:val="21"/>
          <w:szCs w:val="21"/>
          <w:color w:val="auto"/>
        </w:rPr>
      </w:pPr>
    </w:p>
    <w:p>
      <w:pPr>
        <w:ind w:right="160" w:firstLine="1248"/>
        <w:spacing w:after="0" w:line="234" w:lineRule="auto"/>
        <w:tabs>
          <w:tab w:leader="none" w:pos="1452"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The parties may sign any number of copies of this Supplemental Indenture. Each signed copy shall be an original, but all of them together represent the same agreement.</w:t>
      </w:r>
    </w:p>
    <w:p>
      <w:pPr>
        <w:spacing w:after="0" w:line="146" w:lineRule="exact"/>
        <w:rPr>
          <w:rFonts w:ascii="Arial" w:cs="Arial" w:eastAsia="Arial" w:hAnsi="Arial"/>
          <w:sz w:val="21"/>
          <w:szCs w:val="21"/>
          <w:color w:val="auto"/>
        </w:rPr>
      </w:pPr>
    </w:p>
    <w:p>
      <w:pPr>
        <w:ind w:left="1460" w:hanging="212"/>
        <w:spacing w:after="0"/>
        <w:tabs>
          <w:tab w:leader="none" w:pos="14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Effect of Headings.</w:t>
      </w:r>
      <w:r>
        <w:rPr>
          <w:rFonts w:ascii="Arial" w:cs="Arial" w:eastAsia="Arial" w:hAnsi="Arial"/>
          <w:sz w:val="20"/>
          <w:szCs w:val="20"/>
          <w:color w:val="auto"/>
        </w:rPr>
        <w:t xml:space="preserve"> The Section headings herein are for convenience only and shall not affect the construction</w:t>
      </w:r>
    </w:p>
    <w:p>
      <w:pPr>
        <w:spacing w:after="0"/>
        <w:rPr>
          <w:rFonts w:ascii="Arial" w:cs="Arial" w:eastAsia="Arial" w:hAnsi="Arial"/>
          <w:sz w:val="20"/>
          <w:szCs w:val="20"/>
          <w:color w:val="auto"/>
        </w:rPr>
      </w:pPr>
      <w:r>
        <w:rPr>
          <w:rFonts w:ascii="Arial" w:cs="Arial" w:eastAsia="Arial" w:hAnsi="Arial"/>
          <w:sz w:val="21"/>
          <w:szCs w:val="21"/>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44" w:right="339" w:bottom="1440" w:gutter="0" w:footer="0" w:header="0"/>
        </w:sectPr>
      </w:pPr>
    </w:p>
    <w:bookmarkStart w:id="81" w:name="page82"/>
    <w:bookmarkEnd w:id="81"/>
    <w:p>
      <w:pPr>
        <w:ind w:firstLine="1245"/>
        <w:spacing w:after="0" w:line="234"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as of the date first above written.</w:t>
      </w:r>
    </w:p>
    <w:p>
      <w:pPr>
        <w:spacing w:after="0" w:line="151"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NCR ATLEOS, LLC,</w:t>
      </w:r>
    </w:p>
    <w:p>
      <w:pPr>
        <w:spacing w:after="0" w:line="157" w:lineRule="exact"/>
        <w:rPr>
          <w:sz w:val="20"/>
          <w:szCs w:val="20"/>
          <w:color w:val="auto"/>
        </w:rPr>
      </w:pPr>
    </w:p>
    <w:p>
      <w:pPr>
        <w:ind w:left="3940"/>
        <w:spacing w:after="0"/>
        <w:rPr>
          <w:sz w:val="20"/>
          <w:szCs w:val="20"/>
          <w:color w:val="auto"/>
        </w:rPr>
      </w:pPr>
      <w:r>
        <w:rPr>
          <w:rFonts w:ascii="Arial" w:cs="Arial" w:eastAsia="Arial" w:hAnsi="Arial"/>
          <w:sz w:val="21"/>
          <w:szCs w:val="21"/>
          <w:color w:val="auto"/>
        </w:rPr>
        <w:t>by /s/ Timothy C. Oliver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-5715</wp:posOffset>
            </wp:positionV>
            <wp:extent cx="12611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4160"/>
        <w:spacing w:after="0" w:line="206" w:lineRule="auto"/>
        <w:rPr>
          <w:sz w:val="20"/>
          <w:szCs w:val="20"/>
          <w:color w:val="auto"/>
        </w:rPr>
      </w:pPr>
      <w:r>
        <w:rPr>
          <w:rFonts w:ascii="Arial" w:cs="Arial" w:eastAsia="Arial" w:hAnsi="Arial"/>
          <w:sz w:val="21"/>
          <w:szCs w:val="21"/>
          <w:color w:val="auto"/>
        </w:rPr>
        <w:t>Name: Timothy C. Oliver</w:t>
      </w:r>
    </w:p>
    <w:p>
      <w:pPr>
        <w:ind w:left="4160"/>
        <w:spacing w:after="0"/>
        <w:rPr>
          <w:sz w:val="20"/>
          <w:szCs w:val="20"/>
          <w:color w:val="auto"/>
        </w:rPr>
      </w:pPr>
      <w:r>
        <w:rPr>
          <w:rFonts w:ascii="Arial" w:cs="Arial" w:eastAsia="Arial" w:hAnsi="Arial"/>
          <w:sz w:val="21"/>
          <w:szCs w:val="21"/>
          <w:color w:val="auto"/>
        </w:rPr>
        <w:t>Title: President</w:t>
      </w:r>
    </w:p>
    <w:p>
      <w:pPr>
        <w:spacing w:after="0" w:line="363" w:lineRule="exact"/>
        <w:rPr>
          <w:sz w:val="20"/>
          <w:szCs w:val="20"/>
          <w:color w:val="auto"/>
        </w:rPr>
      </w:pPr>
    </w:p>
    <w:tbl>
      <w:tblPr>
        <w:tblLayout w:type="fixed"/>
        <w:tblInd w:w="3740" w:type="dxa"/>
        <w:tblCellMar>
          <w:top w:w="0" w:type="dxa"/>
          <w:left w:w="0" w:type="dxa"/>
          <w:bottom w:w="0" w:type="dxa"/>
          <w:right w:w="0" w:type="dxa"/>
        </w:tblCellMar>
      </w:tblPr>
      <w:tr>
        <w:trPr>
          <w:trHeight w:val="265"/>
        </w:trPr>
        <w:tc>
          <w:tcPr>
            <w:tcW w:w="4220" w:type="dxa"/>
            <w:vAlign w:val="bottom"/>
            <w:gridSpan w:val="6"/>
          </w:tcPr>
          <w:p>
            <w:pPr>
              <w:spacing w:after="0"/>
              <w:rPr>
                <w:sz w:val="20"/>
                <w:szCs w:val="20"/>
                <w:color w:val="auto"/>
              </w:rPr>
            </w:pPr>
            <w:r>
              <w:rPr>
                <w:rFonts w:ascii="Arial" w:cs="Arial" w:eastAsia="Arial" w:hAnsi="Arial"/>
                <w:sz w:val="21"/>
                <w:szCs w:val="21"/>
                <w:color w:val="auto"/>
              </w:rPr>
              <w:t>NCR CORPORATION,</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/s/Timothy C. Oliver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760" w:type="dxa"/>
            <w:vAlign w:val="bottom"/>
            <w:gridSpan w:val="5"/>
          </w:tcPr>
          <w:p>
            <w:pPr>
              <w:spacing w:after="0" w:line="179" w:lineRule="exact"/>
              <w:rPr>
                <w:sz w:val="20"/>
                <w:szCs w:val="20"/>
                <w:color w:val="auto"/>
              </w:rPr>
            </w:pPr>
            <w:r>
              <w:rPr>
                <w:rFonts w:ascii="Arial" w:cs="Arial" w:eastAsia="Arial" w:hAnsi="Arial"/>
                <w:sz w:val="20"/>
                <w:szCs w:val="20"/>
                <w:color w:val="auto"/>
              </w:rPr>
              <w:t>Name: Timothy C. Oliver</w:t>
            </w:r>
          </w:p>
        </w:tc>
        <w:tc>
          <w:tcPr>
            <w:tcW w:w="1780" w:type="dxa"/>
            <w:vAlign w:val="bottom"/>
            <w:vMerge w:val="restart"/>
          </w:tcPr>
          <w:p>
            <w:pPr>
              <w:ind w:left="360"/>
              <w:spacing w:after="0"/>
              <w:rPr>
                <w:sz w:val="20"/>
                <w:szCs w:val="20"/>
                <w:color w:val="auto"/>
              </w:rPr>
            </w:pPr>
            <w:r>
              <w:rPr>
                <w:rFonts w:ascii="Arial" w:cs="Arial" w:eastAsia="Arial" w:hAnsi="Arial"/>
                <w:sz w:val="21"/>
                <w:szCs w:val="21"/>
                <w:color w:val="auto"/>
                <w:w w:val="92"/>
              </w:rPr>
              <w:t>Financial Officer</w:t>
            </w: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w w:val="99"/>
              </w:rPr>
              <w:t>Title: Executive Vice President and Chief</w:t>
            </w:r>
          </w:p>
        </w:tc>
        <w:tc>
          <w:tcPr>
            <w:tcW w:w="1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ATM NATIONAL,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USA,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CATM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[Signature Page to Supplemental Indenture]</w:t>
      </w:r>
    </w:p>
    <w:p>
      <w:pPr>
        <w:sectPr>
          <w:pgSz w:w="11900" w:h="16838" w:orient="portrait"/>
          <w:cols w:equalWidth="0" w:num="1">
            <w:col w:w="10860"/>
          </w:cols>
          <w:pgMar w:left="320" w:top="1350" w:right="719" w:bottom="1440" w:gutter="0" w:footer="0" w:header="0"/>
        </w:sectPr>
      </w:pPr>
    </w:p>
    <w:bookmarkStart w:id="82" w:name="page83"/>
    <w:bookmarkEnd w:id="82"/>
    <w:p>
      <w:pPr>
        <w:jc w:val="center"/>
        <w:ind w:right="1079"/>
        <w:spacing w:after="0"/>
        <w:rPr>
          <w:sz w:val="20"/>
          <w:szCs w:val="20"/>
          <w:color w:val="auto"/>
        </w:rPr>
      </w:pPr>
      <w:r>
        <w:rPr>
          <w:rFonts w:ascii="Arial" w:cs="Arial" w:eastAsia="Arial" w:hAnsi="Arial"/>
          <w:sz w:val="20"/>
          <w:szCs w:val="20"/>
          <w:color w:val="auto"/>
        </w:rPr>
        <w:t>NCR INTERNATIONAL, INC.,</w:t>
      </w:r>
    </w:p>
    <w:p>
      <w:pPr>
        <w:spacing w:after="0" w:line="169"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/s/Vladimir Samoylenko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1423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Vladimir Samoylenko</w:t>
      </w:r>
    </w:p>
    <w:p>
      <w:pPr>
        <w:ind w:left="3040"/>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U.S. BANK TRUST COMPANY, NATIONAL ASSOCIATION, as Trustee,</w:t>
      </w:r>
    </w:p>
    <w:p>
      <w:pPr>
        <w:spacing w:after="0" w:line="180"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 Mark C. Hallam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15436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154368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Mark C. Hallam</w:t>
      </w:r>
    </w:p>
    <w:p>
      <w:pPr>
        <w:ind w:left="3040"/>
        <w:spacing w:after="0"/>
        <w:rPr>
          <w:sz w:val="20"/>
          <w:szCs w:val="20"/>
          <w:color w:val="auto"/>
        </w:rPr>
      </w:pPr>
      <w:r>
        <w:rPr>
          <w:rFonts w:ascii="Arial" w:cs="Arial" w:eastAsia="Arial" w:hAnsi="Arial"/>
          <w:sz w:val="21"/>
          <w:szCs w:val="21"/>
          <w:color w:val="auto"/>
        </w:rPr>
        <w:t>Title: Assistance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Supplemental Indenture]</w:t>
      </w:r>
    </w:p>
    <w:p>
      <w:pPr>
        <w:sectPr>
          <w:pgSz w:w="11900" w:h="16838" w:orient="portrait"/>
          <w:cols w:equalWidth="0" w:num="1">
            <w:col w:w="9019"/>
          </w:cols>
          <w:pgMar w:left="1440" w:top="1350"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right="180"/>
        <w:spacing w:after="0" w:line="234" w:lineRule="auto"/>
        <w:rPr>
          <w:sz w:val="20"/>
          <w:szCs w:val="20"/>
          <w:color w:val="auto"/>
        </w:rPr>
      </w:pPr>
      <w:r>
        <w:rPr>
          <w:rFonts w:ascii="Arial" w:cs="Arial" w:eastAsia="Arial" w:hAnsi="Arial"/>
          <w:sz w:val="19"/>
          <w:szCs w:val="19"/>
          <w:color w:val="auto"/>
        </w:rPr>
        <w:t>SECOND SUPPLEMENTAL INDENTURE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September 14, 2023, among NCR Corporation (or its successor), a Maryland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”),NCR Atleos, LLC, a Delaware limited liability company and a subsidiary of the Company (the “</w:t>
      </w:r>
      <w:r>
        <w:rPr>
          <w:rFonts w:ascii="Arial" w:cs="Arial" w:eastAsia="Arial" w:hAnsi="Arial"/>
          <w:sz w:val="19"/>
          <w:szCs w:val="19"/>
          <w:u w:val="single" w:color="auto"/>
          <w:color w:val="auto"/>
        </w:rPr>
        <w:t>New Guarantor</w:t>
      </w:r>
      <w:r>
        <w:rPr>
          <w:rFonts w:ascii="Arial" w:cs="Arial" w:eastAsia="Arial" w:hAnsi="Arial"/>
          <w:sz w:val="19"/>
          <w:szCs w:val="19"/>
          <w:color w:val="auto"/>
        </w:rPr>
        <w:t>”), ATM National, LLC, a Delaware limited liability company (“</w:t>
      </w:r>
      <w:r>
        <w:rPr>
          <w:rFonts w:ascii="Arial" w:cs="Arial" w:eastAsia="Arial" w:hAnsi="Arial"/>
          <w:sz w:val="19"/>
          <w:szCs w:val="19"/>
          <w:u w:val="single" w:color="auto"/>
          <w:color w:val="auto"/>
        </w:rPr>
        <w:t>ATM National</w:t>
      </w:r>
      <w:r>
        <w:rPr>
          <w:rFonts w:ascii="Arial" w:cs="Arial" w:eastAsia="Arial" w:hAnsi="Arial"/>
          <w:sz w:val="19"/>
          <w:szCs w:val="19"/>
          <w:color w:val="auto"/>
        </w:rPr>
        <w:t>”), Cardtronics Holdings, LLC, a Delaware limited liability company (“</w:t>
      </w:r>
      <w:r>
        <w:rPr>
          <w:rFonts w:ascii="Arial" w:cs="Arial" w:eastAsia="Arial" w:hAnsi="Arial"/>
          <w:sz w:val="19"/>
          <w:szCs w:val="19"/>
          <w:u w:val="single" w:color="auto"/>
          <w:color w:val="auto"/>
        </w:rPr>
        <w:t>Cardtronics</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Holdings</w:t>
      </w:r>
      <w:r>
        <w:rPr>
          <w:rFonts w:ascii="Arial" w:cs="Arial" w:eastAsia="Arial" w:hAnsi="Arial"/>
          <w:sz w:val="19"/>
          <w:szCs w:val="19"/>
          <w:color w:val="auto"/>
        </w:rPr>
        <w:t>”), Cardtronics, Inc., a Delaware corporation (“</w:t>
      </w:r>
      <w:r>
        <w:rPr>
          <w:rFonts w:ascii="Arial" w:cs="Arial" w:eastAsia="Arial" w:hAnsi="Arial"/>
          <w:sz w:val="19"/>
          <w:szCs w:val="19"/>
          <w:u w:val="single" w:color="auto"/>
          <w:color w:val="auto"/>
        </w:rPr>
        <w:t>Cardtronics</w:t>
      </w:r>
      <w:r>
        <w:rPr>
          <w:rFonts w:ascii="Arial" w:cs="Arial" w:eastAsia="Arial" w:hAnsi="Arial"/>
          <w:sz w:val="19"/>
          <w:szCs w:val="19"/>
          <w:color w:val="auto"/>
        </w:rPr>
        <w:t>”), Cardtronics USA, Inc., a Delaware corporation (“</w:t>
      </w:r>
      <w:r>
        <w:rPr>
          <w:rFonts w:ascii="Arial" w:cs="Arial" w:eastAsia="Arial" w:hAnsi="Arial"/>
          <w:sz w:val="19"/>
          <w:szCs w:val="19"/>
          <w:u w:val="single" w:color="auto"/>
          <w:color w:val="auto"/>
        </w:rPr>
        <w:t>Cardtronics USA</w:t>
      </w:r>
      <w:r>
        <w:rPr>
          <w:rFonts w:ascii="Arial" w:cs="Arial" w:eastAsia="Arial" w:hAnsi="Arial"/>
          <w:sz w:val="19"/>
          <w:szCs w:val="19"/>
          <w:color w:val="auto"/>
        </w:rPr>
        <w:t>”), CATM Holdings LLC, a Delaware limited liability company (“</w:t>
      </w:r>
      <w:r>
        <w:rPr>
          <w:rFonts w:ascii="Arial" w:cs="Arial" w:eastAsia="Arial" w:hAnsi="Arial"/>
          <w:sz w:val="19"/>
          <w:szCs w:val="19"/>
          <w:u w:val="single" w:color="auto"/>
          <w:color w:val="auto"/>
        </w:rPr>
        <w:t>CATM Holdings</w:t>
      </w:r>
      <w:r>
        <w:rPr>
          <w:rFonts w:ascii="Arial" w:cs="Arial" w:eastAsia="Arial" w:hAnsi="Arial"/>
          <w:sz w:val="19"/>
          <w:szCs w:val="19"/>
          <w:color w:val="auto"/>
        </w:rPr>
        <w:t>”), NCR International, Inc., a Delaware corporation (collectively with ATM National, Cardtronics Holdings, Cardtronics, Cardtronics USA and CATM Holdings, the “</w:t>
      </w:r>
      <w:r>
        <w:rPr>
          <w:rFonts w:ascii="Arial" w:cs="Arial" w:eastAsia="Arial" w:hAnsi="Arial"/>
          <w:sz w:val="19"/>
          <w:szCs w:val="19"/>
          <w:u w:val="single" w:color="auto"/>
          <w:color w:val="auto"/>
        </w:rPr>
        <w:t>Existing Guarantors</w:t>
      </w:r>
      <w:r>
        <w:rPr>
          <w:rFonts w:ascii="Arial" w:cs="Arial" w:eastAsia="Arial" w:hAnsi="Arial"/>
          <w:sz w:val="19"/>
          <w:szCs w:val="19"/>
          <w:color w:val="auto"/>
        </w:rPr>
        <w:t>”), and COMPUTERSHARE TRUST COMPANY, N.A., as successor trustee to Wells Fargo Bank, National Association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 :</w:t>
      </w:r>
    </w:p>
    <w:p>
      <w:pPr>
        <w:spacing w:after="0" w:line="381" w:lineRule="exact"/>
        <w:rPr>
          <w:sz w:val="20"/>
          <w:szCs w:val="20"/>
          <w:color w:val="auto"/>
        </w:rPr>
      </w:pPr>
    </w:p>
    <w:p>
      <w:pPr>
        <w:ind w:right="20" w:firstLine="1245"/>
        <w:spacing w:after="0" w:line="220" w:lineRule="auto"/>
        <w:rPr>
          <w:sz w:val="20"/>
          <w:szCs w:val="20"/>
          <w:color w:val="auto"/>
        </w:rPr>
      </w:pPr>
      <w:r>
        <w:rPr>
          <w:rFonts w:ascii="Arial" w:cs="Arial" w:eastAsia="Arial" w:hAnsi="Arial"/>
          <w:sz w:val="21"/>
          <w:szCs w:val="21"/>
          <w:color w:val="auto"/>
        </w:rPr>
        <w:t>WHEREAS the Company and the Existing Guarantors have heretofore executed and delivered to the Trustee an Indenture (as supplemented by a Supplemental Indenture, dated as of October 14, 2021, and as otherwise amended, restated, or modified from time to time, the “</w:t>
      </w:r>
      <w:r>
        <w:rPr>
          <w:rFonts w:ascii="Arial" w:cs="Arial" w:eastAsia="Arial" w:hAnsi="Arial"/>
          <w:sz w:val="21"/>
          <w:szCs w:val="21"/>
          <w:u w:val="single" w:color="auto"/>
          <w:color w:val="auto"/>
        </w:rPr>
        <w:t>Indenture</w:t>
      </w:r>
      <w:r>
        <w:rPr>
          <w:rFonts w:ascii="Arial" w:cs="Arial" w:eastAsia="Arial" w:hAnsi="Arial"/>
          <w:sz w:val="21"/>
          <w:szCs w:val="21"/>
          <w:color w:val="auto"/>
        </w:rPr>
        <w:t>”) dated as of August 20, 2020, providing for the issuance of 5.250% Senior Notes due 2030 (the “</w:t>
      </w:r>
      <w:r>
        <w:rPr>
          <w:rFonts w:ascii="Arial" w:cs="Arial" w:eastAsia="Arial" w:hAnsi="Arial"/>
          <w:sz w:val="21"/>
          <w:szCs w:val="21"/>
          <w:u w:val="single" w:color="auto"/>
          <w:color w:val="auto"/>
        </w:rPr>
        <w:t>Securities</w:t>
      </w:r>
      <w:r>
        <w:rPr>
          <w:rFonts w:ascii="Arial" w:cs="Arial" w:eastAsia="Arial" w:hAnsi="Arial"/>
          <w:sz w:val="21"/>
          <w:szCs w:val="21"/>
          <w:color w:val="auto"/>
        </w:rPr>
        <w:t>”);</w:t>
      </w:r>
    </w:p>
    <w:p>
      <w:pPr>
        <w:spacing w:after="0" w:line="152" w:lineRule="exact"/>
        <w:rPr>
          <w:sz w:val="20"/>
          <w:szCs w:val="20"/>
          <w:color w:val="auto"/>
        </w:rPr>
      </w:pPr>
    </w:p>
    <w:p>
      <w:pPr>
        <w:ind w:right="220" w:firstLine="1245"/>
        <w:spacing w:after="0" w:line="220" w:lineRule="auto"/>
        <w:rPr>
          <w:sz w:val="20"/>
          <w:szCs w:val="20"/>
          <w:color w:val="auto"/>
        </w:rPr>
      </w:pPr>
      <w:r>
        <w:rPr>
          <w:rFonts w:ascii="Arial" w:cs="Arial" w:eastAsia="Arial" w:hAnsi="Arial"/>
          <w:sz w:val="21"/>
          <w:szCs w:val="21"/>
          <w:color w:val="auto"/>
        </w:rPr>
        <w:t>WHEREAS Section 4.11 of the Indenture provides that under certain circumstances the Company is required to cause the New Guarantor to execute and deliver to the Trustee a supplemental indenture pursuant to which the New Guarantor shall unconditionally guarantee all the Company’s obligations under the Securities pursuant to a Subsidiary Guarantee on the terms and conditions set forth herein; and</w:t>
      </w:r>
    </w:p>
    <w:p>
      <w:pPr>
        <w:spacing w:after="0" w:line="152" w:lineRule="exact"/>
        <w:rPr>
          <w:sz w:val="20"/>
          <w:szCs w:val="20"/>
          <w:color w:val="auto"/>
        </w:rPr>
      </w:pPr>
    </w:p>
    <w:p>
      <w:pPr>
        <w:ind w:right="620" w:firstLine="1245"/>
        <w:spacing w:after="0" w:line="234" w:lineRule="auto"/>
        <w:rPr>
          <w:sz w:val="20"/>
          <w:szCs w:val="20"/>
          <w:color w:val="auto"/>
        </w:rPr>
      </w:pPr>
      <w:r>
        <w:rPr>
          <w:rFonts w:ascii="Arial" w:cs="Arial" w:eastAsia="Arial" w:hAnsi="Arial"/>
          <w:sz w:val="21"/>
          <w:szCs w:val="21"/>
          <w:color w:val="auto"/>
        </w:rPr>
        <w:t>WHEREAS pursuant to Section 9.01 of the Indenture, the Trustee, the Company and the Existing Guarantors are authorized to execute and deliver this Supplemental Indenture;</w:t>
      </w:r>
    </w:p>
    <w:p>
      <w:pPr>
        <w:spacing w:after="0" w:line="151" w:lineRule="exact"/>
        <w:rPr>
          <w:sz w:val="20"/>
          <w:szCs w:val="20"/>
          <w:color w:val="auto"/>
        </w:rPr>
      </w:pPr>
    </w:p>
    <w:p>
      <w:pPr>
        <w:jc w:val="both"/>
        <w:ind w:right="360" w:firstLine="1245"/>
        <w:spacing w:after="0" w:line="225"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New Guarantor, the Company, the Existing Guarantors and the Trustee mutually covenant and agree for the equal and ratable benefit of the holders of the Securities as follows:</w:t>
      </w:r>
    </w:p>
    <w:p>
      <w:pPr>
        <w:spacing w:after="0" w:line="151" w:lineRule="exact"/>
        <w:rPr>
          <w:sz w:val="20"/>
          <w:szCs w:val="20"/>
          <w:color w:val="auto"/>
        </w:rPr>
      </w:pPr>
    </w:p>
    <w:p>
      <w:pPr>
        <w:ind w:right="20" w:firstLine="1248"/>
        <w:spacing w:after="0" w:line="253" w:lineRule="auto"/>
        <w:tabs>
          <w:tab w:leader="none" w:pos="1452"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xml:space="preserve"> The New Guarantor hereby agrees, jointly and severally with all the Existing Guarantors, to unconditionally guarantee the Company’s obligations under the Securities on the terms and subject to the conditions set forth in Article 10 of the Indenture and to be bound by all other applicable provisions of the Indenture and the Securities.</w:t>
      </w:r>
    </w:p>
    <w:p>
      <w:pPr>
        <w:spacing w:after="0" w:line="138" w:lineRule="exact"/>
        <w:rPr>
          <w:rFonts w:ascii="Arial" w:cs="Arial" w:eastAsia="Arial" w:hAnsi="Arial"/>
          <w:sz w:val="19"/>
          <w:szCs w:val="19"/>
          <w:color w:val="auto"/>
        </w:rPr>
      </w:pPr>
    </w:p>
    <w:p>
      <w:pPr>
        <w:ind w:right="360" w:firstLine="1248"/>
        <w:spacing w:after="0" w:line="220" w:lineRule="auto"/>
        <w:tabs>
          <w:tab w:leader="none" w:pos="1504"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Ratification of Indenture; Supplemental Indentures Part of Indenture.</w:t>
      </w:r>
      <w:r>
        <w:rPr>
          <w:rFonts w:ascii="Arial" w:cs="Arial" w:eastAsia="Arial" w:hAnsi="Arial"/>
          <w:sz w:val="21"/>
          <w:szCs w:val="21"/>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pacing w:after="0" w:line="145" w:lineRule="exact"/>
        <w:rPr>
          <w:rFonts w:ascii="Arial" w:cs="Arial" w:eastAsia="Arial" w:hAnsi="Arial"/>
          <w:sz w:val="21"/>
          <w:szCs w:val="21"/>
          <w:color w:val="auto"/>
        </w:rPr>
      </w:pPr>
    </w:p>
    <w:p>
      <w:pPr>
        <w:ind w:left="1460" w:hanging="212"/>
        <w:spacing w:after="0"/>
        <w:tabs>
          <w:tab w:leader="none" w:pos="146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SUPPLEMENTAL INDENTURE SHALL BE GOVERNED BY, AND CONSTRUED IN</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b w:val="1"/>
          <w:bCs w:val="1"/>
          <w:color w:val="auto"/>
        </w:rPr>
        <w:t>ACCORDANCE WITH, THE LAWS OF THE STATE OF NEW YORK.</w:t>
      </w:r>
    </w:p>
    <w:p>
      <w:pPr>
        <w:sectPr>
          <w:pgSz w:w="11900" w:h="16838" w:orient="portrait"/>
          <w:cols w:equalWidth="0" w:num="1">
            <w:col w:w="11240"/>
          </w:cols>
          <w:pgMar w:left="320" w:top="100" w:right="339" w:bottom="1440" w:gutter="0" w:footer="0" w:header="0"/>
        </w:sectPr>
      </w:pPr>
    </w:p>
    <w:bookmarkStart w:id="84" w:name="page85"/>
    <w:bookmarkEnd w:id="84"/>
    <w:p>
      <w:pPr>
        <w:ind w:right="440" w:firstLine="1248"/>
        <w:spacing w:after="0" w:line="234" w:lineRule="auto"/>
        <w:tabs>
          <w:tab w:leader="none" w:pos="1452"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Trustee Makes No Representation.</w:t>
      </w:r>
      <w:r>
        <w:rPr>
          <w:rFonts w:ascii="Arial" w:cs="Arial" w:eastAsia="Arial" w:hAnsi="Arial"/>
          <w:sz w:val="21"/>
          <w:szCs w:val="21"/>
          <w:color w:val="auto"/>
        </w:rPr>
        <w:t xml:space="preserve"> The Trustee makes no representation as to the validity or sufficiency of this Supplemental Indenture.</w:t>
      </w:r>
    </w:p>
    <w:p>
      <w:pPr>
        <w:spacing w:after="0" w:line="151" w:lineRule="exact"/>
        <w:rPr>
          <w:rFonts w:ascii="Arial" w:cs="Arial" w:eastAsia="Arial" w:hAnsi="Arial"/>
          <w:sz w:val="21"/>
          <w:szCs w:val="21"/>
          <w:color w:val="auto"/>
        </w:rPr>
      </w:pPr>
    </w:p>
    <w:p>
      <w:pPr>
        <w:ind w:firstLine="1248"/>
        <w:spacing w:after="0" w:line="234" w:lineRule="auto"/>
        <w:tabs>
          <w:tab w:leader="none" w:pos="1452"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The parties may sign any number of copies of this Supplemental Indenture. Each signed copy shall be an original, but all of them together represent the same agreement.</w:t>
      </w:r>
    </w:p>
    <w:p>
      <w:pPr>
        <w:spacing w:after="0" w:line="151" w:lineRule="exact"/>
        <w:rPr>
          <w:rFonts w:ascii="Arial" w:cs="Arial" w:eastAsia="Arial" w:hAnsi="Arial"/>
          <w:sz w:val="21"/>
          <w:szCs w:val="21"/>
          <w:color w:val="auto"/>
        </w:rPr>
      </w:pPr>
    </w:p>
    <w:p>
      <w:pPr>
        <w:ind w:left="1460" w:hanging="212"/>
        <w:spacing w:after="0"/>
        <w:tabs>
          <w:tab w:leader="none" w:pos="146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xml:space="preserve"> The Section headings herein are for convenience only and shall not affect the construction</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80"/>
          </w:cols>
          <w:pgMar w:left="320" w:top="1350" w:right="499" w:bottom="1440" w:gutter="0" w:footer="0" w:header="0"/>
        </w:sectPr>
      </w:pPr>
    </w:p>
    <w:bookmarkStart w:id="85" w:name="page86"/>
    <w:bookmarkEnd w:id="85"/>
    <w:p>
      <w:pPr>
        <w:ind w:firstLine="1245"/>
        <w:spacing w:after="0" w:line="234"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as of the date first above written.</w:t>
      </w:r>
    </w:p>
    <w:p>
      <w:pPr>
        <w:spacing w:after="0" w:line="151"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NCR ATLEOS, LLC,</w:t>
      </w:r>
    </w:p>
    <w:p>
      <w:pPr>
        <w:spacing w:after="0" w:line="157" w:lineRule="exact"/>
        <w:rPr>
          <w:sz w:val="20"/>
          <w:szCs w:val="20"/>
          <w:color w:val="auto"/>
        </w:rPr>
      </w:pPr>
    </w:p>
    <w:p>
      <w:pPr>
        <w:ind w:left="3940"/>
        <w:spacing w:after="0"/>
        <w:rPr>
          <w:sz w:val="20"/>
          <w:szCs w:val="20"/>
          <w:color w:val="auto"/>
        </w:rPr>
      </w:pPr>
      <w:r>
        <w:rPr>
          <w:rFonts w:ascii="Arial" w:cs="Arial" w:eastAsia="Arial" w:hAnsi="Arial"/>
          <w:sz w:val="21"/>
          <w:szCs w:val="21"/>
          <w:color w:val="auto"/>
        </w:rPr>
        <w:t>by /s/ Timothy C. Oliver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-5715</wp:posOffset>
            </wp:positionV>
            <wp:extent cx="12611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4160"/>
        <w:spacing w:after="0" w:line="206" w:lineRule="auto"/>
        <w:rPr>
          <w:sz w:val="20"/>
          <w:szCs w:val="20"/>
          <w:color w:val="auto"/>
        </w:rPr>
      </w:pPr>
      <w:r>
        <w:rPr>
          <w:rFonts w:ascii="Arial" w:cs="Arial" w:eastAsia="Arial" w:hAnsi="Arial"/>
          <w:sz w:val="21"/>
          <w:szCs w:val="21"/>
          <w:color w:val="auto"/>
        </w:rPr>
        <w:t>Name: Timothy C. Oliver</w:t>
      </w:r>
    </w:p>
    <w:p>
      <w:pPr>
        <w:ind w:left="4160"/>
        <w:spacing w:after="0"/>
        <w:rPr>
          <w:sz w:val="20"/>
          <w:szCs w:val="20"/>
          <w:color w:val="auto"/>
        </w:rPr>
      </w:pPr>
      <w:r>
        <w:rPr>
          <w:rFonts w:ascii="Arial" w:cs="Arial" w:eastAsia="Arial" w:hAnsi="Arial"/>
          <w:sz w:val="21"/>
          <w:szCs w:val="21"/>
          <w:color w:val="auto"/>
        </w:rPr>
        <w:t>Title: President</w:t>
      </w:r>
    </w:p>
    <w:p>
      <w:pPr>
        <w:spacing w:after="0" w:line="363" w:lineRule="exact"/>
        <w:rPr>
          <w:sz w:val="20"/>
          <w:szCs w:val="20"/>
          <w:color w:val="auto"/>
        </w:rPr>
      </w:pPr>
    </w:p>
    <w:tbl>
      <w:tblPr>
        <w:tblLayout w:type="fixed"/>
        <w:tblInd w:w="3740" w:type="dxa"/>
        <w:tblCellMar>
          <w:top w:w="0" w:type="dxa"/>
          <w:left w:w="0" w:type="dxa"/>
          <w:bottom w:w="0" w:type="dxa"/>
          <w:right w:w="0" w:type="dxa"/>
        </w:tblCellMar>
      </w:tblPr>
      <w:tr>
        <w:trPr>
          <w:trHeight w:val="265"/>
        </w:trPr>
        <w:tc>
          <w:tcPr>
            <w:tcW w:w="4220" w:type="dxa"/>
            <w:vAlign w:val="bottom"/>
            <w:gridSpan w:val="6"/>
          </w:tcPr>
          <w:p>
            <w:pPr>
              <w:spacing w:after="0"/>
              <w:rPr>
                <w:sz w:val="20"/>
                <w:szCs w:val="20"/>
                <w:color w:val="auto"/>
              </w:rPr>
            </w:pPr>
            <w:r>
              <w:rPr>
                <w:rFonts w:ascii="Arial" w:cs="Arial" w:eastAsia="Arial" w:hAnsi="Arial"/>
                <w:sz w:val="21"/>
                <w:szCs w:val="21"/>
                <w:color w:val="auto"/>
              </w:rPr>
              <w:t>NCR CORPORATION,</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/s/Timothy C. Oliver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760" w:type="dxa"/>
            <w:vAlign w:val="bottom"/>
            <w:gridSpan w:val="5"/>
          </w:tcPr>
          <w:p>
            <w:pPr>
              <w:spacing w:after="0" w:line="179" w:lineRule="exact"/>
              <w:rPr>
                <w:sz w:val="20"/>
                <w:szCs w:val="20"/>
                <w:color w:val="auto"/>
              </w:rPr>
            </w:pPr>
            <w:r>
              <w:rPr>
                <w:rFonts w:ascii="Arial" w:cs="Arial" w:eastAsia="Arial" w:hAnsi="Arial"/>
                <w:sz w:val="20"/>
                <w:szCs w:val="20"/>
                <w:color w:val="auto"/>
              </w:rPr>
              <w:t>Name: Timothy C. Oliver</w:t>
            </w:r>
          </w:p>
        </w:tc>
        <w:tc>
          <w:tcPr>
            <w:tcW w:w="1780" w:type="dxa"/>
            <w:vAlign w:val="bottom"/>
            <w:vMerge w:val="restart"/>
          </w:tcPr>
          <w:p>
            <w:pPr>
              <w:ind w:left="360"/>
              <w:spacing w:after="0"/>
              <w:rPr>
                <w:sz w:val="20"/>
                <w:szCs w:val="20"/>
                <w:color w:val="auto"/>
              </w:rPr>
            </w:pPr>
            <w:r>
              <w:rPr>
                <w:rFonts w:ascii="Arial" w:cs="Arial" w:eastAsia="Arial" w:hAnsi="Arial"/>
                <w:sz w:val="21"/>
                <w:szCs w:val="21"/>
                <w:color w:val="auto"/>
                <w:w w:val="92"/>
              </w:rPr>
              <w:t>Financial Officer</w:t>
            </w: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w w:val="99"/>
              </w:rPr>
              <w:t>Title: Executive Vice President and Chief</w:t>
            </w:r>
          </w:p>
        </w:tc>
        <w:tc>
          <w:tcPr>
            <w:tcW w:w="1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ATM NATIONAL,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USA,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CATM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[Signature Page to Supplemental Indenture]</w:t>
      </w:r>
    </w:p>
    <w:p>
      <w:pPr>
        <w:sectPr>
          <w:pgSz w:w="11900" w:h="16838" w:orient="portrait"/>
          <w:cols w:equalWidth="0" w:num="1">
            <w:col w:w="10860"/>
          </w:cols>
          <w:pgMar w:left="320" w:top="1350" w:right="719" w:bottom="1440" w:gutter="0" w:footer="0" w:header="0"/>
        </w:sectPr>
      </w:pPr>
    </w:p>
    <w:bookmarkStart w:id="86" w:name="page87"/>
    <w:bookmarkEnd w:id="86"/>
    <w:p>
      <w:pPr>
        <w:jc w:val="center"/>
        <w:ind w:right="1079"/>
        <w:spacing w:after="0"/>
        <w:rPr>
          <w:sz w:val="20"/>
          <w:szCs w:val="20"/>
          <w:color w:val="auto"/>
        </w:rPr>
      </w:pPr>
      <w:r>
        <w:rPr>
          <w:rFonts w:ascii="Arial" w:cs="Arial" w:eastAsia="Arial" w:hAnsi="Arial"/>
          <w:sz w:val="20"/>
          <w:szCs w:val="20"/>
          <w:color w:val="auto"/>
        </w:rPr>
        <w:t>NCR INTERNATIONAL, INC.,</w:t>
      </w:r>
    </w:p>
    <w:p>
      <w:pPr>
        <w:spacing w:after="0" w:line="169"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/s/Vladimir Samoylenko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14230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Vladimir Samoylenko</w:t>
      </w:r>
    </w:p>
    <w:p>
      <w:pPr>
        <w:ind w:left="3040"/>
        <w:spacing w:after="0"/>
        <w:rPr>
          <w:sz w:val="20"/>
          <w:szCs w:val="20"/>
          <w:color w:val="auto"/>
        </w:rPr>
      </w:pPr>
      <w:r>
        <w:rPr>
          <w:rFonts w:ascii="Arial" w:cs="Arial" w:eastAsia="Arial" w:hAnsi="Arial"/>
          <w:sz w:val="21"/>
          <w:szCs w:val="21"/>
          <w:color w:val="auto"/>
        </w:rPr>
        <w:t>Title: Secretary</w:t>
      </w:r>
    </w:p>
    <w:p>
      <w:pPr>
        <w:spacing w:after="0" w:line="363"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COMPUTERSHARE TRUST COMPANY, N.A., as Trustee,</w:t>
      </w:r>
    </w:p>
    <w:p>
      <w:pPr>
        <w:spacing w:after="0" w:line="180"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 Scott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8782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Scott Little</w:t>
      </w:r>
    </w:p>
    <w:p>
      <w:pPr>
        <w:ind w:left="30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Supplemental Indenture]</w:t>
      </w:r>
    </w:p>
    <w:p>
      <w:pPr>
        <w:sectPr>
          <w:pgSz w:w="11900" w:h="16838" w:orient="portrait"/>
          <w:cols w:equalWidth="0" w:num="1">
            <w:col w:w="9019"/>
          </w:cols>
          <w:pgMar w:left="1440" w:top="1350"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right="180"/>
        <w:spacing w:after="0" w:line="234" w:lineRule="auto"/>
        <w:rPr>
          <w:sz w:val="20"/>
          <w:szCs w:val="20"/>
          <w:color w:val="auto"/>
        </w:rPr>
      </w:pPr>
      <w:r>
        <w:rPr>
          <w:rFonts w:ascii="Arial" w:cs="Arial" w:eastAsia="Arial" w:hAnsi="Arial"/>
          <w:sz w:val="19"/>
          <w:szCs w:val="19"/>
          <w:color w:val="auto"/>
        </w:rPr>
        <w:t>SECOND SUPPLEMENTAL INDENTURE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September 14, 2023, among NCR Corporation (or its successor), a Maryland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”),NCR Atleos, LLC, a Delaware limited liability company and a subsidiary of the Company (the “</w:t>
      </w:r>
      <w:r>
        <w:rPr>
          <w:rFonts w:ascii="Arial" w:cs="Arial" w:eastAsia="Arial" w:hAnsi="Arial"/>
          <w:sz w:val="19"/>
          <w:szCs w:val="19"/>
          <w:u w:val="single" w:color="auto"/>
          <w:color w:val="auto"/>
        </w:rPr>
        <w:t>New Guarantor</w:t>
      </w:r>
      <w:r>
        <w:rPr>
          <w:rFonts w:ascii="Arial" w:cs="Arial" w:eastAsia="Arial" w:hAnsi="Arial"/>
          <w:sz w:val="19"/>
          <w:szCs w:val="19"/>
          <w:color w:val="auto"/>
        </w:rPr>
        <w:t>”), ATM National, LLC, a Delaware limited liability company (“</w:t>
      </w:r>
      <w:r>
        <w:rPr>
          <w:rFonts w:ascii="Arial" w:cs="Arial" w:eastAsia="Arial" w:hAnsi="Arial"/>
          <w:sz w:val="19"/>
          <w:szCs w:val="19"/>
          <w:u w:val="single" w:color="auto"/>
          <w:color w:val="auto"/>
        </w:rPr>
        <w:t>ATM National</w:t>
      </w:r>
      <w:r>
        <w:rPr>
          <w:rFonts w:ascii="Arial" w:cs="Arial" w:eastAsia="Arial" w:hAnsi="Arial"/>
          <w:sz w:val="19"/>
          <w:szCs w:val="19"/>
          <w:color w:val="auto"/>
        </w:rPr>
        <w:t>”), Cardtronics Holdings, LLC, a Delaware limited liability company (“</w:t>
      </w:r>
      <w:r>
        <w:rPr>
          <w:rFonts w:ascii="Arial" w:cs="Arial" w:eastAsia="Arial" w:hAnsi="Arial"/>
          <w:sz w:val="19"/>
          <w:szCs w:val="19"/>
          <w:u w:val="single" w:color="auto"/>
          <w:color w:val="auto"/>
        </w:rPr>
        <w:t>Cardtronics</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Holdings</w:t>
      </w:r>
      <w:r>
        <w:rPr>
          <w:rFonts w:ascii="Arial" w:cs="Arial" w:eastAsia="Arial" w:hAnsi="Arial"/>
          <w:sz w:val="19"/>
          <w:szCs w:val="19"/>
          <w:color w:val="auto"/>
        </w:rPr>
        <w:t>”), Cardtronics, Inc., a Delaware corporation (“</w:t>
      </w:r>
      <w:r>
        <w:rPr>
          <w:rFonts w:ascii="Arial" w:cs="Arial" w:eastAsia="Arial" w:hAnsi="Arial"/>
          <w:sz w:val="19"/>
          <w:szCs w:val="19"/>
          <w:u w:val="single" w:color="auto"/>
          <w:color w:val="auto"/>
        </w:rPr>
        <w:t>Cardtronics</w:t>
      </w:r>
      <w:r>
        <w:rPr>
          <w:rFonts w:ascii="Arial" w:cs="Arial" w:eastAsia="Arial" w:hAnsi="Arial"/>
          <w:sz w:val="19"/>
          <w:szCs w:val="19"/>
          <w:color w:val="auto"/>
        </w:rPr>
        <w:t>”), Cardtronics USA, Inc., a Delaware corporation (“</w:t>
      </w:r>
      <w:r>
        <w:rPr>
          <w:rFonts w:ascii="Arial" w:cs="Arial" w:eastAsia="Arial" w:hAnsi="Arial"/>
          <w:sz w:val="19"/>
          <w:szCs w:val="19"/>
          <w:u w:val="single" w:color="auto"/>
          <w:color w:val="auto"/>
        </w:rPr>
        <w:t>Cardtronics USA</w:t>
      </w:r>
      <w:r>
        <w:rPr>
          <w:rFonts w:ascii="Arial" w:cs="Arial" w:eastAsia="Arial" w:hAnsi="Arial"/>
          <w:sz w:val="19"/>
          <w:szCs w:val="19"/>
          <w:color w:val="auto"/>
        </w:rPr>
        <w:t>”), CATM Holdings LLC, a Delaware limited liability company (“</w:t>
      </w:r>
      <w:r>
        <w:rPr>
          <w:rFonts w:ascii="Arial" w:cs="Arial" w:eastAsia="Arial" w:hAnsi="Arial"/>
          <w:sz w:val="19"/>
          <w:szCs w:val="19"/>
          <w:u w:val="single" w:color="auto"/>
          <w:color w:val="auto"/>
        </w:rPr>
        <w:t>CATM Holdings</w:t>
      </w:r>
      <w:r>
        <w:rPr>
          <w:rFonts w:ascii="Arial" w:cs="Arial" w:eastAsia="Arial" w:hAnsi="Arial"/>
          <w:sz w:val="19"/>
          <w:szCs w:val="19"/>
          <w:color w:val="auto"/>
        </w:rPr>
        <w:t>”), NCR International, Inc., a Delaware corporation (collectively with ATM National, Cardtronics Holdings, Cardtronics, Cardtronics USA and CATM Holdings, the “</w:t>
      </w:r>
      <w:r>
        <w:rPr>
          <w:rFonts w:ascii="Arial" w:cs="Arial" w:eastAsia="Arial" w:hAnsi="Arial"/>
          <w:sz w:val="19"/>
          <w:szCs w:val="19"/>
          <w:u w:val="single" w:color="auto"/>
          <w:color w:val="auto"/>
        </w:rPr>
        <w:t>Existing Guarantors</w:t>
      </w:r>
      <w:r>
        <w:rPr>
          <w:rFonts w:ascii="Arial" w:cs="Arial" w:eastAsia="Arial" w:hAnsi="Arial"/>
          <w:sz w:val="19"/>
          <w:szCs w:val="19"/>
          <w:color w:val="auto"/>
        </w:rPr>
        <w:t>”), and COMPUTERSHARE TRUST COMPANY, N.A., as successor trustee to Wells Fargo Bank, National Association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 :</w:t>
      </w:r>
    </w:p>
    <w:p>
      <w:pPr>
        <w:spacing w:after="0" w:line="381" w:lineRule="exact"/>
        <w:rPr>
          <w:sz w:val="20"/>
          <w:szCs w:val="20"/>
          <w:color w:val="auto"/>
        </w:rPr>
      </w:pPr>
    </w:p>
    <w:p>
      <w:pPr>
        <w:ind w:right="20" w:firstLine="1245"/>
        <w:spacing w:after="0" w:line="220" w:lineRule="auto"/>
        <w:rPr>
          <w:sz w:val="20"/>
          <w:szCs w:val="20"/>
          <w:color w:val="auto"/>
        </w:rPr>
      </w:pPr>
      <w:r>
        <w:rPr>
          <w:rFonts w:ascii="Arial" w:cs="Arial" w:eastAsia="Arial" w:hAnsi="Arial"/>
          <w:sz w:val="21"/>
          <w:szCs w:val="21"/>
          <w:color w:val="auto"/>
        </w:rPr>
        <w:t>WHEREAS the Company and the Existing Guarantors have heretofore executed and delivered to the Trustee an Indenture (as supplemented by a Supplemental Indenture, dated as of October 14, 2021, and as otherwise amended, restated, or modified from time to time, the “</w:t>
      </w:r>
      <w:r>
        <w:rPr>
          <w:rFonts w:ascii="Arial" w:cs="Arial" w:eastAsia="Arial" w:hAnsi="Arial"/>
          <w:sz w:val="21"/>
          <w:szCs w:val="21"/>
          <w:u w:val="single" w:color="auto"/>
          <w:color w:val="auto"/>
        </w:rPr>
        <w:t>Indenture</w:t>
      </w:r>
      <w:r>
        <w:rPr>
          <w:rFonts w:ascii="Arial" w:cs="Arial" w:eastAsia="Arial" w:hAnsi="Arial"/>
          <w:sz w:val="21"/>
          <w:szCs w:val="21"/>
          <w:color w:val="auto"/>
        </w:rPr>
        <w:t>”) dated as of August 21, 2019, providing for the issuance of 5.750% Senior Notes due 2027 (the “</w:t>
      </w:r>
      <w:r>
        <w:rPr>
          <w:rFonts w:ascii="Arial" w:cs="Arial" w:eastAsia="Arial" w:hAnsi="Arial"/>
          <w:sz w:val="21"/>
          <w:szCs w:val="21"/>
          <w:u w:val="single" w:color="auto"/>
          <w:color w:val="auto"/>
        </w:rPr>
        <w:t>Securities</w:t>
      </w:r>
      <w:r>
        <w:rPr>
          <w:rFonts w:ascii="Arial" w:cs="Arial" w:eastAsia="Arial" w:hAnsi="Arial"/>
          <w:sz w:val="21"/>
          <w:szCs w:val="21"/>
          <w:color w:val="auto"/>
        </w:rPr>
        <w:t>”);</w:t>
      </w:r>
    </w:p>
    <w:p>
      <w:pPr>
        <w:spacing w:after="0" w:line="152" w:lineRule="exact"/>
        <w:rPr>
          <w:sz w:val="20"/>
          <w:szCs w:val="20"/>
          <w:color w:val="auto"/>
        </w:rPr>
      </w:pPr>
    </w:p>
    <w:p>
      <w:pPr>
        <w:ind w:right="220" w:firstLine="1245"/>
        <w:spacing w:after="0" w:line="220" w:lineRule="auto"/>
        <w:rPr>
          <w:sz w:val="20"/>
          <w:szCs w:val="20"/>
          <w:color w:val="auto"/>
        </w:rPr>
      </w:pPr>
      <w:r>
        <w:rPr>
          <w:rFonts w:ascii="Arial" w:cs="Arial" w:eastAsia="Arial" w:hAnsi="Arial"/>
          <w:sz w:val="21"/>
          <w:szCs w:val="21"/>
          <w:color w:val="auto"/>
        </w:rPr>
        <w:t>WHEREAS Section 4.11 of the Indenture provides that under certain circumstances the Company is required to cause the New Guarantor to execute and deliver to the Trustee a supplemental indenture pursuant to which the New Guarantor shall unconditionally guarantee all the Company’s obligations under the Securities pursuant to a Subsidiary Guarantee on the terms and conditions set forth herein; and</w:t>
      </w:r>
    </w:p>
    <w:p>
      <w:pPr>
        <w:spacing w:after="0" w:line="152" w:lineRule="exact"/>
        <w:rPr>
          <w:sz w:val="20"/>
          <w:szCs w:val="20"/>
          <w:color w:val="auto"/>
        </w:rPr>
      </w:pPr>
    </w:p>
    <w:p>
      <w:pPr>
        <w:ind w:right="620" w:firstLine="1245"/>
        <w:spacing w:after="0" w:line="234" w:lineRule="auto"/>
        <w:rPr>
          <w:sz w:val="20"/>
          <w:szCs w:val="20"/>
          <w:color w:val="auto"/>
        </w:rPr>
      </w:pPr>
      <w:r>
        <w:rPr>
          <w:rFonts w:ascii="Arial" w:cs="Arial" w:eastAsia="Arial" w:hAnsi="Arial"/>
          <w:sz w:val="21"/>
          <w:szCs w:val="21"/>
          <w:color w:val="auto"/>
        </w:rPr>
        <w:t>WHEREAS pursuant to Section 9.01 of the Indenture, the Trustee, the Company and the Existing Guarantors are authorized to execute and deliver this Supplemental Indenture;</w:t>
      </w:r>
    </w:p>
    <w:p>
      <w:pPr>
        <w:spacing w:after="0" w:line="151" w:lineRule="exact"/>
        <w:rPr>
          <w:sz w:val="20"/>
          <w:szCs w:val="20"/>
          <w:color w:val="auto"/>
        </w:rPr>
      </w:pPr>
    </w:p>
    <w:p>
      <w:pPr>
        <w:jc w:val="both"/>
        <w:ind w:right="360" w:firstLine="1245"/>
        <w:spacing w:after="0" w:line="225"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New Guarantor, the Company, the Existing Guarantors and the Trustee mutually covenant and agree for the equal and ratable benefit of the holders of the Securities as follows:</w:t>
      </w:r>
    </w:p>
    <w:p>
      <w:pPr>
        <w:spacing w:after="0" w:line="151" w:lineRule="exact"/>
        <w:rPr>
          <w:sz w:val="20"/>
          <w:szCs w:val="20"/>
          <w:color w:val="auto"/>
        </w:rPr>
      </w:pPr>
    </w:p>
    <w:p>
      <w:pPr>
        <w:ind w:right="20" w:firstLine="1248"/>
        <w:spacing w:after="0" w:line="253" w:lineRule="auto"/>
        <w:tabs>
          <w:tab w:leader="none" w:pos="145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xml:space="preserve"> The New Guarantor hereby agrees, jointly and severally with all the Existing Guarantors, to unconditionally guarantee the Company’s obligations under the Securities on the terms and subject to the conditions set forth in Article 10 of the Indenture and to be bound by all other applicable provisions of the Indenture and the Securities.</w:t>
      </w:r>
    </w:p>
    <w:p>
      <w:pPr>
        <w:spacing w:after="0" w:line="138" w:lineRule="exact"/>
        <w:rPr>
          <w:rFonts w:ascii="Arial" w:cs="Arial" w:eastAsia="Arial" w:hAnsi="Arial"/>
          <w:sz w:val="19"/>
          <w:szCs w:val="19"/>
          <w:color w:val="auto"/>
        </w:rPr>
      </w:pPr>
    </w:p>
    <w:p>
      <w:pPr>
        <w:ind w:right="360" w:firstLine="1248"/>
        <w:spacing w:after="0" w:line="220" w:lineRule="auto"/>
        <w:tabs>
          <w:tab w:leader="none" w:pos="150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Ratification of Indenture; Supplemental Indentures Part of Indenture.</w:t>
      </w:r>
      <w:r>
        <w:rPr>
          <w:rFonts w:ascii="Arial" w:cs="Arial" w:eastAsia="Arial" w:hAnsi="Arial"/>
          <w:sz w:val="21"/>
          <w:szCs w:val="21"/>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pacing w:after="0" w:line="145" w:lineRule="exact"/>
        <w:rPr>
          <w:rFonts w:ascii="Arial" w:cs="Arial" w:eastAsia="Arial" w:hAnsi="Arial"/>
          <w:sz w:val="21"/>
          <w:szCs w:val="21"/>
          <w:color w:val="auto"/>
        </w:rPr>
      </w:pPr>
    </w:p>
    <w:p>
      <w:pPr>
        <w:ind w:left="1460" w:hanging="212"/>
        <w:spacing w:after="0"/>
        <w:tabs>
          <w:tab w:leader="none" w:pos="14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SUPPLEMENTAL INDENTURE SHALL BE GOVERNED BY, AND CONSTRUED IN</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b w:val="1"/>
          <w:bCs w:val="1"/>
          <w:color w:val="auto"/>
        </w:rPr>
        <w:t>ACCORDANCE WITH, THE LAWS OF THE STATE OF NEW YORK.</w:t>
      </w:r>
    </w:p>
    <w:p>
      <w:pPr>
        <w:sectPr>
          <w:pgSz w:w="11900" w:h="16838" w:orient="portrait"/>
          <w:cols w:equalWidth="0" w:num="1">
            <w:col w:w="11240"/>
          </w:cols>
          <w:pgMar w:left="320" w:top="100" w:right="339" w:bottom="1440" w:gutter="0" w:footer="0" w:header="0"/>
        </w:sectPr>
      </w:pPr>
    </w:p>
    <w:bookmarkStart w:id="88" w:name="page89"/>
    <w:bookmarkEnd w:id="88"/>
    <w:p>
      <w:pPr>
        <w:ind w:right="440" w:firstLine="1248"/>
        <w:spacing w:after="0" w:line="234" w:lineRule="auto"/>
        <w:tabs>
          <w:tab w:leader="none" w:pos="1452"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Trustee Makes No Representation.</w:t>
      </w:r>
      <w:r>
        <w:rPr>
          <w:rFonts w:ascii="Arial" w:cs="Arial" w:eastAsia="Arial" w:hAnsi="Arial"/>
          <w:sz w:val="21"/>
          <w:szCs w:val="21"/>
          <w:color w:val="auto"/>
        </w:rPr>
        <w:t xml:space="preserve"> The Trustee makes no representation as to the validity or sufficiency of this Supplemental Indenture.</w:t>
      </w:r>
    </w:p>
    <w:p>
      <w:pPr>
        <w:spacing w:after="0" w:line="151" w:lineRule="exact"/>
        <w:rPr>
          <w:rFonts w:ascii="Arial" w:cs="Arial" w:eastAsia="Arial" w:hAnsi="Arial"/>
          <w:sz w:val="21"/>
          <w:szCs w:val="21"/>
          <w:color w:val="auto"/>
        </w:rPr>
      </w:pPr>
    </w:p>
    <w:p>
      <w:pPr>
        <w:ind w:firstLine="1248"/>
        <w:spacing w:after="0" w:line="234" w:lineRule="auto"/>
        <w:tabs>
          <w:tab w:leader="none" w:pos="1452"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The parties may sign any number of copies of this Supplemental Indenture. Each signed copy shall be an original, but all of them together represent the same agreement.</w:t>
      </w:r>
    </w:p>
    <w:p>
      <w:pPr>
        <w:spacing w:after="0" w:line="151" w:lineRule="exact"/>
        <w:rPr>
          <w:rFonts w:ascii="Arial" w:cs="Arial" w:eastAsia="Arial" w:hAnsi="Arial"/>
          <w:sz w:val="21"/>
          <w:szCs w:val="21"/>
          <w:color w:val="auto"/>
        </w:rPr>
      </w:pPr>
    </w:p>
    <w:p>
      <w:pPr>
        <w:ind w:left="1460" w:hanging="212"/>
        <w:spacing w:after="0"/>
        <w:tabs>
          <w:tab w:leader="none" w:pos="146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xml:space="preserve"> The Section headings herein are for convenience only and shall not affect the construction</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80"/>
          </w:cols>
          <w:pgMar w:left="320" w:top="1350" w:right="499" w:bottom="1440" w:gutter="0" w:footer="0" w:header="0"/>
        </w:sectPr>
      </w:pPr>
    </w:p>
    <w:bookmarkStart w:id="89" w:name="page90"/>
    <w:bookmarkEnd w:id="89"/>
    <w:p>
      <w:pPr>
        <w:ind w:firstLine="1245"/>
        <w:spacing w:after="0" w:line="234"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as of the date first above written.</w:t>
      </w:r>
    </w:p>
    <w:p>
      <w:pPr>
        <w:spacing w:after="0" w:line="151"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NCR ATLEOS, LLC,</w:t>
      </w:r>
    </w:p>
    <w:p>
      <w:pPr>
        <w:spacing w:after="0" w:line="157" w:lineRule="exact"/>
        <w:rPr>
          <w:sz w:val="20"/>
          <w:szCs w:val="20"/>
          <w:color w:val="auto"/>
        </w:rPr>
      </w:pPr>
    </w:p>
    <w:p>
      <w:pPr>
        <w:ind w:left="3940"/>
        <w:spacing w:after="0"/>
        <w:rPr>
          <w:sz w:val="20"/>
          <w:szCs w:val="20"/>
          <w:color w:val="auto"/>
        </w:rPr>
      </w:pPr>
      <w:r>
        <w:rPr>
          <w:rFonts w:ascii="Arial" w:cs="Arial" w:eastAsia="Arial" w:hAnsi="Arial"/>
          <w:sz w:val="21"/>
          <w:szCs w:val="21"/>
          <w:color w:val="auto"/>
        </w:rPr>
        <w:t>by /s/ Timothy C. Oliver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-5715</wp:posOffset>
            </wp:positionV>
            <wp:extent cx="12611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4160"/>
        <w:spacing w:after="0" w:line="206" w:lineRule="auto"/>
        <w:rPr>
          <w:sz w:val="20"/>
          <w:szCs w:val="20"/>
          <w:color w:val="auto"/>
        </w:rPr>
      </w:pPr>
      <w:r>
        <w:rPr>
          <w:rFonts w:ascii="Arial" w:cs="Arial" w:eastAsia="Arial" w:hAnsi="Arial"/>
          <w:sz w:val="21"/>
          <w:szCs w:val="21"/>
          <w:color w:val="auto"/>
        </w:rPr>
        <w:t>Name: Timothy C. Oliver</w:t>
      </w:r>
    </w:p>
    <w:p>
      <w:pPr>
        <w:ind w:left="4160"/>
        <w:spacing w:after="0"/>
        <w:rPr>
          <w:sz w:val="20"/>
          <w:szCs w:val="20"/>
          <w:color w:val="auto"/>
        </w:rPr>
      </w:pPr>
      <w:r>
        <w:rPr>
          <w:rFonts w:ascii="Arial" w:cs="Arial" w:eastAsia="Arial" w:hAnsi="Arial"/>
          <w:sz w:val="21"/>
          <w:szCs w:val="21"/>
          <w:color w:val="auto"/>
        </w:rPr>
        <w:t>Title: President</w:t>
      </w:r>
    </w:p>
    <w:p>
      <w:pPr>
        <w:spacing w:after="0" w:line="363" w:lineRule="exact"/>
        <w:rPr>
          <w:sz w:val="20"/>
          <w:szCs w:val="20"/>
          <w:color w:val="auto"/>
        </w:rPr>
      </w:pPr>
    </w:p>
    <w:tbl>
      <w:tblPr>
        <w:tblLayout w:type="fixed"/>
        <w:tblInd w:w="3740" w:type="dxa"/>
        <w:tblCellMar>
          <w:top w:w="0" w:type="dxa"/>
          <w:left w:w="0" w:type="dxa"/>
          <w:bottom w:w="0" w:type="dxa"/>
          <w:right w:w="0" w:type="dxa"/>
        </w:tblCellMar>
      </w:tblPr>
      <w:tr>
        <w:trPr>
          <w:trHeight w:val="265"/>
        </w:trPr>
        <w:tc>
          <w:tcPr>
            <w:tcW w:w="4220" w:type="dxa"/>
            <w:vAlign w:val="bottom"/>
            <w:gridSpan w:val="6"/>
          </w:tcPr>
          <w:p>
            <w:pPr>
              <w:spacing w:after="0"/>
              <w:rPr>
                <w:sz w:val="20"/>
                <w:szCs w:val="20"/>
                <w:color w:val="auto"/>
              </w:rPr>
            </w:pPr>
            <w:r>
              <w:rPr>
                <w:rFonts w:ascii="Arial" w:cs="Arial" w:eastAsia="Arial" w:hAnsi="Arial"/>
                <w:sz w:val="21"/>
                <w:szCs w:val="21"/>
                <w:color w:val="auto"/>
              </w:rPr>
              <w:t>NCR CORPORATION,</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/s/Timothy C. Oliver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760" w:type="dxa"/>
            <w:vAlign w:val="bottom"/>
            <w:gridSpan w:val="5"/>
          </w:tcPr>
          <w:p>
            <w:pPr>
              <w:spacing w:after="0" w:line="179" w:lineRule="exact"/>
              <w:rPr>
                <w:sz w:val="20"/>
                <w:szCs w:val="20"/>
                <w:color w:val="auto"/>
              </w:rPr>
            </w:pPr>
            <w:r>
              <w:rPr>
                <w:rFonts w:ascii="Arial" w:cs="Arial" w:eastAsia="Arial" w:hAnsi="Arial"/>
                <w:sz w:val="20"/>
                <w:szCs w:val="20"/>
                <w:color w:val="auto"/>
              </w:rPr>
              <w:t>Name: Timothy C. Oliver</w:t>
            </w:r>
          </w:p>
        </w:tc>
        <w:tc>
          <w:tcPr>
            <w:tcW w:w="1780" w:type="dxa"/>
            <w:vAlign w:val="bottom"/>
            <w:vMerge w:val="restart"/>
          </w:tcPr>
          <w:p>
            <w:pPr>
              <w:ind w:left="360"/>
              <w:spacing w:after="0"/>
              <w:rPr>
                <w:sz w:val="20"/>
                <w:szCs w:val="20"/>
                <w:color w:val="auto"/>
              </w:rPr>
            </w:pPr>
            <w:r>
              <w:rPr>
                <w:rFonts w:ascii="Arial" w:cs="Arial" w:eastAsia="Arial" w:hAnsi="Arial"/>
                <w:sz w:val="21"/>
                <w:szCs w:val="21"/>
                <w:color w:val="auto"/>
                <w:w w:val="92"/>
              </w:rPr>
              <w:t>Financial Officer</w:t>
            </w: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w w:val="99"/>
              </w:rPr>
              <w:t>Title: Executive Vice President and Chief</w:t>
            </w:r>
          </w:p>
        </w:tc>
        <w:tc>
          <w:tcPr>
            <w:tcW w:w="1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ATM NATIONAL,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USA,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CATM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[Signature Page to Supplemental Indenture]</w:t>
      </w:r>
    </w:p>
    <w:p>
      <w:pPr>
        <w:sectPr>
          <w:pgSz w:w="11900" w:h="16838" w:orient="portrait"/>
          <w:cols w:equalWidth="0" w:num="1">
            <w:col w:w="10860"/>
          </w:cols>
          <w:pgMar w:left="320" w:top="1350" w:right="719" w:bottom="1440" w:gutter="0" w:footer="0" w:header="0"/>
        </w:sectPr>
      </w:pPr>
    </w:p>
    <w:bookmarkStart w:id="90" w:name="page91"/>
    <w:bookmarkEnd w:id="90"/>
    <w:p>
      <w:pPr>
        <w:jc w:val="center"/>
        <w:ind w:right="1079"/>
        <w:spacing w:after="0"/>
        <w:rPr>
          <w:sz w:val="20"/>
          <w:szCs w:val="20"/>
          <w:color w:val="auto"/>
        </w:rPr>
      </w:pPr>
      <w:r>
        <w:rPr>
          <w:rFonts w:ascii="Arial" w:cs="Arial" w:eastAsia="Arial" w:hAnsi="Arial"/>
          <w:sz w:val="20"/>
          <w:szCs w:val="20"/>
          <w:color w:val="auto"/>
        </w:rPr>
        <w:t>NCR INTERNATIONAL, INC.,</w:t>
      </w:r>
    </w:p>
    <w:p>
      <w:pPr>
        <w:spacing w:after="0" w:line="169"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/s/Vladimir Samoylenko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14230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Vladimir Samoylenko</w:t>
      </w:r>
    </w:p>
    <w:p>
      <w:pPr>
        <w:ind w:left="3040"/>
        <w:spacing w:after="0"/>
        <w:rPr>
          <w:sz w:val="20"/>
          <w:szCs w:val="20"/>
          <w:color w:val="auto"/>
        </w:rPr>
      </w:pPr>
      <w:r>
        <w:rPr>
          <w:rFonts w:ascii="Arial" w:cs="Arial" w:eastAsia="Arial" w:hAnsi="Arial"/>
          <w:sz w:val="21"/>
          <w:szCs w:val="21"/>
          <w:color w:val="auto"/>
        </w:rPr>
        <w:t>Title: Secretary</w:t>
      </w:r>
    </w:p>
    <w:p>
      <w:pPr>
        <w:spacing w:after="0" w:line="363"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COMPUTERSHARE TRUST COMPANY, N.A., as Trustee,</w:t>
      </w:r>
    </w:p>
    <w:p>
      <w:pPr>
        <w:spacing w:after="0" w:line="180"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 Scott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8782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Scott Little</w:t>
      </w:r>
    </w:p>
    <w:p>
      <w:pPr>
        <w:ind w:left="30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Supplemental Indenture]</w:t>
      </w:r>
    </w:p>
    <w:p>
      <w:pPr>
        <w:sectPr>
          <w:pgSz w:w="11900" w:h="16838" w:orient="portrait"/>
          <w:cols w:equalWidth="0" w:num="1">
            <w:col w:w="9019"/>
          </w:cols>
          <w:pgMar w:left="1440" w:top="1350"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right="180"/>
        <w:spacing w:after="0" w:line="234" w:lineRule="auto"/>
        <w:rPr>
          <w:sz w:val="20"/>
          <w:szCs w:val="20"/>
          <w:color w:val="auto"/>
        </w:rPr>
      </w:pPr>
      <w:r>
        <w:rPr>
          <w:rFonts w:ascii="Arial" w:cs="Arial" w:eastAsia="Arial" w:hAnsi="Arial"/>
          <w:sz w:val="19"/>
          <w:szCs w:val="19"/>
          <w:color w:val="auto"/>
        </w:rPr>
        <w:t>SECOND SUPPLEMENTAL INDENTURE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September 14, 2023, among NCR Corporation (or its successor), a Maryland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”),NCR Atleos, LLC, a Delaware limited liability company and a subsidiary of the Company (the “</w:t>
      </w:r>
      <w:r>
        <w:rPr>
          <w:rFonts w:ascii="Arial" w:cs="Arial" w:eastAsia="Arial" w:hAnsi="Arial"/>
          <w:sz w:val="19"/>
          <w:szCs w:val="19"/>
          <w:u w:val="single" w:color="auto"/>
          <w:color w:val="auto"/>
        </w:rPr>
        <w:t>New Guarantor</w:t>
      </w:r>
      <w:r>
        <w:rPr>
          <w:rFonts w:ascii="Arial" w:cs="Arial" w:eastAsia="Arial" w:hAnsi="Arial"/>
          <w:sz w:val="19"/>
          <w:szCs w:val="19"/>
          <w:color w:val="auto"/>
        </w:rPr>
        <w:t>”), ATM National, LLC, a Delaware limited liability company (“</w:t>
      </w:r>
      <w:r>
        <w:rPr>
          <w:rFonts w:ascii="Arial" w:cs="Arial" w:eastAsia="Arial" w:hAnsi="Arial"/>
          <w:sz w:val="19"/>
          <w:szCs w:val="19"/>
          <w:u w:val="single" w:color="auto"/>
          <w:color w:val="auto"/>
        </w:rPr>
        <w:t>ATM National</w:t>
      </w:r>
      <w:r>
        <w:rPr>
          <w:rFonts w:ascii="Arial" w:cs="Arial" w:eastAsia="Arial" w:hAnsi="Arial"/>
          <w:sz w:val="19"/>
          <w:szCs w:val="19"/>
          <w:color w:val="auto"/>
        </w:rPr>
        <w:t>”), Cardtronics Holdings, LLC, a Delaware limited liability company (“</w:t>
      </w:r>
      <w:r>
        <w:rPr>
          <w:rFonts w:ascii="Arial" w:cs="Arial" w:eastAsia="Arial" w:hAnsi="Arial"/>
          <w:sz w:val="19"/>
          <w:szCs w:val="19"/>
          <w:u w:val="single" w:color="auto"/>
          <w:color w:val="auto"/>
        </w:rPr>
        <w:t>Cardtronics</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Holdings</w:t>
      </w:r>
      <w:r>
        <w:rPr>
          <w:rFonts w:ascii="Arial" w:cs="Arial" w:eastAsia="Arial" w:hAnsi="Arial"/>
          <w:sz w:val="19"/>
          <w:szCs w:val="19"/>
          <w:color w:val="auto"/>
        </w:rPr>
        <w:t>”), Cardtronics, Inc., a Delaware corporation (“</w:t>
      </w:r>
      <w:r>
        <w:rPr>
          <w:rFonts w:ascii="Arial" w:cs="Arial" w:eastAsia="Arial" w:hAnsi="Arial"/>
          <w:sz w:val="19"/>
          <w:szCs w:val="19"/>
          <w:u w:val="single" w:color="auto"/>
          <w:color w:val="auto"/>
        </w:rPr>
        <w:t>Cardtronics</w:t>
      </w:r>
      <w:r>
        <w:rPr>
          <w:rFonts w:ascii="Arial" w:cs="Arial" w:eastAsia="Arial" w:hAnsi="Arial"/>
          <w:sz w:val="19"/>
          <w:szCs w:val="19"/>
          <w:color w:val="auto"/>
        </w:rPr>
        <w:t>”), Cardtronics USA, Inc., a Delaware corporation (“</w:t>
      </w:r>
      <w:r>
        <w:rPr>
          <w:rFonts w:ascii="Arial" w:cs="Arial" w:eastAsia="Arial" w:hAnsi="Arial"/>
          <w:sz w:val="19"/>
          <w:szCs w:val="19"/>
          <w:u w:val="single" w:color="auto"/>
          <w:color w:val="auto"/>
        </w:rPr>
        <w:t>Cardtronics USA</w:t>
      </w:r>
      <w:r>
        <w:rPr>
          <w:rFonts w:ascii="Arial" w:cs="Arial" w:eastAsia="Arial" w:hAnsi="Arial"/>
          <w:sz w:val="19"/>
          <w:szCs w:val="19"/>
          <w:color w:val="auto"/>
        </w:rPr>
        <w:t>”), CATM Holdings LLC, a Delaware limited liability company (“</w:t>
      </w:r>
      <w:r>
        <w:rPr>
          <w:rFonts w:ascii="Arial" w:cs="Arial" w:eastAsia="Arial" w:hAnsi="Arial"/>
          <w:sz w:val="19"/>
          <w:szCs w:val="19"/>
          <w:u w:val="single" w:color="auto"/>
          <w:color w:val="auto"/>
        </w:rPr>
        <w:t>CATM Holdings</w:t>
      </w:r>
      <w:r>
        <w:rPr>
          <w:rFonts w:ascii="Arial" w:cs="Arial" w:eastAsia="Arial" w:hAnsi="Arial"/>
          <w:sz w:val="19"/>
          <w:szCs w:val="19"/>
          <w:color w:val="auto"/>
        </w:rPr>
        <w:t>”), NCR International, Inc., a Delaware corporation (collectively with ATM National, Cardtronics Holdings, Cardtronics, Cardtronics USA and CATM Holdings, the “</w:t>
      </w:r>
      <w:r>
        <w:rPr>
          <w:rFonts w:ascii="Arial" w:cs="Arial" w:eastAsia="Arial" w:hAnsi="Arial"/>
          <w:sz w:val="19"/>
          <w:szCs w:val="19"/>
          <w:u w:val="single" w:color="auto"/>
          <w:color w:val="auto"/>
        </w:rPr>
        <w:t>Existing Guarantors</w:t>
      </w:r>
      <w:r>
        <w:rPr>
          <w:rFonts w:ascii="Arial" w:cs="Arial" w:eastAsia="Arial" w:hAnsi="Arial"/>
          <w:sz w:val="19"/>
          <w:szCs w:val="19"/>
          <w:color w:val="auto"/>
        </w:rPr>
        <w:t>”), and COMPUTERSHARE TRUST COMPANY, N.A., as successor trustee to Wells Fargo Bank, National Association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 :</w:t>
      </w:r>
    </w:p>
    <w:p>
      <w:pPr>
        <w:spacing w:after="0" w:line="381" w:lineRule="exact"/>
        <w:rPr>
          <w:sz w:val="20"/>
          <w:szCs w:val="20"/>
          <w:color w:val="auto"/>
        </w:rPr>
      </w:pPr>
    </w:p>
    <w:p>
      <w:pPr>
        <w:ind w:right="20" w:firstLine="1245"/>
        <w:spacing w:after="0" w:line="220" w:lineRule="auto"/>
        <w:rPr>
          <w:sz w:val="20"/>
          <w:szCs w:val="20"/>
          <w:color w:val="auto"/>
        </w:rPr>
      </w:pPr>
      <w:r>
        <w:rPr>
          <w:rFonts w:ascii="Arial" w:cs="Arial" w:eastAsia="Arial" w:hAnsi="Arial"/>
          <w:sz w:val="21"/>
          <w:szCs w:val="21"/>
          <w:color w:val="auto"/>
        </w:rPr>
        <w:t>WHEREAS the Company and the Existing Guarantors have heretofore executed and delivered to the Trustee an Indenture (as supplemented by a Supplemental Indenture, dated as of October 14, 2021, and as otherwise amended, restated, or modified from time to time, the “</w:t>
      </w:r>
      <w:r>
        <w:rPr>
          <w:rFonts w:ascii="Arial" w:cs="Arial" w:eastAsia="Arial" w:hAnsi="Arial"/>
          <w:sz w:val="21"/>
          <w:szCs w:val="21"/>
          <w:u w:val="single" w:color="auto"/>
          <w:color w:val="auto"/>
        </w:rPr>
        <w:t>Indenture</w:t>
      </w:r>
      <w:r>
        <w:rPr>
          <w:rFonts w:ascii="Arial" w:cs="Arial" w:eastAsia="Arial" w:hAnsi="Arial"/>
          <w:sz w:val="21"/>
          <w:szCs w:val="21"/>
          <w:color w:val="auto"/>
        </w:rPr>
        <w:t>”) dated as of August 21, 2019, providing for the issuance of 6.125% Senior Notes due 2029 (the “</w:t>
      </w:r>
      <w:r>
        <w:rPr>
          <w:rFonts w:ascii="Arial" w:cs="Arial" w:eastAsia="Arial" w:hAnsi="Arial"/>
          <w:sz w:val="21"/>
          <w:szCs w:val="21"/>
          <w:u w:val="single" w:color="auto"/>
          <w:color w:val="auto"/>
        </w:rPr>
        <w:t>Securities</w:t>
      </w:r>
      <w:r>
        <w:rPr>
          <w:rFonts w:ascii="Arial" w:cs="Arial" w:eastAsia="Arial" w:hAnsi="Arial"/>
          <w:sz w:val="21"/>
          <w:szCs w:val="21"/>
          <w:color w:val="auto"/>
        </w:rPr>
        <w:t>”);</w:t>
      </w:r>
    </w:p>
    <w:p>
      <w:pPr>
        <w:spacing w:after="0" w:line="152" w:lineRule="exact"/>
        <w:rPr>
          <w:sz w:val="20"/>
          <w:szCs w:val="20"/>
          <w:color w:val="auto"/>
        </w:rPr>
      </w:pPr>
    </w:p>
    <w:p>
      <w:pPr>
        <w:ind w:right="220" w:firstLine="1245"/>
        <w:spacing w:after="0" w:line="220" w:lineRule="auto"/>
        <w:rPr>
          <w:sz w:val="20"/>
          <w:szCs w:val="20"/>
          <w:color w:val="auto"/>
        </w:rPr>
      </w:pPr>
      <w:r>
        <w:rPr>
          <w:rFonts w:ascii="Arial" w:cs="Arial" w:eastAsia="Arial" w:hAnsi="Arial"/>
          <w:sz w:val="21"/>
          <w:szCs w:val="21"/>
          <w:color w:val="auto"/>
        </w:rPr>
        <w:t>WHEREAS Section 4.11 of the Indenture provides that under certain circumstances the Company is required to cause the New Guarantor to execute and deliver to the Trustee a supplemental indenture pursuant to which the New Guarantor shall unconditionally guarantee all the Company’s obligations under the Securities pursuant to a Subsidiary Guarantee on the terms and conditions set forth herein; and</w:t>
      </w:r>
    </w:p>
    <w:p>
      <w:pPr>
        <w:spacing w:after="0" w:line="152" w:lineRule="exact"/>
        <w:rPr>
          <w:sz w:val="20"/>
          <w:szCs w:val="20"/>
          <w:color w:val="auto"/>
        </w:rPr>
      </w:pPr>
    </w:p>
    <w:p>
      <w:pPr>
        <w:ind w:right="620" w:firstLine="1245"/>
        <w:spacing w:after="0" w:line="234" w:lineRule="auto"/>
        <w:rPr>
          <w:sz w:val="20"/>
          <w:szCs w:val="20"/>
          <w:color w:val="auto"/>
        </w:rPr>
      </w:pPr>
      <w:r>
        <w:rPr>
          <w:rFonts w:ascii="Arial" w:cs="Arial" w:eastAsia="Arial" w:hAnsi="Arial"/>
          <w:sz w:val="21"/>
          <w:szCs w:val="21"/>
          <w:color w:val="auto"/>
        </w:rPr>
        <w:t>WHEREAS pursuant to Section 9.01 of the Indenture, the Trustee, the Company and the Existing Guarantors are authorized to execute and deliver this Supplemental Indenture;</w:t>
      </w:r>
    </w:p>
    <w:p>
      <w:pPr>
        <w:spacing w:after="0" w:line="151" w:lineRule="exact"/>
        <w:rPr>
          <w:sz w:val="20"/>
          <w:szCs w:val="20"/>
          <w:color w:val="auto"/>
        </w:rPr>
      </w:pPr>
    </w:p>
    <w:p>
      <w:pPr>
        <w:jc w:val="both"/>
        <w:ind w:right="360" w:firstLine="1245"/>
        <w:spacing w:after="0" w:line="225"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New Guarantor, the Company, the Existing Guarantors and the Trustee mutually covenant and agree for the equal and ratable benefit of the holders of the Securities as follows:</w:t>
      </w:r>
    </w:p>
    <w:p>
      <w:pPr>
        <w:spacing w:after="0" w:line="151" w:lineRule="exact"/>
        <w:rPr>
          <w:sz w:val="20"/>
          <w:szCs w:val="20"/>
          <w:color w:val="auto"/>
        </w:rPr>
      </w:pPr>
    </w:p>
    <w:p>
      <w:pPr>
        <w:ind w:right="20" w:firstLine="1248"/>
        <w:spacing w:after="0" w:line="253" w:lineRule="auto"/>
        <w:tabs>
          <w:tab w:leader="none" w:pos="1452"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xml:space="preserve"> The New Guarantor hereby agrees, jointly and severally with all the Existing Guarantors, to unconditionally guarantee the Company’s obligations under the Securities on the terms and subject to the conditions set forth in Article 10 of the Indenture and to be bound by all other applicable provisions of the Indenture and the Securities.</w:t>
      </w:r>
    </w:p>
    <w:p>
      <w:pPr>
        <w:spacing w:after="0" w:line="138" w:lineRule="exact"/>
        <w:rPr>
          <w:rFonts w:ascii="Arial" w:cs="Arial" w:eastAsia="Arial" w:hAnsi="Arial"/>
          <w:sz w:val="19"/>
          <w:szCs w:val="19"/>
          <w:color w:val="auto"/>
        </w:rPr>
      </w:pPr>
    </w:p>
    <w:p>
      <w:pPr>
        <w:ind w:right="360" w:firstLine="1248"/>
        <w:spacing w:after="0" w:line="220" w:lineRule="auto"/>
        <w:tabs>
          <w:tab w:leader="none" w:pos="1504"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Ratification of Indenture; Supplemental Indentures Part of Indenture.</w:t>
      </w:r>
      <w:r>
        <w:rPr>
          <w:rFonts w:ascii="Arial" w:cs="Arial" w:eastAsia="Arial" w:hAnsi="Arial"/>
          <w:sz w:val="21"/>
          <w:szCs w:val="21"/>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pacing w:after="0" w:line="145" w:lineRule="exact"/>
        <w:rPr>
          <w:rFonts w:ascii="Arial" w:cs="Arial" w:eastAsia="Arial" w:hAnsi="Arial"/>
          <w:sz w:val="21"/>
          <w:szCs w:val="21"/>
          <w:color w:val="auto"/>
        </w:rPr>
      </w:pPr>
    </w:p>
    <w:p>
      <w:pPr>
        <w:ind w:left="1460" w:hanging="212"/>
        <w:spacing w:after="0"/>
        <w:tabs>
          <w:tab w:leader="none" w:pos="146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SUPPLEMENTAL INDENTURE SHALL BE GOVERNED BY, AND CONSTRUED IN</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b w:val="1"/>
          <w:bCs w:val="1"/>
          <w:color w:val="auto"/>
        </w:rPr>
        <w:t>ACCORDANCE WITH, THE LAWS OF THE STATE OF NEW YORK.</w:t>
      </w:r>
    </w:p>
    <w:p>
      <w:pPr>
        <w:sectPr>
          <w:pgSz w:w="11900" w:h="16838" w:orient="portrait"/>
          <w:cols w:equalWidth="0" w:num="1">
            <w:col w:w="11240"/>
          </w:cols>
          <w:pgMar w:left="320" w:top="100" w:right="339" w:bottom="1440" w:gutter="0" w:footer="0" w:header="0"/>
        </w:sectPr>
      </w:pPr>
    </w:p>
    <w:bookmarkStart w:id="92" w:name="page93"/>
    <w:bookmarkEnd w:id="92"/>
    <w:p>
      <w:pPr>
        <w:ind w:right="440" w:firstLine="1248"/>
        <w:spacing w:after="0" w:line="234" w:lineRule="auto"/>
        <w:tabs>
          <w:tab w:leader="none" w:pos="1452"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Trustee Makes No Representation.</w:t>
      </w:r>
      <w:r>
        <w:rPr>
          <w:rFonts w:ascii="Arial" w:cs="Arial" w:eastAsia="Arial" w:hAnsi="Arial"/>
          <w:sz w:val="21"/>
          <w:szCs w:val="21"/>
          <w:color w:val="auto"/>
        </w:rPr>
        <w:t xml:space="preserve"> The Trustee makes no representation as to the validity or sufficiency of this Supplemental Indenture.</w:t>
      </w:r>
    </w:p>
    <w:p>
      <w:pPr>
        <w:spacing w:after="0" w:line="151" w:lineRule="exact"/>
        <w:rPr>
          <w:rFonts w:ascii="Arial" w:cs="Arial" w:eastAsia="Arial" w:hAnsi="Arial"/>
          <w:sz w:val="21"/>
          <w:szCs w:val="21"/>
          <w:color w:val="auto"/>
        </w:rPr>
      </w:pPr>
    </w:p>
    <w:p>
      <w:pPr>
        <w:ind w:firstLine="1248"/>
        <w:spacing w:after="0" w:line="234" w:lineRule="auto"/>
        <w:tabs>
          <w:tab w:leader="none" w:pos="1452"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The parties may sign any number of copies of this Supplemental Indenture. Each signed copy shall be an original, but all of them together represent the same agreement.</w:t>
      </w:r>
    </w:p>
    <w:p>
      <w:pPr>
        <w:spacing w:after="0" w:line="151" w:lineRule="exact"/>
        <w:rPr>
          <w:rFonts w:ascii="Arial" w:cs="Arial" w:eastAsia="Arial" w:hAnsi="Arial"/>
          <w:sz w:val="21"/>
          <w:szCs w:val="21"/>
          <w:color w:val="auto"/>
        </w:rPr>
      </w:pPr>
    </w:p>
    <w:p>
      <w:pPr>
        <w:ind w:left="1460" w:hanging="212"/>
        <w:spacing w:after="0"/>
        <w:tabs>
          <w:tab w:leader="none" w:pos="146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xml:space="preserve"> The Section headings herein are for convenience only and shall not affect the construction</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thereof.</w:t>
      </w:r>
    </w:p>
    <w:p>
      <w:pPr>
        <w:sectPr>
          <w:pgSz w:w="11900" w:h="16838" w:orient="portrait"/>
          <w:cols w:equalWidth="0" w:num="1">
            <w:col w:w="11080"/>
          </w:cols>
          <w:pgMar w:left="320" w:top="1350" w:right="499" w:bottom="1440" w:gutter="0" w:footer="0" w:header="0"/>
        </w:sectPr>
      </w:pPr>
    </w:p>
    <w:bookmarkStart w:id="93" w:name="page94"/>
    <w:bookmarkEnd w:id="93"/>
    <w:p>
      <w:pPr>
        <w:ind w:firstLine="1245"/>
        <w:spacing w:after="0" w:line="234"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as of the date first above written.</w:t>
      </w:r>
    </w:p>
    <w:p>
      <w:pPr>
        <w:spacing w:after="0" w:line="151"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NCR ATLEOS, LLC,</w:t>
      </w:r>
    </w:p>
    <w:p>
      <w:pPr>
        <w:spacing w:after="0" w:line="157" w:lineRule="exact"/>
        <w:rPr>
          <w:sz w:val="20"/>
          <w:szCs w:val="20"/>
          <w:color w:val="auto"/>
        </w:rPr>
      </w:pPr>
    </w:p>
    <w:p>
      <w:pPr>
        <w:ind w:left="3940"/>
        <w:spacing w:after="0"/>
        <w:rPr>
          <w:sz w:val="20"/>
          <w:szCs w:val="20"/>
          <w:color w:val="auto"/>
        </w:rPr>
      </w:pPr>
      <w:r>
        <w:rPr>
          <w:rFonts w:ascii="Arial" w:cs="Arial" w:eastAsia="Arial" w:hAnsi="Arial"/>
          <w:sz w:val="21"/>
          <w:szCs w:val="21"/>
          <w:color w:val="auto"/>
        </w:rPr>
        <w:t>by /s/ Timothy C. Oliver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-5715</wp:posOffset>
            </wp:positionV>
            <wp:extent cx="12611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4160"/>
        <w:spacing w:after="0" w:line="206" w:lineRule="auto"/>
        <w:rPr>
          <w:sz w:val="20"/>
          <w:szCs w:val="20"/>
          <w:color w:val="auto"/>
        </w:rPr>
      </w:pPr>
      <w:r>
        <w:rPr>
          <w:rFonts w:ascii="Arial" w:cs="Arial" w:eastAsia="Arial" w:hAnsi="Arial"/>
          <w:sz w:val="21"/>
          <w:szCs w:val="21"/>
          <w:color w:val="auto"/>
        </w:rPr>
        <w:t>Name: Timothy C. Oliver</w:t>
      </w:r>
    </w:p>
    <w:p>
      <w:pPr>
        <w:ind w:left="4160"/>
        <w:spacing w:after="0"/>
        <w:rPr>
          <w:sz w:val="20"/>
          <w:szCs w:val="20"/>
          <w:color w:val="auto"/>
        </w:rPr>
      </w:pPr>
      <w:r>
        <w:rPr>
          <w:rFonts w:ascii="Arial" w:cs="Arial" w:eastAsia="Arial" w:hAnsi="Arial"/>
          <w:sz w:val="21"/>
          <w:szCs w:val="21"/>
          <w:color w:val="auto"/>
        </w:rPr>
        <w:t>Title: President</w:t>
      </w:r>
    </w:p>
    <w:p>
      <w:pPr>
        <w:spacing w:after="0" w:line="363" w:lineRule="exact"/>
        <w:rPr>
          <w:sz w:val="20"/>
          <w:szCs w:val="20"/>
          <w:color w:val="auto"/>
        </w:rPr>
      </w:pPr>
    </w:p>
    <w:tbl>
      <w:tblPr>
        <w:tblLayout w:type="fixed"/>
        <w:tblInd w:w="3740" w:type="dxa"/>
        <w:tblCellMar>
          <w:top w:w="0" w:type="dxa"/>
          <w:left w:w="0" w:type="dxa"/>
          <w:bottom w:w="0" w:type="dxa"/>
          <w:right w:w="0" w:type="dxa"/>
        </w:tblCellMar>
      </w:tblPr>
      <w:tr>
        <w:trPr>
          <w:trHeight w:val="265"/>
        </w:trPr>
        <w:tc>
          <w:tcPr>
            <w:tcW w:w="4220" w:type="dxa"/>
            <w:vAlign w:val="bottom"/>
            <w:gridSpan w:val="6"/>
          </w:tcPr>
          <w:p>
            <w:pPr>
              <w:spacing w:after="0"/>
              <w:rPr>
                <w:sz w:val="20"/>
                <w:szCs w:val="20"/>
                <w:color w:val="auto"/>
              </w:rPr>
            </w:pPr>
            <w:r>
              <w:rPr>
                <w:rFonts w:ascii="Arial" w:cs="Arial" w:eastAsia="Arial" w:hAnsi="Arial"/>
                <w:sz w:val="21"/>
                <w:szCs w:val="21"/>
                <w:color w:val="auto"/>
              </w:rPr>
              <w:t>NCR CORPORATION,</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/s/Timothy C. Oliver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 w:type="dxa"/>
            <w:vAlign w:val="bottom"/>
            <w:vMerge w:val="continue"/>
          </w:tcPr>
          <w:p>
            <w:pPr>
              <w:spacing w:after="0"/>
              <w:rPr>
                <w:sz w:val="15"/>
                <w:szCs w:val="15"/>
                <w:color w:val="auto"/>
              </w:rPr>
            </w:pPr>
          </w:p>
        </w:tc>
        <w:tc>
          <w:tcPr>
            <w:tcW w:w="3760" w:type="dxa"/>
            <w:vAlign w:val="bottom"/>
            <w:gridSpan w:val="5"/>
          </w:tcPr>
          <w:p>
            <w:pPr>
              <w:spacing w:after="0" w:line="179" w:lineRule="exact"/>
              <w:rPr>
                <w:sz w:val="20"/>
                <w:szCs w:val="20"/>
                <w:color w:val="auto"/>
              </w:rPr>
            </w:pPr>
            <w:r>
              <w:rPr>
                <w:rFonts w:ascii="Arial" w:cs="Arial" w:eastAsia="Arial" w:hAnsi="Arial"/>
                <w:sz w:val="20"/>
                <w:szCs w:val="20"/>
                <w:color w:val="auto"/>
              </w:rPr>
              <w:t>Name: Timothy C. Oliver</w:t>
            </w:r>
          </w:p>
        </w:tc>
        <w:tc>
          <w:tcPr>
            <w:tcW w:w="1780" w:type="dxa"/>
            <w:vAlign w:val="bottom"/>
            <w:vMerge w:val="restart"/>
          </w:tcPr>
          <w:p>
            <w:pPr>
              <w:ind w:left="360"/>
              <w:spacing w:after="0"/>
              <w:rPr>
                <w:sz w:val="20"/>
                <w:szCs w:val="20"/>
                <w:color w:val="auto"/>
              </w:rPr>
            </w:pPr>
            <w:r>
              <w:rPr>
                <w:rFonts w:ascii="Arial" w:cs="Arial" w:eastAsia="Arial" w:hAnsi="Arial"/>
                <w:sz w:val="21"/>
                <w:szCs w:val="21"/>
                <w:color w:val="auto"/>
                <w:w w:val="92"/>
              </w:rPr>
              <w:t>Financial Officer</w:t>
            </w: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w w:val="99"/>
              </w:rPr>
              <w:t>Title: Executive Vice President and Chief</w:t>
            </w:r>
          </w:p>
        </w:tc>
        <w:tc>
          <w:tcPr>
            <w:tcW w:w="1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ATM NATIONAL,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20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2240" w:type="dxa"/>
            <w:vAlign w:val="bottom"/>
            <w:tcBorders>
              <w:top w:val="single" w:sz="8" w:color="auto"/>
            </w:tcBorders>
            <w:gridSpan w:val="3"/>
          </w:tcPr>
          <w:p>
            <w:pPr>
              <w:spacing w:after="0" w:line="179" w:lineRule="exact"/>
              <w:rPr>
                <w:sz w:val="20"/>
                <w:szCs w:val="20"/>
                <w:color w:val="auto"/>
              </w:rPr>
            </w:pPr>
            <w:r>
              <w:rPr>
                <w:rFonts w:ascii="Arial" w:cs="Arial" w:eastAsia="Arial" w:hAnsi="Arial"/>
                <w:sz w:val="20"/>
                <w:szCs w:val="20"/>
                <w:color w:val="auto"/>
                <w:w w:val="87"/>
              </w:rPr>
              <w:t>Name: Vladimir Samoylenko</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CARDTRONICS USA,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220" w:type="dxa"/>
            <w:vAlign w:val="bottom"/>
            <w:gridSpan w:val="6"/>
          </w:tcPr>
          <w:p>
            <w:pPr>
              <w:spacing w:after="0"/>
              <w:rPr>
                <w:sz w:val="20"/>
                <w:szCs w:val="20"/>
                <w:color w:val="auto"/>
              </w:rPr>
            </w:pPr>
            <w:r>
              <w:rPr>
                <w:rFonts w:ascii="Arial" w:cs="Arial" w:eastAsia="Arial" w:hAnsi="Arial"/>
                <w:sz w:val="21"/>
                <w:szCs w:val="21"/>
                <w:color w:val="auto"/>
              </w:rPr>
              <w:t>CATM HOLDINGS LLC,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by /s/Vladimir Samoylenko</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gridSpan w:val="5"/>
          </w:tcPr>
          <w:p>
            <w:pPr>
              <w:ind w:left="420"/>
              <w:spacing w:after="0" w:line="179" w:lineRule="exact"/>
              <w:rPr>
                <w:sz w:val="20"/>
                <w:szCs w:val="20"/>
                <w:color w:val="auto"/>
              </w:rPr>
            </w:pPr>
            <w:r>
              <w:rPr>
                <w:rFonts w:ascii="Arial" w:cs="Arial" w:eastAsia="Arial" w:hAnsi="Arial"/>
                <w:sz w:val="20"/>
                <w:szCs w:val="20"/>
                <w:color w:val="auto"/>
                <w:w w:val="98"/>
              </w:rPr>
              <w:t>Name: Vladimir Samoylenko</w:t>
            </w:r>
          </w:p>
        </w:tc>
        <w:tc>
          <w:tcPr>
            <w:tcW w:w="13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20" w:type="dxa"/>
            <w:vAlign w:val="bottom"/>
            <w:gridSpan w:val="6"/>
          </w:tcPr>
          <w:p>
            <w:pPr>
              <w:ind w:left="420"/>
              <w:spacing w:after="0"/>
              <w:rPr>
                <w:sz w:val="20"/>
                <w:szCs w:val="20"/>
                <w:color w:val="auto"/>
              </w:rPr>
            </w:pPr>
            <w:r>
              <w:rPr>
                <w:rFonts w:ascii="Arial" w:cs="Arial" w:eastAsia="Arial" w:hAnsi="Arial"/>
                <w:sz w:val="21"/>
                <w:szCs w:val="21"/>
                <w:color w:val="auto"/>
              </w:rPr>
              <w:t>Title: Manager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[Signature Page to Supplemental Indenture]</w:t>
      </w:r>
    </w:p>
    <w:p>
      <w:pPr>
        <w:sectPr>
          <w:pgSz w:w="11900" w:h="16838" w:orient="portrait"/>
          <w:cols w:equalWidth="0" w:num="1">
            <w:col w:w="10860"/>
          </w:cols>
          <w:pgMar w:left="320" w:top="1350" w:right="719" w:bottom="1440" w:gutter="0" w:footer="0" w:header="0"/>
        </w:sectPr>
      </w:pPr>
    </w:p>
    <w:bookmarkStart w:id="94" w:name="page95"/>
    <w:bookmarkEnd w:id="94"/>
    <w:p>
      <w:pPr>
        <w:jc w:val="center"/>
        <w:ind w:right="1079"/>
        <w:spacing w:after="0"/>
        <w:rPr>
          <w:sz w:val="20"/>
          <w:szCs w:val="20"/>
          <w:color w:val="auto"/>
        </w:rPr>
      </w:pPr>
      <w:r>
        <w:rPr>
          <w:rFonts w:ascii="Arial" w:cs="Arial" w:eastAsia="Arial" w:hAnsi="Arial"/>
          <w:sz w:val="20"/>
          <w:szCs w:val="20"/>
          <w:color w:val="auto"/>
        </w:rPr>
        <w:t>NCR INTERNATIONAL, INC.,</w:t>
      </w:r>
    </w:p>
    <w:p>
      <w:pPr>
        <w:spacing w:after="0" w:line="169"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/s/Vladimir Samoylenko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1423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Vladimir Samoylenko</w:t>
      </w:r>
    </w:p>
    <w:p>
      <w:pPr>
        <w:ind w:left="3040"/>
        <w:spacing w:after="0"/>
        <w:rPr>
          <w:sz w:val="20"/>
          <w:szCs w:val="20"/>
          <w:color w:val="auto"/>
        </w:rPr>
      </w:pPr>
      <w:r>
        <w:rPr>
          <w:rFonts w:ascii="Arial" w:cs="Arial" w:eastAsia="Arial" w:hAnsi="Arial"/>
          <w:sz w:val="21"/>
          <w:szCs w:val="21"/>
          <w:color w:val="auto"/>
        </w:rPr>
        <w:t>Title: Secretary</w:t>
      </w:r>
    </w:p>
    <w:p>
      <w:pPr>
        <w:spacing w:after="0" w:line="363"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COMPUTERSHARE TRUST COMPANY, N.A., as Trustee,</w:t>
      </w:r>
    </w:p>
    <w:p>
      <w:pPr>
        <w:spacing w:after="0" w:line="180"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by /s/ Scott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-5715</wp:posOffset>
            </wp:positionV>
            <wp:extent cx="8782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ind w:left="3040"/>
        <w:spacing w:after="0" w:line="206" w:lineRule="auto"/>
        <w:rPr>
          <w:sz w:val="20"/>
          <w:szCs w:val="20"/>
          <w:color w:val="auto"/>
        </w:rPr>
      </w:pPr>
      <w:r>
        <w:rPr>
          <w:rFonts w:ascii="Arial" w:cs="Arial" w:eastAsia="Arial" w:hAnsi="Arial"/>
          <w:sz w:val="21"/>
          <w:szCs w:val="21"/>
          <w:color w:val="auto"/>
        </w:rPr>
        <w:t>Name: Scott Little</w:t>
      </w:r>
    </w:p>
    <w:p>
      <w:pPr>
        <w:ind w:left="30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Supplemental Indenture]</w:t>
      </w:r>
    </w:p>
    <w:p>
      <w:pPr>
        <w:sectPr>
          <w:pgSz w:w="11900" w:h="16838" w:orient="portrait"/>
          <w:cols w:equalWidth="0" w:num="1">
            <w:col w:w="9019"/>
          </w:cols>
          <w:pgMar w:left="1440" w:top="1350"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FOURTH AMENDMENT TO THE</w:t>
      </w:r>
    </w:p>
    <w:p>
      <w:pPr>
        <w:jc w:val="center"/>
        <w:spacing w:after="0"/>
        <w:rPr>
          <w:sz w:val="20"/>
          <w:szCs w:val="20"/>
          <w:color w:val="auto"/>
        </w:rPr>
      </w:pPr>
      <w:r>
        <w:rPr>
          <w:rFonts w:ascii="Arial" w:cs="Arial" w:eastAsia="Arial" w:hAnsi="Arial"/>
          <w:sz w:val="21"/>
          <w:szCs w:val="21"/>
          <w:b w:val="1"/>
          <w:bCs w:val="1"/>
          <w:color w:val="auto"/>
        </w:rPr>
        <w:t>RECEIVABLES PURCHASE AGREEMENT</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FOURTH AMENDMENT TO THE RECEIVABLES PURCHASE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w:t>
      </w:r>
    </w:p>
    <w:p>
      <w:pPr>
        <w:spacing w:after="0"/>
        <w:rPr>
          <w:sz w:val="20"/>
          <w:szCs w:val="20"/>
          <w:color w:val="auto"/>
        </w:rPr>
      </w:pPr>
      <w:r>
        <w:rPr>
          <w:rFonts w:ascii="Arial" w:cs="Arial" w:eastAsia="Arial" w:hAnsi="Arial"/>
          <w:sz w:val="21"/>
          <w:szCs w:val="21"/>
          <w:color w:val="auto"/>
        </w:rPr>
        <w:t>August 7, 2023, is entered into by and among the following parties:</w:t>
      </w:r>
    </w:p>
    <w:p>
      <w:pPr>
        <w:spacing w:after="0" w:line="155" w:lineRule="exact"/>
        <w:rPr>
          <w:sz w:val="20"/>
          <w:szCs w:val="20"/>
          <w:color w:val="auto"/>
        </w:rPr>
      </w:pPr>
    </w:p>
    <w:p>
      <w:pPr>
        <w:ind w:left="1240" w:hanging="614"/>
        <w:spacing w:after="0" w:line="234" w:lineRule="auto"/>
        <w:tabs>
          <w:tab w:leader="none" w:pos="1228" w:val="left"/>
        </w:tabs>
        <w:numPr>
          <w:ilvl w:val="0"/>
          <w:numId w:val="37"/>
        </w:numPr>
        <w:rPr>
          <w:rFonts w:ascii="Arial" w:cs="Arial" w:eastAsia="Arial" w:hAnsi="Arial"/>
          <w:sz w:val="21"/>
          <w:szCs w:val="21"/>
          <w:color w:val="auto"/>
        </w:rPr>
      </w:pPr>
      <w:r>
        <w:rPr>
          <w:rFonts w:ascii="Arial" w:cs="Arial" w:eastAsia="Arial" w:hAnsi="Arial"/>
          <w:sz w:val="21"/>
          <w:szCs w:val="21"/>
          <w:color w:val="auto"/>
        </w:rPr>
        <w:t>NCR RECEIVABLES, LLC, a Delaware limited liability company, as Seller (together with its successors and assigns, the “</w:t>
      </w:r>
      <w:r>
        <w:rPr>
          <w:rFonts w:ascii="Arial" w:cs="Arial" w:eastAsia="Arial" w:hAnsi="Arial"/>
          <w:sz w:val="21"/>
          <w:szCs w:val="21"/>
          <w:u w:val="single" w:color="auto"/>
          <w:color w:val="auto"/>
        </w:rPr>
        <w:t>Seller</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1240" w:hanging="614"/>
        <w:spacing w:after="0" w:line="234" w:lineRule="auto"/>
        <w:tabs>
          <w:tab w:leader="none" w:pos="1234" w:val="left"/>
        </w:tabs>
        <w:numPr>
          <w:ilvl w:val="0"/>
          <w:numId w:val="37"/>
        </w:numPr>
        <w:rPr>
          <w:rFonts w:ascii="Arial" w:cs="Arial" w:eastAsia="Arial" w:hAnsi="Arial"/>
          <w:sz w:val="21"/>
          <w:szCs w:val="21"/>
          <w:color w:val="auto"/>
        </w:rPr>
      </w:pPr>
      <w:r>
        <w:rPr>
          <w:rFonts w:ascii="Arial" w:cs="Arial" w:eastAsia="Arial" w:hAnsi="Arial"/>
          <w:sz w:val="21"/>
          <w:szCs w:val="21"/>
          <w:color w:val="auto"/>
        </w:rPr>
        <w:t>NCR CANADA RECEIVABLES, LP, a limited partnership formed under the laws of the Province of Ontario, Canada, as Canadian Guarantor (the “</w:t>
      </w:r>
      <w:r>
        <w:rPr>
          <w:rFonts w:ascii="Arial" w:cs="Arial" w:eastAsia="Arial" w:hAnsi="Arial"/>
          <w:sz w:val="21"/>
          <w:szCs w:val="21"/>
          <w:u w:val="single" w:color="auto"/>
          <w:color w:val="auto"/>
        </w:rPr>
        <w:t>Guarantor</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1240" w:hanging="614"/>
        <w:spacing w:after="0" w:line="234" w:lineRule="auto"/>
        <w:tabs>
          <w:tab w:leader="none" w:pos="12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NCR CORPORATION, a Maryland corporation, as an initial Servicer (in such capacity, the “</w:t>
      </w:r>
      <w:r>
        <w:rPr>
          <w:rFonts w:ascii="Arial" w:cs="Arial" w:eastAsia="Arial" w:hAnsi="Arial"/>
          <w:sz w:val="21"/>
          <w:szCs w:val="21"/>
          <w:u w:val="single" w:color="auto"/>
          <w:color w:val="auto"/>
        </w:rPr>
        <w:t>U.S. Servicer</w:t>
      </w:r>
      <w:r>
        <w:rPr>
          <w:rFonts w:ascii="Arial" w:cs="Arial" w:eastAsia="Arial" w:hAnsi="Arial"/>
          <w:sz w:val="21"/>
          <w:szCs w:val="21"/>
          <w:color w:val="auto"/>
        </w:rPr>
        <w:t>”) and as the Performance Guarantor (in such capacity, the “</w:t>
      </w:r>
      <w:r>
        <w:rPr>
          <w:rFonts w:ascii="Arial" w:cs="Arial" w:eastAsia="Arial" w:hAnsi="Arial"/>
          <w:sz w:val="21"/>
          <w:szCs w:val="21"/>
          <w:u w:val="single" w:color="auto"/>
          <w:color w:val="auto"/>
        </w:rPr>
        <w:t>Performance Guarantor</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left="1240" w:hanging="614"/>
        <w:spacing w:after="0" w:line="225" w:lineRule="auto"/>
        <w:tabs>
          <w:tab w:leader="none" w:pos="1228" w:val="left"/>
        </w:tabs>
        <w:numPr>
          <w:ilvl w:val="0"/>
          <w:numId w:val="37"/>
        </w:numPr>
        <w:rPr>
          <w:rFonts w:ascii="Arial" w:cs="Arial" w:eastAsia="Arial" w:hAnsi="Arial"/>
          <w:sz w:val="21"/>
          <w:szCs w:val="21"/>
          <w:color w:val="auto"/>
        </w:rPr>
      </w:pPr>
      <w:r>
        <w:rPr>
          <w:rFonts w:ascii="Arial" w:cs="Arial" w:eastAsia="Arial" w:hAnsi="Arial"/>
          <w:sz w:val="21"/>
          <w:szCs w:val="21"/>
          <w:color w:val="auto"/>
        </w:rPr>
        <w:t>NCR CANADA CORP., an unlimited company formed under the laws of the Province of Nova Scotia, Canada (the “</w:t>
      </w:r>
      <w:r>
        <w:rPr>
          <w:rFonts w:ascii="Arial" w:cs="Arial" w:eastAsia="Arial" w:hAnsi="Arial"/>
          <w:sz w:val="21"/>
          <w:szCs w:val="21"/>
          <w:u w:val="single" w:color="auto"/>
          <w:color w:val="auto"/>
        </w:rPr>
        <w:t>Canadian Servicer</w:t>
      </w:r>
      <w:r>
        <w:rPr>
          <w:rFonts w:ascii="Arial" w:cs="Arial" w:eastAsia="Arial" w:hAnsi="Arial"/>
          <w:sz w:val="21"/>
          <w:szCs w:val="21"/>
          <w:color w:val="auto"/>
        </w:rPr>
        <w:t>”, together with the U.S. Servicer, collectively, the “</w:t>
      </w:r>
      <w:r>
        <w:rPr>
          <w:rFonts w:ascii="Arial" w:cs="Arial" w:eastAsia="Arial" w:hAnsi="Arial"/>
          <w:sz w:val="21"/>
          <w:szCs w:val="21"/>
          <w:u w:val="single" w:color="auto"/>
          <w:color w:val="auto"/>
        </w:rPr>
        <w:t>Servicers</w:t>
      </w:r>
      <w:r>
        <w:rPr>
          <w:rFonts w:ascii="Arial" w:cs="Arial" w:eastAsia="Arial" w:hAnsi="Arial"/>
          <w:sz w:val="21"/>
          <w:szCs w:val="21"/>
          <w:color w:val="auto"/>
        </w:rPr>
        <w:t>”, and each a “</w:t>
      </w:r>
      <w:r>
        <w:rPr>
          <w:rFonts w:ascii="Arial" w:cs="Arial" w:eastAsia="Arial" w:hAnsi="Arial"/>
          <w:sz w:val="21"/>
          <w:szCs w:val="21"/>
          <w:u w:val="single" w:color="auto"/>
          <w:color w:val="auto"/>
        </w:rPr>
        <w:t>Servicer</w:t>
      </w:r>
      <w:r>
        <w:rPr>
          <w:rFonts w:ascii="Arial" w:cs="Arial" w:eastAsia="Arial" w:hAnsi="Arial"/>
          <w:sz w:val="21"/>
          <w:szCs w:val="21"/>
          <w:color w:val="auto"/>
        </w:rPr>
        <w:t>”), as an initial Servicer;</w:t>
      </w:r>
    </w:p>
    <w:p>
      <w:pPr>
        <w:spacing w:after="0" w:line="150" w:lineRule="exact"/>
        <w:rPr>
          <w:rFonts w:ascii="Arial" w:cs="Arial" w:eastAsia="Arial" w:hAnsi="Arial"/>
          <w:sz w:val="21"/>
          <w:szCs w:val="21"/>
          <w:color w:val="auto"/>
        </w:rPr>
      </w:pPr>
    </w:p>
    <w:p>
      <w:pPr>
        <w:ind w:left="1240" w:hanging="614"/>
        <w:spacing w:after="0" w:line="234" w:lineRule="auto"/>
        <w:tabs>
          <w:tab w:leader="none" w:pos="1235" w:val="left"/>
        </w:tabs>
        <w:numPr>
          <w:ilvl w:val="0"/>
          <w:numId w:val="37"/>
        </w:numPr>
        <w:rPr>
          <w:rFonts w:ascii="Arial" w:cs="Arial" w:eastAsia="Arial" w:hAnsi="Arial"/>
          <w:sz w:val="21"/>
          <w:szCs w:val="21"/>
          <w:color w:val="auto"/>
        </w:rPr>
      </w:pPr>
      <w:r>
        <w:rPr>
          <w:rFonts w:ascii="Arial" w:cs="Arial" w:eastAsia="Arial" w:hAnsi="Arial"/>
          <w:sz w:val="21"/>
          <w:szCs w:val="21"/>
          <w:color w:val="auto"/>
        </w:rPr>
        <w:t>MUFG BANK, LTD. (f/k/a The Bank of Tokyo Mitsubishi UFJ, Ltd., New York Branch) (“</w:t>
      </w:r>
      <w:r>
        <w:rPr>
          <w:rFonts w:ascii="Arial" w:cs="Arial" w:eastAsia="Arial" w:hAnsi="Arial"/>
          <w:sz w:val="21"/>
          <w:szCs w:val="21"/>
          <w:u w:val="single" w:color="auto"/>
          <w:color w:val="auto"/>
        </w:rPr>
        <w:t>MUFG</w:t>
      </w:r>
      <w:r>
        <w:rPr>
          <w:rFonts w:ascii="Arial" w:cs="Arial" w:eastAsia="Arial" w:hAnsi="Arial"/>
          <w:sz w:val="21"/>
          <w:szCs w:val="21"/>
          <w:color w:val="auto"/>
        </w:rPr>
        <w:t>”), as a Committed Lender and as a Group Agent;</w:t>
      </w:r>
    </w:p>
    <w:p>
      <w:pPr>
        <w:spacing w:after="0" w:line="151" w:lineRule="exact"/>
        <w:rPr>
          <w:rFonts w:ascii="Arial" w:cs="Arial" w:eastAsia="Arial" w:hAnsi="Arial"/>
          <w:sz w:val="21"/>
          <w:szCs w:val="21"/>
          <w:color w:val="auto"/>
        </w:rPr>
      </w:pPr>
    </w:p>
    <w:p>
      <w:pPr>
        <w:ind w:left="1240" w:hanging="614"/>
        <w:spacing w:after="0"/>
        <w:tabs>
          <w:tab w:leader="none" w:pos="12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VICTORY RECEIVABLES CORPORATION, as a Conduit Lender;</w:t>
      </w:r>
    </w:p>
    <w:p>
      <w:pPr>
        <w:spacing w:after="0" w:line="173" w:lineRule="exact"/>
        <w:rPr>
          <w:rFonts w:ascii="Arial" w:cs="Arial" w:eastAsia="Arial" w:hAnsi="Arial"/>
          <w:sz w:val="21"/>
          <w:szCs w:val="21"/>
          <w:color w:val="auto"/>
        </w:rPr>
      </w:pPr>
    </w:p>
    <w:p>
      <w:pPr>
        <w:ind w:left="1240" w:hanging="614"/>
        <w:spacing w:after="0" w:line="234" w:lineRule="auto"/>
        <w:tabs>
          <w:tab w:leader="none" w:pos="1234" w:val="left"/>
        </w:tabs>
        <w:numPr>
          <w:ilvl w:val="0"/>
          <w:numId w:val="37"/>
        </w:numPr>
        <w:rPr>
          <w:rFonts w:ascii="Arial" w:cs="Arial" w:eastAsia="Arial" w:hAnsi="Arial"/>
          <w:sz w:val="21"/>
          <w:szCs w:val="21"/>
          <w:color w:val="auto"/>
        </w:rPr>
      </w:pPr>
      <w:r>
        <w:rPr>
          <w:rFonts w:ascii="Arial" w:cs="Arial" w:eastAsia="Arial" w:hAnsi="Arial"/>
          <w:sz w:val="21"/>
          <w:szCs w:val="21"/>
          <w:color w:val="auto"/>
        </w:rPr>
        <w:t>PNC BANK, NATIONAL ASSOCIATION, as a Committed Lender, as a Group Agent and as the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w:t>
      </w:r>
    </w:p>
    <w:p>
      <w:pPr>
        <w:spacing w:after="0" w:line="151" w:lineRule="exact"/>
        <w:rPr>
          <w:rFonts w:ascii="Arial" w:cs="Arial" w:eastAsia="Arial" w:hAnsi="Arial"/>
          <w:sz w:val="21"/>
          <w:szCs w:val="21"/>
          <w:color w:val="auto"/>
        </w:rPr>
      </w:pPr>
    </w:p>
    <w:p>
      <w:pPr>
        <w:ind w:left="1240" w:hanging="614"/>
        <w:spacing w:after="0"/>
        <w:tabs>
          <w:tab w:leader="none" w:pos="12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PNC CAPITAL MARKETS LLC, as Structuring Agent.</w:t>
      </w:r>
    </w:p>
    <w:p>
      <w:pPr>
        <w:spacing w:after="0" w:line="173" w:lineRule="exact"/>
        <w:rPr>
          <w:sz w:val="20"/>
          <w:szCs w:val="20"/>
          <w:color w:val="auto"/>
        </w:rPr>
      </w:pPr>
    </w:p>
    <w:p>
      <w:pPr>
        <w:ind w:firstLine="254"/>
        <w:spacing w:after="0" w:line="234" w:lineRule="auto"/>
        <w:rPr>
          <w:sz w:val="20"/>
          <w:szCs w:val="20"/>
          <w:color w:val="auto"/>
        </w:rPr>
      </w:pPr>
      <w:r>
        <w:rPr>
          <w:rFonts w:ascii="Arial" w:cs="Arial" w:eastAsia="Arial" w:hAnsi="Arial"/>
          <w:sz w:val="21"/>
          <w:szCs w:val="21"/>
          <w:color w:val="auto"/>
        </w:rPr>
        <w:t>Capitalized terms used but not otherwise defined herein (including such terms used above) have the respective meanings assigned thereto in the Receivables Purchase Agreement described below.</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BACKGROUND</w:t>
      </w:r>
    </w:p>
    <w:p>
      <w:pPr>
        <w:spacing w:after="0" w:line="179" w:lineRule="exact"/>
        <w:rPr>
          <w:sz w:val="20"/>
          <w:szCs w:val="20"/>
          <w:color w:val="auto"/>
        </w:rPr>
      </w:pPr>
    </w:p>
    <w:p>
      <w:pPr>
        <w:jc w:val="both"/>
        <w:ind w:firstLine="626"/>
        <w:spacing w:after="0" w:line="231" w:lineRule="auto"/>
        <w:tabs>
          <w:tab w:leader="none" w:pos="1245"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parties hereto have entered into a Receivables Purchase Agreement, dated as of September 30, 2021 (as amended by the First Amendment thereto, dated as of August 22, 2022, the Second Amendment thereto, dated as of September 20, 2022, the Third Amendment thereto, dated as of December 27, 2022, and as further amended, amended and restated, supplemented or otherwise modified prior to the date hereof, the “</w:t>
      </w:r>
      <w:r>
        <w:rPr>
          <w:rFonts w:ascii="Arial" w:cs="Arial" w:eastAsia="Arial" w:hAnsi="Arial"/>
          <w:sz w:val="20"/>
          <w:szCs w:val="20"/>
          <w:u w:val="single" w:color="auto"/>
          <w:color w:val="auto"/>
        </w:rPr>
        <w:t>Existing Receivables Purchase Agreement</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ind w:firstLine="626"/>
        <w:spacing w:after="0" w:line="234" w:lineRule="auto"/>
        <w:tabs>
          <w:tab w:leader="none" w:pos="1245"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parties hereto desire to amend the Existing Receivables Purchase Agreement as set forth herein (as so amended, the “</w:t>
      </w:r>
      <w:r>
        <w:rPr>
          <w:rFonts w:ascii="Arial" w:cs="Arial" w:eastAsia="Arial" w:hAnsi="Arial"/>
          <w:sz w:val="21"/>
          <w:szCs w:val="21"/>
          <w:u w:val="single" w:color="auto"/>
          <w:color w:val="auto"/>
        </w:rPr>
        <w:t>Receivables Purchase Agreement</w:t>
      </w:r>
      <w:r>
        <w:rPr>
          <w:rFonts w:ascii="Arial" w:cs="Arial" w:eastAsia="Arial" w:hAnsi="Arial"/>
          <w:sz w:val="21"/>
          <w:szCs w:val="21"/>
          <w:color w:val="auto"/>
        </w:rPr>
        <w:t>”).</w:t>
      </w:r>
    </w:p>
    <w:p>
      <w:pPr>
        <w:spacing w:after="0" w:line="151" w:lineRule="exact"/>
        <w:rPr>
          <w:sz w:val="20"/>
          <w:szCs w:val="20"/>
          <w:color w:val="auto"/>
        </w:rPr>
      </w:pPr>
    </w:p>
    <w:p>
      <w:pPr>
        <w:ind w:firstLine="622"/>
        <w:spacing w:after="0" w:line="234" w:lineRule="auto"/>
        <w:rPr>
          <w:sz w:val="20"/>
          <w:szCs w:val="20"/>
          <w:color w:val="auto"/>
        </w:rPr>
      </w:pPr>
      <w:r>
        <w:rPr>
          <w:rFonts w:ascii="Arial" w:cs="Arial" w:eastAsia="Arial" w:hAnsi="Arial"/>
          <w:sz w:val="21"/>
          <w:szCs w:val="21"/>
          <w:b w:val="1"/>
          <w:bCs w:val="1"/>
          <w:i w:val="1"/>
          <w:iCs w:val="1"/>
          <w:color w:val="auto"/>
        </w:rPr>
        <w:t>NOW, THEREFORE</w:t>
      </w:r>
      <w:r>
        <w:rPr>
          <w:rFonts w:ascii="Arial" w:cs="Arial" w:eastAsia="Arial" w:hAnsi="Arial"/>
          <w:sz w:val="21"/>
          <w:szCs w:val="21"/>
          <w:color w:val="auto"/>
        </w:rPr>
        <w:t>, with the intention of being legally bound hereby, and in consideration of the mutual undertakings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expressed herein, each party to this Amendment hereby agrees as follows:</w:t>
      </w:r>
    </w:p>
    <w:p>
      <w:pPr>
        <w:sectPr>
          <w:pgSz w:w="11900" w:h="16838" w:orient="portrait"/>
          <w:cols w:equalWidth="0" w:num="1">
            <w:col w:w="11240"/>
          </w:cols>
          <w:pgMar w:left="320" w:top="100" w:right="339" w:bottom="1440" w:gutter="0" w:footer="0" w:header="0"/>
        </w:sectPr>
      </w:pPr>
    </w:p>
    <w:bookmarkStart w:id="96" w:name="page97"/>
    <w:bookmarkEnd w:id="96"/>
    <w:p>
      <w:pPr>
        <w:jc w:val="both"/>
        <w:ind w:firstLine="622"/>
        <w:spacing w:after="0" w:line="225"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Amendments to the Existing Receivables Purchase Agreement</w:t>
      </w:r>
      <w:r>
        <w:rPr>
          <w:rFonts w:ascii="Arial" w:cs="Arial" w:eastAsia="Arial" w:hAnsi="Arial"/>
          <w:sz w:val="21"/>
          <w:szCs w:val="21"/>
          <w:color w:val="auto"/>
        </w:rPr>
        <w:t>. Effective as of the Effective Date (as defined below), the Existing Receivables Purchase Agreement is hereby amended by replacing its definition of “</w:t>
      </w:r>
      <w:r>
        <w:rPr>
          <w:rFonts w:ascii="Arial" w:cs="Arial" w:eastAsia="Arial" w:hAnsi="Arial"/>
          <w:sz w:val="21"/>
          <w:szCs w:val="21"/>
          <w:u w:val="single" w:color="auto"/>
          <w:color w:val="auto"/>
        </w:rPr>
        <w:t>Level 1 Ratings Trigger</w:t>
      </w:r>
      <w:r>
        <w:rPr>
          <w:rFonts w:ascii="Arial" w:cs="Arial" w:eastAsia="Arial" w:hAnsi="Arial"/>
          <w:sz w:val="21"/>
          <w:szCs w:val="21"/>
          <w:color w:val="auto"/>
        </w:rPr>
        <w:t>” in its entirety with the following:</w:t>
      </w:r>
    </w:p>
    <w:p>
      <w:pPr>
        <w:spacing w:after="0" w:line="151" w:lineRule="exact"/>
        <w:rPr>
          <w:sz w:val="20"/>
          <w:szCs w:val="20"/>
          <w:color w:val="auto"/>
        </w:rPr>
      </w:pPr>
    </w:p>
    <w:p>
      <w:pPr>
        <w:jc w:val="both"/>
        <w:ind w:left="620" w:right="620" w:firstLine="622"/>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Level 1 Ratings Trigger</w:t>
      </w:r>
      <w:r>
        <w:rPr>
          <w:rFonts w:ascii="Arial" w:cs="Arial" w:eastAsia="Arial" w:hAnsi="Arial"/>
          <w:sz w:val="20"/>
          <w:szCs w:val="20"/>
          <w:color w:val="auto"/>
        </w:rPr>
        <w:t>” shall be deemed to be in effect at any time when both (a) either (i) NCR has a long-term “corporate family rating” of less than “B2” by Moody’s or does not have a long-term “corporate family rating” from Moody’s; or (ii) NCR has a long-term “corporate credit rating” of less than “B” by S&amp;P or does not have a long-term “corporate credit rating” from S&amp;P; and (b) any Group Agent (in its sole discretion) has delivered written notice to the Seller, the Servicer and the Administrative Agent declaring a Level 1 Ratings Trigger to be in effect. Any Level 1 Ratings Trigger shall cease to be in effect upon the earlier to occur of (A) the delivery of a written notice by such Group Agent to the Seller, the Servicer and the Administrative Agent rescinding its declaration of such Level 1 Ratings Trigger and (B) NCR has a long-term “corporate family rating” of at least “B2” from Moody’s and a long-term “corporate credit rating” of at least “B” from S&amp;P.</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the Seller, Guarantor and Servicers</w:t>
      </w:r>
      <w:r>
        <w:rPr>
          <w:rFonts w:ascii="Arial" w:cs="Arial" w:eastAsia="Arial" w:hAnsi="Arial"/>
          <w:sz w:val="18"/>
          <w:szCs w:val="18"/>
          <w:color w:val="auto"/>
        </w:rPr>
        <w:t>. The Seller, the Guarantor and each of the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Servicers hereby represent and warrant to each of the parties hereto as of the date hereof as follows:</w:t>
      </w:r>
    </w:p>
    <w:p>
      <w:pPr>
        <w:spacing w:after="0" w:line="155" w:lineRule="exact"/>
        <w:rPr>
          <w:sz w:val="20"/>
          <w:szCs w:val="20"/>
          <w:color w:val="auto"/>
        </w:rPr>
      </w:pPr>
    </w:p>
    <w:p>
      <w:pPr>
        <w:jc w:val="both"/>
        <w:ind w:firstLine="626"/>
        <w:spacing w:after="0" w:line="253" w:lineRule="auto"/>
        <w:tabs>
          <w:tab w:leader="none" w:pos="1241"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The representations and warranties made by it in Section 6.01 or Section 6.02, as</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of the Receivables Purchase Agreement are true and correct on and as of the date hereof unless such representations and warranties by their terms refer to an earlier date, in which case they shall be true and correct on and as of such earlier date.</w:t>
      </w:r>
    </w:p>
    <w:p>
      <w:pPr>
        <w:spacing w:after="0" w:line="138" w:lineRule="exact"/>
        <w:rPr>
          <w:rFonts w:ascii="Arial" w:cs="Arial" w:eastAsia="Arial" w:hAnsi="Arial"/>
          <w:sz w:val="19"/>
          <w:szCs w:val="19"/>
          <w:color w:val="auto"/>
        </w:rPr>
      </w:pPr>
    </w:p>
    <w:p>
      <w:pPr>
        <w:jc w:val="both"/>
        <w:ind w:firstLine="626"/>
        <w:spacing w:after="0" w:line="238" w:lineRule="auto"/>
        <w:tabs>
          <w:tab w:leader="none" w:pos="124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Power and Authority; Due Authorization</w:t>
      </w:r>
      <w:r>
        <w:rPr>
          <w:rFonts w:ascii="Arial" w:cs="Arial" w:eastAsia="Arial" w:hAnsi="Arial"/>
          <w:sz w:val="19"/>
          <w:szCs w:val="19"/>
          <w:color w:val="auto"/>
        </w:rPr>
        <w:t>. It (i) has all necessary power and authority to (A) execute and deliver this</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the Receivables Purchase Agreement and the other Transaction Documents to which it is a party and (B) perform its obligations under this Amendment, the Receivables Purchase Agreement and the other Transaction Documents to which it is a party and (ii) the execution, delivery and performance of, and the consummation of the transactions provided for in, this Amendment, the Receivables Purchase Agreement and the other Transaction Documents to which it is a party have been duly authorized by it by all necessary limited liability company action, limited partnership action, unlimited company action or corporate action, as applicable.</w:t>
      </w:r>
    </w:p>
    <w:p>
      <w:pPr>
        <w:spacing w:after="0" w:line="152" w:lineRule="exact"/>
        <w:rPr>
          <w:rFonts w:ascii="Arial" w:cs="Arial" w:eastAsia="Arial" w:hAnsi="Arial"/>
          <w:sz w:val="19"/>
          <w:szCs w:val="19"/>
          <w:color w:val="auto"/>
        </w:rPr>
      </w:pPr>
    </w:p>
    <w:p>
      <w:pPr>
        <w:jc w:val="both"/>
        <w:ind w:firstLine="626"/>
        <w:spacing w:after="0"/>
        <w:tabs>
          <w:tab w:leader="none" w:pos="1241"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Binding Obligations</w:t>
      </w:r>
      <w:r>
        <w:rPr>
          <w:rFonts w:ascii="Arial" w:cs="Arial" w:eastAsia="Arial" w:hAnsi="Arial"/>
          <w:sz w:val="19"/>
          <w:szCs w:val="19"/>
          <w:color w:val="auto"/>
        </w:rPr>
        <w:t>. This Amendment, the Receivables Purchase Agreement and each of the other Transaction</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Documents to which it is a party constitutes its legal, valid and binding obligations, enforceable against it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52" w:lineRule="exact"/>
        <w:rPr>
          <w:rFonts w:ascii="Arial" w:cs="Arial" w:eastAsia="Arial" w:hAnsi="Arial"/>
          <w:sz w:val="19"/>
          <w:szCs w:val="19"/>
          <w:color w:val="auto"/>
        </w:rPr>
      </w:pPr>
    </w:p>
    <w:p>
      <w:pPr>
        <w:ind w:firstLine="626"/>
        <w:spacing w:after="0" w:line="234" w:lineRule="auto"/>
        <w:tabs>
          <w:tab w:leader="none" w:pos="1240"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No Termination Event</w:t>
      </w:r>
      <w:r>
        <w:rPr>
          <w:rFonts w:ascii="Arial" w:cs="Arial" w:eastAsia="Arial" w:hAnsi="Arial"/>
          <w:sz w:val="21"/>
          <w:szCs w:val="21"/>
          <w:color w:val="auto"/>
        </w:rPr>
        <w:t>. No Termination Event or Unmatured Termination Event has occurred and is continuing, and no</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Termination Event or Unmatured Termination Event would result from this Amendment.</w:t>
      </w:r>
    </w:p>
    <w:p>
      <w:pPr>
        <w:spacing w:after="0" w:line="151" w:lineRule="exact"/>
        <w:rPr>
          <w:sz w:val="20"/>
          <w:szCs w:val="20"/>
          <w:color w:val="auto"/>
        </w:rPr>
      </w:pPr>
    </w:p>
    <w:p>
      <w:pPr>
        <w:jc w:val="both"/>
        <w:ind w:firstLine="622"/>
        <w:spacing w:after="0" w:line="236"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Effect of Amendment; Ratification</w:t>
      </w:r>
      <w:r>
        <w:rPr>
          <w:rFonts w:ascii="Arial" w:cs="Arial" w:eastAsia="Arial" w:hAnsi="Arial"/>
          <w:sz w:val="20"/>
          <w:szCs w:val="20"/>
          <w:color w:val="auto"/>
        </w:rPr>
        <w:t>. All provisions of the Receivables Purchase Agreement and the other Transaction Documents, as expressly amended and modified by this Amendment, shall remain in full force and effect. After this Amendment becomes effective, all references in the Receivables Purchase Agreement (or in any other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50" w:right="339" w:bottom="1440" w:gutter="0" w:footer="0" w:header="0"/>
        </w:sectPr>
      </w:pPr>
    </w:p>
    <w:bookmarkStart w:id="97" w:name="page98"/>
    <w:bookmarkEnd w:id="97"/>
    <w:p>
      <w:pPr>
        <w:jc w:val="both"/>
        <w:spacing w:after="0" w:line="217" w:lineRule="auto"/>
        <w:rPr>
          <w:sz w:val="20"/>
          <w:szCs w:val="20"/>
          <w:color w:val="auto"/>
        </w:rPr>
      </w:pPr>
      <w:r>
        <w:rPr>
          <w:rFonts w:ascii="Arial" w:cs="Arial" w:eastAsia="Arial" w:hAnsi="Arial"/>
          <w:sz w:val="21"/>
          <w:szCs w:val="21"/>
          <w:color w:val="auto"/>
        </w:rPr>
        <w:t>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 The Receivables Purchase Agreement, as amended by this Amendment, is hereby ratified and confirmed in all respects.</w:t>
      </w:r>
    </w:p>
    <w:p>
      <w:pPr>
        <w:spacing w:after="0" w:line="153" w:lineRule="exact"/>
        <w:rPr>
          <w:sz w:val="20"/>
          <w:szCs w:val="20"/>
          <w:color w:val="auto"/>
        </w:rPr>
      </w:pPr>
    </w:p>
    <w:p>
      <w:pPr>
        <w:jc w:val="both"/>
        <w:ind w:firstLine="622"/>
        <w:spacing w:after="0" w:line="252"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Amendment shall become effective as of May 4, 2022 (the “</w:t>
      </w:r>
      <w:r>
        <w:rPr>
          <w:rFonts w:ascii="Arial" w:cs="Arial" w:eastAsia="Arial" w:hAnsi="Arial"/>
          <w:sz w:val="20"/>
          <w:szCs w:val="20"/>
          <w:u w:val="single" w:color="auto"/>
          <w:color w:val="auto"/>
        </w:rPr>
        <w:t>Effective Date</w:t>
      </w:r>
      <w:r>
        <w:rPr>
          <w:rFonts w:ascii="Arial" w:cs="Arial" w:eastAsia="Arial" w:hAnsi="Arial"/>
          <w:sz w:val="20"/>
          <w:szCs w:val="20"/>
          <w:color w:val="auto"/>
        </w:rPr>
        <w:t>”) when the Administrative Agent has received counterparts hereto duly executed by each of the parties hereto.</w:t>
      </w:r>
    </w:p>
    <w:p>
      <w:pPr>
        <w:spacing w:after="0" w:line="139" w:lineRule="exact"/>
        <w:rPr>
          <w:sz w:val="20"/>
          <w:szCs w:val="20"/>
          <w:color w:val="auto"/>
        </w:rPr>
      </w:pPr>
    </w:p>
    <w:p>
      <w:pPr>
        <w:jc w:val="both"/>
        <w:ind w:firstLine="622"/>
        <w:spacing w:after="0" w:line="220"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2" w:lineRule="exact"/>
        <w:rPr>
          <w:sz w:val="20"/>
          <w:szCs w:val="20"/>
          <w:color w:val="auto"/>
        </w:rPr>
      </w:pPr>
    </w:p>
    <w:p>
      <w:pPr>
        <w:jc w:val="both"/>
        <w:ind w:firstLine="622"/>
        <w:spacing w:after="0" w:line="234"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Transaction Document</w:t>
      </w:r>
      <w:r>
        <w:rPr>
          <w:rFonts w:ascii="Arial" w:cs="Arial" w:eastAsia="Arial" w:hAnsi="Arial"/>
          <w:sz w:val="21"/>
          <w:szCs w:val="21"/>
          <w:color w:val="auto"/>
        </w:rPr>
        <w:t>. This Amendment shall be a Transaction Document for purposes of the Receivables Purchase Agreement.</w:t>
      </w:r>
    </w:p>
    <w:p>
      <w:pPr>
        <w:spacing w:after="0" w:line="151" w:lineRule="exact"/>
        <w:rPr>
          <w:sz w:val="20"/>
          <w:szCs w:val="20"/>
          <w:color w:val="auto"/>
        </w:rPr>
      </w:pPr>
    </w:p>
    <w:p>
      <w:pPr>
        <w:jc w:val="both"/>
        <w:ind w:firstLine="622"/>
        <w:spacing w:after="0" w:line="231"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e-mail transmission shall be effective as delivery of a manually executed counterpart hereof.</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GOVERNING LAW AND JURISDICTION</w:t>
      </w:r>
      <w:r>
        <w:rPr>
          <w:rFonts w:ascii="Arial" w:cs="Arial" w:eastAsia="Arial" w:hAnsi="Arial"/>
          <w:sz w:val="21"/>
          <w:szCs w:val="21"/>
          <w:color w:val="auto"/>
        </w:rPr>
        <w:t>.</w:t>
      </w:r>
    </w:p>
    <w:p>
      <w:pPr>
        <w:spacing w:after="0" w:line="173" w:lineRule="exact"/>
        <w:rPr>
          <w:sz w:val="20"/>
          <w:szCs w:val="20"/>
          <w:color w:val="auto"/>
        </w:rPr>
      </w:pPr>
    </w:p>
    <w:p>
      <w:pPr>
        <w:jc w:val="both"/>
        <w:ind w:firstLine="626"/>
        <w:spacing w:after="0" w:line="214" w:lineRule="auto"/>
        <w:tabs>
          <w:tab w:leader="none" w:pos="1241"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THIS AMENDMENT,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ADMINISTRATIVE AGENT OR ANY LENDER IN THE COLLATERAL IS GOVERNED BY THE LAWS OF A JURISDICTION OTHER THAN THE STATE OF NEW YORK).</w:t>
      </w:r>
    </w:p>
    <w:p>
      <w:pPr>
        <w:spacing w:after="0" w:line="152" w:lineRule="exact"/>
        <w:rPr>
          <w:rFonts w:ascii="Arial" w:cs="Arial" w:eastAsia="Arial" w:hAnsi="Arial"/>
          <w:sz w:val="21"/>
          <w:szCs w:val="21"/>
          <w:color w:val="auto"/>
        </w:rPr>
      </w:pPr>
    </w:p>
    <w:p>
      <w:pPr>
        <w:jc w:val="both"/>
        <w:ind w:firstLine="626"/>
        <w:spacing w:after="0" w:line="222" w:lineRule="auto"/>
        <w:tabs>
          <w:tab w:leader="none" w:pos="12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EACH PARTY HERETO HEREBY IRREVOCABLY SUBMITS TO (I) WITH RESPECT TO THE SELLER, THE GUARANTOR AND EACH OF THE SERVICERS, THE EXCLUSIVE JURISDICTION, AND (II) WITH RESPECT TO EACH OF THE OTHER PARTIES HERETO, THE NON-EXCLUSIVE JURISDICTION, IN EACH CASE, OF ANY NEW YORK STATE OR FEDERAL COURT SITTING IN NEW YORK CITY, NEW YORK IN ANY ACTION OR PROCEEDING ARISING OUT OF OR RELATING TO THIS AMENDMENT, AND EACH PARTY HERETO HEREBY IRREVOCABLY AGREES THAT ALL CLAIMS IN RESPECT OF SUCH ACTION OR PROCEEDING (I) IF BROUGHT BY THE SELLER, THE SERVICERS OR ANY AFFILIATE THEREOF, SHALL BE HEARD AND DETERMINED, AND (II) IF BROUGHT BY ANY OTHER PARTY TO THIS AMENDMENT, MAY BE HEARD AND DETERMINED, IN EACH CASE, IN SUCH NEW YORK STATE COURT OR, TO THE EXTENT PERMITTED BY LAW, IN SUCH FEDERAL COURT. NOTHING IN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SHALL AFFECT THE RIGHT OF THE ADMINISTRATIVE AGENT OR ANY OTHER CREDIT PARTY TO BRING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50" w:right="339" w:bottom="1440" w:gutter="0" w:footer="0" w:header="0"/>
        </w:sectPr>
      </w:pPr>
    </w:p>
    <w:bookmarkStart w:id="98" w:name="page99"/>
    <w:bookmarkEnd w:id="98"/>
    <w:p>
      <w:pPr>
        <w:jc w:val="both"/>
        <w:spacing w:after="0" w:line="214" w:lineRule="auto"/>
        <w:rPr>
          <w:sz w:val="20"/>
          <w:szCs w:val="20"/>
          <w:color w:val="auto"/>
        </w:rPr>
      </w:pPr>
      <w:r>
        <w:rPr>
          <w:rFonts w:ascii="Arial" w:cs="Arial" w:eastAsia="Arial" w:hAnsi="Arial"/>
          <w:sz w:val="21"/>
          <w:szCs w:val="21"/>
          <w:color w:val="auto"/>
        </w:rPr>
        <w:t>OR PROCEEDING AGAINST THE SELLER, THE GUARANTOR OR THE SERVICERS OR ANY OF THEIR RESPECTIVE PROPERTY IN THE COURTS OF OTHER JURISDICTIONS. EACH OF THE SELLER, THE GUARANTOR AND THE SERVICERS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152" w:lineRule="exact"/>
        <w:rPr>
          <w:sz w:val="20"/>
          <w:szCs w:val="20"/>
          <w:color w:val="auto"/>
        </w:rPr>
      </w:pPr>
    </w:p>
    <w:p>
      <w:pPr>
        <w:jc w:val="both"/>
        <w:ind w:firstLine="622"/>
        <w:spacing w:after="0" w:line="278"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Section Headings</w:t>
      </w:r>
      <w:r>
        <w:rPr>
          <w:rFonts w:ascii="Arial" w:cs="Arial" w:eastAsia="Arial" w:hAnsi="Arial"/>
          <w:sz w:val="19"/>
          <w:szCs w:val="19"/>
          <w:color w:val="auto"/>
        </w:rPr>
        <w:t>. The various headings of this Amendment are included for convenience only and shall not affect the meaning or interpretation of this Amendment, the Receivables Purchase Agreement or any provision hereof or thereof.</w:t>
      </w:r>
    </w:p>
    <w:p>
      <w:pPr>
        <w:spacing w:after="0" w:line="142" w:lineRule="exact"/>
        <w:rPr>
          <w:sz w:val="20"/>
          <w:szCs w:val="20"/>
          <w:color w:val="auto"/>
        </w:rPr>
      </w:pPr>
    </w:p>
    <w:p>
      <w:pPr>
        <w:jc w:val="both"/>
        <w:ind w:firstLine="622"/>
        <w:spacing w:after="0" w:line="244"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Reaffirmation of Receivables Purchase Agreement</w:t>
      </w:r>
      <w:r>
        <w:rPr>
          <w:rFonts w:ascii="Arial" w:cs="Arial" w:eastAsia="Arial" w:hAnsi="Arial"/>
          <w:sz w:val="19"/>
          <w:szCs w:val="19"/>
          <w:color w:val="auto"/>
        </w:rPr>
        <w:t>. After giving effect to this Amendment and each of the other transactions contemplated hereby, all of the provisions of the Receivables Purchase Agreement shall remain in full force and effect and the Performance Guarantor hereby ratifies and affirms the Receivables Purchase Agreement and acknowledges that the Receivables Purchase Agreement has continued and shall continue in full force and effect in accordance with its terms.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50" w:right="339" w:bottom="1440" w:gutter="0" w:footer="0" w:header="0"/>
        </w:sectPr>
      </w:pPr>
    </w:p>
    <w:bookmarkStart w:id="99" w:name="page100"/>
    <w:bookmarkEnd w:id="99"/>
    <w:p>
      <w:pPr>
        <w:jc w:val="center"/>
        <w:ind w:right="128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Amendment as of the date first written above.</w:t>
      </w:r>
    </w:p>
    <w:p>
      <w:pPr>
        <w:spacing w:after="0" w:line="238"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NCR RECEIVABLES LLC,</w:t>
      </w:r>
    </w:p>
    <w:p>
      <w:pPr>
        <w:ind w:left="3420"/>
        <w:spacing w:after="0"/>
        <w:rPr>
          <w:sz w:val="20"/>
          <w:szCs w:val="20"/>
          <w:color w:val="auto"/>
        </w:rPr>
      </w:pPr>
      <w:r>
        <w:rPr>
          <w:rFonts w:ascii="Arial" w:cs="Arial" w:eastAsia="Arial" w:hAnsi="Arial"/>
          <w:sz w:val="21"/>
          <w:szCs w:val="21"/>
          <w:color w:val="auto"/>
        </w:rPr>
        <w:t>as the Seller</w:t>
      </w:r>
    </w:p>
    <w:p>
      <w:pPr>
        <w:spacing w:after="0" w:line="139"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Michael Nelson</w:t>
      </w:r>
    </w:p>
    <w:p>
      <w:pPr>
        <w:ind w:left="3420"/>
        <w:spacing w:after="0" w:line="206" w:lineRule="auto"/>
        <w:rPr>
          <w:sz w:val="20"/>
          <w:szCs w:val="20"/>
          <w:color w:val="auto"/>
        </w:rPr>
      </w:pPr>
      <w:r>
        <w:rPr>
          <w:rFonts w:ascii="Arial" w:cs="Arial" w:eastAsia="Arial" w:hAnsi="Arial"/>
          <w:sz w:val="21"/>
          <w:szCs w:val="21"/>
          <w:color w:val="auto"/>
        </w:rPr>
        <w:t>Name: Michael Nelson</w:t>
      </w:r>
    </w:p>
    <w:p>
      <w:pPr>
        <w:ind w:left="3420"/>
        <w:spacing w:after="0"/>
        <w:rPr>
          <w:sz w:val="20"/>
          <w:szCs w:val="20"/>
          <w:color w:val="auto"/>
        </w:rPr>
      </w:pPr>
      <w:r>
        <w:rPr>
          <w:rFonts w:ascii="Arial" w:cs="Arial" w:eastAsia="Arial" w:hAnsi="Arial"/>
          <w:sz w:val="21"/>
          <w:szCs w:val="21"/>
          <w:color w:val="auto"/>
        </w:rPr>
        <w:t>Title: Treasurer</w:t>
      </w:r>
    </w:p>
    <w:p>
      <w:pPr>
        <w:ind w:left="3420"/>
        <w:spacing w:after="0" w:line="223" w:lineRule="auto"/>
        <w:rPr>
          <w:sz w:val="20"/>
          <w:szCs w:val="20"/>
          <w:color w:val="auto"/>
        </w:rPr>
      </w:pPr>
      <w:r>
        <w:rPr>
          <w:rFonts w:ascii="Arial" w:cs="Arial" w:eastAsia="Arial" w:hAnsi="Arial"/>
          <w:sz w:val="21"/>
          <w:szCs w:val="21"/>
          <w:color w:val="auto"/>
        </w:rPr>
        <w:t>NCR CANADA RECEIVABLES LP,</w:t>
      </w:r>
    </w:p>
    <w:p>
      <w:pPr>
        <w:ind w:left="3420"/>
        <w:spacing w:after="0" w:line="207" w:lineRule="auto"/>
        <w:rPr>
          <w:sz w:val="20"/>
          <w:szCs w:val="20"/>
          <w:color w:val="auto"/>
        </w:rPr>
      </w:pPr>
      <w:r>
        <w:rPr>
          <w:rFonts w:ascii="Arial" w:cs="Arial" w:eastAsia="Arial" w:hAnsi="Arial"/>
          <w:sz w:val="21"/>
          <w:szCs w:val="21"/>
          <w:color w:val="auto"/>
        </w:rPr>
        <w:t>by its general partner,</w:t>
      </w:r>
    </w:p>
    <w:p>
      <w:pPr>
        <w:ind w:left="3420"/>
        <w:spacing w:after="0" w:line="206" w:lineRule="auto"/>
        <w:rPr>
          <w:sz w:val="20"/>
          <w:szCs w:val="20"/>
          <w:color w:val="auto"/>
        </w:rPr>
      </w:pPr>
      <w:r>
        <w:rPr>
          <w:rFonts w:ascii="Arial" w:cs="Arial" w:eastAsia="Arial" w:hAnsi="Arial"/>
          <w:sz w:val="21"/>
          <w:szCs w:val="21"/>
          <w:color w:val="auto"/>
        </w:rPr>
        <w:t>NCR CANADA RECEIVABLES GP CORP.,</w:t>
      </w:r>
    </w:p>
    <w:p>
      <w:pPr>
        <w:ind w:left="3420"/>
        <w:spacing w:after="0"/>
        <w:rPr>
          <w:sz w:val="20"/>
          <w:szCs w:val="20"/>
          <w:color w:val="auto"/>
        </w:rPr>
      </w:pPr>
      <w:r>
        <w:rPr>
          <w:rFonts w:ascii="Arial" w:cs="Arial" w:eastAsia="Arial" w:hAnsi="Arial"/>
          <w:sz w:val="21"/>
          <w:szCs w:val="21"/>
          <w:color w:val="auto"/>
        </w:rPr>
        <w:t>as Canadian Guarantor</w:t>
      </w:r>
    </w:p>
    <w:p>
      <w:pPr>
        <w:spacing w:after="0" w:line="200" w:lineRule="exact"/>
        <w:rPr>
          <w:sz w:val="20"/>
          <w:szCs w:val="20"/>
          <w:color w:val="auto"/>
        </w:rPr>
      </w:pPr>
    </w:p>
    <w:p>
      <w:pPr>
        <w:spacing w:after="0" w:line="354"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Vladimir Samoylenko</w:t>
      </w:r>
    </w:p>
    <w:p>
      <w:pPr>
        <w:ind w:left="3420"/>
        <w:spacing w:after="0" w:line="206" w:lineRule="auto"/>
        <w:rPr>
          <w:sz w:val="20"/>
          <w:szCs w:val="20"/>
          <w:color w:val="auto"/>
        </w:rPr>
      </w:pPr>
      <w:r>
        <w:rPr>
          <w:rFonts w:ascii="Arial" w:cs="Arial" w:eastAsia="Arial" w:hAnsi="Arial"/>
          <w:sz w:val="21"/>
          <w:szCs w:val="21"/>
          <w:color w:val="auto"/>
        </w:rPr>
        <w:t>Name: Vladimir Samoylenko</w:t>
      </w:r>
    </w:p>
    <w:p>
      <w:pPr>
        <w:ind w:left="3420"/>
        <w:spacing w:after="0"/>
        <w:rPr>
          <w:sz w:val="20"/>
          <w:szCs w:val="20"/>
          <w:color w:val="auto"/>
        </w:rPr>
      </w:pPr>
      <w:r>
        <w:rPr>
          <w:rFonts w:ascii="Arial" w:cs="Arial" w:eastAsia="Arial" w:hAnsi="Arial"/>
          <w:sz w:val="21"/>
          <w:szCs w:val="21"/>
          <w:color w:val="auto"/>
        </w:rPr>
        <w:t>Title: Director</w:t>
      </w:r>
    </w:p>
    <w:p>
      <w:pPr>
        <w:ind w:left="3420"/>
        <w:spacing w:after="0" w:line="223" w:lineRule="auto"/>
        <w:rPr>
          <w:sz w:val="20"/>
          <w:szCs w:val="20"/>
          <w:color w:val="auto"/>
        </w:rPr>
      </w:pPr>
      <w:r>
        <w:rPr>
          <w:rFonts w:ascii="Arial" w:cs="Arial" w:eastAsia="Arial" w:hAnsi="Arial"/>
          <w:sz w:val="21"/>
          <w:szCs w:val="21"/>
          <w:color w:val="auto"/>
        </w:rPr>
        <w:t>NCR CORPORATION,</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as a Servicer and as Performance Guarantor</w:t>
      </w:r>
    </w:p>
    <w:p>
      <w:pPr>
        <w:spacing w:after="0" w:line="34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Michael Nelson</w:t>
      </w:r>
    </w:p>
    <w:p>
      <w:pPr>
        <w:ind w:left="3420"/>
        <w:spacing w:after="0" w:line="206" w:lineRule="auto"/>
        <w:rPr>
          <w:sz w:val="20"/>
          <w:szCs w:val="20"/>
          <w:color w:val="auto"/>
        </w:rPr>
      </w:pPr>
      <w:r>
        <w:rPr>
          <w:rFonts w:ascii="Arial" w:cs="Arial" w:eastAsia="Arial" w:hAnsi="Arial"/>
          <w:sz w:val="21"/>
          <w:szCs w:val="21"/>
          <w:color w:val="auto"/>
        </w:rPr>
        <w:t>Name: Michael Nelson</w:t>
      </w:r>
    </w:p>
    <w:p>
      <w:pPr>
        <w:ind w:left="3420"/>
        <w:spacing w:after="0"/>
        <w:rPr>
          <w:sz w:val="20"/>
          <w:szCs w:val="20"/>
          <w:color w:val="auto"/>
        </w:rPr>
      </w:pPr>
      <w:r>
        <w:rPr>
          <w:rFonts w:ascii="Arial" w:cs="Arial" w:eastAsia="Arial" w:hAnsi="Arial"/>
          <w:sz w:val="21"/>
          <w:szCs w:val="21"/>
          <w:color w:val="auto"/>
        </w:rPr>
        <w:t>Title: Treasurer</w:t>
      </w:r>
    </w:p>
    <w:p>
      <w:pPr>
        <w:ind w:left="3420"/>
        <w:spacing w:after="0" w:line="223" w:lineRule="auto"/>
        <w:rPr>
          <w:sz w:val="20"/>
          <w:szCs w:val="20"/>
          <w:color w:val="auto"/>
        </w:rPr>
      </w:pPr>
      <w:r>
        <w:rPr>
          <w:rFonts w:ascii="Arial" w:cs="Arial" w:eastAsia="Arial" w:hAnsi="Arial"/>
          <w:sz w:val="21"/>
          <w:szCs w:val="21"/>
          <w:color w:val="auto"/>
        </w:rPr>
        <w:t>NCR CANADA CORP.,</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as a Servicer</w:t>
      </w:r>
    </w:p>
    <w:p>
      <w:pPr>
        <w:spacing w:after="0" w:line="34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Neil Boyd</w:t>
      </w:r>
    </w:p>
    <w:p>
      <w:pPr>
        <w:ind w:left="3420"/>
        <w:spacing w:after="0" w:line="206" w:lineRule="auto"/>
        <w:rPr>
          <w:sz w:val="20"/>
          <w:szCs w:val="20"/>
          <w:color w:val="auto"/>
        </w:rPr>
      </w:pPr>
      <w:r>
        <w:rPr>
          <w:rFonts w:ascii="Arial" w:cs="Arial" w:eastAsia="Arial" w:hAnsi="Arial"/>
          <w:sz w:val="21"/>
          <w:szCs w:val="21"/>
          <w:color w:val="auto"/>
        </w:rPr>
        <w:t>Name: Neil Boyd</w:t>
      </w:r>
    </w:p>
    <w:p>
      <w:pPr>
        <w:ind w:left="3420"/>
        <w:spacing w:after="0"/>
        <w:rPr>
          <w:sz w:val="20"/>
          <w:szCs w:val="20"/>
          <w:color w:val="auto"/>
        </w:rPr>
      </w:pPr>
      <w:r>
        <w:rPr>
          <w:rFonts w:ascii="Arial" w:cs="Arial" w:eastAsia="Arial" w:hAnsi="Arial"/>
          <w:sz w:val="21"/>
          <w:szCs w:val="21"/>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Fourth Amendment to</w:t>
      </w:r>
    </w:p>
    <w:p>
      <w:pPr>
        <w:jc w:val="right"/>
        <w:spacing w:after="0"/>
        <w:rPr>
          <w:sz w:val="20"/>
          <w:szCs w:val="20"/>
          <w:color w:val="auto"/>
        </w:rPr>
      </w:pPr>
      <w:r>
        <w:rPr>
          <w:rFonts w:ascii="Arial" w:cs="Arial" w:eastAsia="Arial" w:hAnsi="Arial"/>
          <w:sz w:val="17"/>
          <w:szCs w:val="17"/>
          <w:i w:val="1"/>
          <w:iCs w:val="1"/>
          <w:color w:val="auto"/>
        </w:rPr>
        <w:t>Receivables Purchase Agreement</w:t>
      </w:r>
    </w:p>
    <w:p>
      <w:pPr>
        <w:sectPr>
          <w:pgSz w:w="11900" w:h="16838" w:orient="portrait"/>
          <w:cols w:equalWidth="0" w:num="1">
            <w:col w:w="10620"/>
          </w:cols>
          <w:pgMar w:left="940" w:top="1344" w:right="339" w:bottom="1440" w:gutter="0" w:footer="0" w:header="0"/>
        </w:sectPr>
      </w:pPr>
    </w:p>
    <w:bookmarkStart w:id="100" w:name="page101"/>
    <w:bookmarkEnd w:id="100"/>
    <w:p>
      <w:pPr>
        <w:ind w:left="2920"/>
        <w:spacing w:after="0"/>
        <w:rPr>
          <w:sz w:val="20"/>
          <w:szCs w:val="20"/>
          <w:color w:val="auto"/>
        </w:rPr>
      </w:pPr>
      <w:r>
        <w:rPr>
          <w:rFonts w:ascii="Arial" w:cs="Arial" w:eastAsia="Arial" w:hAnsi="Arial"/>
          <w:sz w:val="21"/>
          <w:szCs w:val="21"/>
          <w:color w:val="auto"/>
        </w:rPr>
        <w:t>PNC BANK, NATIONAL ASSOCIATION,</w:t>
      </w:r>
    </w:p>
    <w:p>
      <w:pPr>
        <w:ind w:left="2920"/>
        <w:spacing w:after="0"/>
        <w:rPr>
          <w:sz w:val="20"/>
          <w:szCs w:val="20"/>
          <w:color w:val="auto"/>
        </w:rPr>
      </w:pPr>
      <w:r>
        <w:rPr>
          <w:rFonts w:ascii="Arial" w:cs="Arial" w:eastAsia="Arial" w:hAnsi="Arial"/>
          <w:sz w:val="21"/>
          <w:szCs w:val="21"/>
          <w:color w:val="auto"/>
        </w:rPr>
        <w:t>as Administrative Agent, as a Group Agent and as a Committed Lender</w:t>
      </w:r>
    </w:p>
    <w:p>
      <w:pPr>
        <w:spacing w:after="0" w:line="347"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By: /s/ Eric Bruno</w:t>
      </w:r>
    </w:p>
    <w:p>
      <w:pPr>
        <w:ind w:left="2920"/>
        <w:spacing w:after="0" w:line="206" w:lineRule="auto"/>
        <w:rPr>
          <w:sz w:val="20"/>
          <w:szCs w:val="20"/>
          <w:color w:val="auto"/>
        </w:rPr>
      </w:pPr>
      <w:r>
        <w:rPr>
          <w:rFonts w:ascii="Arial" w:cs="Arial" w:eastAsia="Arial" w:hAnsi="Arial"/>
          <w:sz w:val="21"/>
          <w:szCs w:val="21"/>
          <w:color w:val="auto"/>
        </w:rPr>
        <w:t>Name: Eric Bruno</w:t>
      </w:r>
    </w:p>
    <w:p>
      <w:pPr>
        <w:ind w:left="2920"/>
        <w:spacing w:after="0"/>
        <w:rPr>
          <w:sz w:val="20"/>
          <w:szCs w:val="20"/>
          <w:color w:val="auto"/>
        </w:rPr>
      </w:pPr>
      <w:r>
        <w:rPr>
          <w:rFonts w:ascii="Arial" w:cs="Arial" w:eastAsia="Arial" w:hAnsi="Arial"/>
          <w:sz w:val="21"/>
          <w:szCs w:val="21"/>
          <w:color w:val="auto"/>
        </w:rPr>
        <w:t>Title: Senior Vice President</w:t>
      </w:r>
    </w:p>
    <w:p>
      <w:pPr>
        <w:ind w:left="2920"/>
        <w:spacing w:after="0" w:line="223" w:lineRule="auto"/>
        <w:rPr>
          <w:sz w:val="20"/>
          <w:szCs w:val="20"/>
          <w:color w:val="auto"/>
        </w:rPr>
      </w:pPr>
      <w:r>
        <w:rPr>
          <w:rFonts w:ascii="Arial" w:cs="Arial" w:eastAsia="Arial" w:hAnsi="Arial"/>
          <w:sz w:val="21"/>
          <w:szCs w:val="21"/>
          <w:color w:val="auto"/>
        </w:rPr>
        <w:t>PNC CAPITAL MARKETS LLC,</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as Structuring Agent</w:t>
      </w:r>
    </w:p>
    <w:p>
      <w:pPr>
        <w:spacing w:after="0" w:line="139"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By: /s/ Eric Bruno</w:t>
      </w:r>
    </w:p>
    <w:p>
      <w:pPr>
        <w:ind w:left="2920"/>
        <w:spacing w:after="0" w:line="206" w:lineRule="auto"/>
        <w:rPr>
          <w:sz w:val="20"/>
          <w:szCs w:val="20"/>
          <w:color w:val="auto"/>
        </w:rPr>
      </w:pPr>
      <w:r>
        <w:rPr>
          <w:rFonts w:ascii="Arial" w:cs="Arial" w:eastAsia="Arial" w:hAnsi="Arial"/>
          <w:sz w:val="21"/>
          <w:szCs w:val="21"/>
          <w:color w:val="auto"/>
        </w:rPr>
        <w:t>Name: Eric Bruno</w:t>
      </w:r>
    </w:p>
    <w:p>
      <w:pPr>
        <w:ind w:left="292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Fourth Amendment to</w:t>
      </w:r>
    </w:p>
    <w:p>
      <w:pPr>
        <w:jc w:val="right"/>
        <w:spacing w:after="0"/>
        <w:rPr>
          <w:sz w:val="20"/>
          <w:szCs w:val="20"/>
          <w:color w:val="auto"/>
        </w:rPr>
      </w:pPr>
      <w:r>
        <w:rPr>
          <w:rFonts w:ascii="Arial" w:cs="Arial" w:eastAsia="Arial" w:hAnsi="Arial"/>
          <w:sz w:val="17"/>
          <w:szCs w:val="17"/>
          <w:i w:val="1"/>
          <w:iCs w:val="1"/>
          <w:color w:val="auto"/>
        </w:rPr>
        <w:t>Receivables Purchase Agreement</w:t>
      </w:r>
    </w:p>
    <w:p>
      <w:pPr>
        <w:sectPr>
          <w:pgSz w:w="11900" w:h="16838" w:orient="portrait"/>
          <w:cols w:equalWidth="0" w:num="1">
            <w:col w:w="10120"/>
          </w:cols>
          <w:pgMar w:left="1440" w:top="1386" w:right="339" w:bottom="1440" w:gutter="0" w:footer="0" w:header="0"/>
        </w:sectPr>
      </w:pPr>
    </w:p>
    <w:bookmarkStart w:id="101" w:name="page102"/>
    <w:bookmarkEnd w:id="101"/>
    <w:p>
      <w:pPr>
        <w:spacing w:after="0" w:line="180"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MUFG BANK, LTD.,</w:t>
      </w:r>
    </w:p>
    <w:p>
      <w:pPr>
        <w:ind w:left="2980"/>
        <w:spacing w:after="0"/>
        <w:rPr>
          <w:sz w:val="20"/>
          <w:szCs w:val="20"/>
          <w:color w:val="auto"/>
        </w:rPr>
      </w:pPr>
      <w:r>
        <w:rPr>
          <w:rFonts w:ascii="Arial" w:cs="Arial" w:eastAsia="Arial" w:hAnsi="Arial"/>
          <w:sz w:val="21"/>
          <w:szCs w:val="21"/>
          <w:color w:val="auto"/>
        </w:rPr>
        <w:t>as a Group Agent and as a Committed Lender</w:t>
      </w:r>
    </w:p>
    <w:p>
      <w:pPr>
        <w:spacing w:after="0" w:line="347"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By: /S/ Eric Williams</w:t>
      </w:r>
    </w:p>
    <w:p>
      <w:pPr>
        <w:ind w:left="2980"/>
        <w:spacing w:after="0" w:line="206" w:lineRule="auto"/>
        <w:rPr>
          <w:sz w:val="20"/>
          <w:szCs w:val="20"/>
          <w:color w:val="auto"/>
        </w:rPr>
      </w:pPr>
      <w:r>
        <w:rPr>
          <w:rFonts w:ascii="Arial" w:cs="Arial" w:eastAsia="Arial" w:hAnsi="Arial"/>
          <w:sz w:val="21"/>
          <w:szCs w:val="21"/>
          <w:color w:val="auto"/>
        </w:rPr>
        <w:t>Name: Eric Williams</w:t>
      </w:r>
    </w:p>
    <w:p>
      <w:pPr>
        <w:ind w:left="2980"/>
        <w:spacing w:after="0"/>
        <w:rPr>
          <w:sz w:val="20"/>
          <w:szCs w:val="20"/>
          <w:color w:val="auto"/>
        </w:rPr>
      </w:pPr>
      <w:r>
        <w:rPr>
          <w:rFonts w:ascii="Arial" w:cs="Arial" w:eastAsia="Arial" w:hAnsi="Arial"/>
          <w:sz w:val="21"/>
          <w:szCs w:val="21"/>
          <w:color w:val="auto"/>
        </w:rPr>
        <w:t>Title: Managing Director</w:t>
      </w:r>
    </w:p>
    <w:p>
      <w:pPr>
        <w:spacing w:after="0" w:line="217"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VICTORY RECEIVABLES CORPORATION,</w:t>
      </w:r>
    </w:p>
    <w:p>
      <w:pPr>
        <w:ind w:left="2980"/>
        <w:spacing w:after="0"/>
        <w:rPr>
          <w:sz w:val="20"/>
          <w:szCs w:val="20"/>
          <w:color w:val="auto"/>
        </w:rPr>
      </w:pPr>
      <w:r>
        <w:rPr>
          <w:rFonts w:ascii="Arial" w:cs="Arial" w:eastAsia="Arial" w:hAnsi="Arial"/>
          <w:sz w:val="21"/>
          <w:szCs w:val="21"/>
          <w:color w:val="auto"/>
        </w:rPr>
        <w:t>as a Conduit Lender</w:t>
      </w:r>
    </w:p>
    <w:p>
      <w:pPr>
        <w:spacing w:after="0" w:line="347"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By: /s/ Kevin J. Corrigan</w:t>
      </w:r>
    </w:p>
    <w:p>
      <w:pPr>
        <w:ind w:left="2980"/>
        <w:spacing w:after="0" w:line="206" w:lineRule="auto"/>
        <w:rPr>
          <w:sz w:val="20"/>
          <w:szCs w:val="20"/>
          <w:color w:val="auto"/>
        </w:rPr>
      </w:pPr>
      <w:r>
        <w:rPr>
          <w:rFonts w:ascii="Arial" w:cs="Arial" w:eastAsia="Arial" w:hAnsi="Arial"/>
          <w:sz w:val="21"/>
          <w:szCs w:val="21"/>
          <w:color w:val="auto"/>
        </w:rPr>
        <w:t>Name: Kevin J. Corrigan</w:t>
      </w:r>
    </w:p>
    <w:p>
      <w:pPr>
        <w:ind w:left="298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Fourth Amendment to</w:t>
      </w:r>
    </w:p>
    <w:p>
      <w:pPr>
        <w:jc w:val="right"/>
        <w:spacing w:after="0"/>
        <w:rPr>
          <w:sz w:val="20"/>
          <w:szCs w:val="20"/>
          <w:color w:val="auto"/>
        </w:rPr>
      </w:pPr>
      <w:r>
        <w:rPr>
          <w:rFonts w:ascii="Arial" w:cs="Arial" w:eastAsia="Arial" w:hAnsi="Arial"/>
          <w:sz w:val="17"/>
          <w:szCs w:val="17"/>
          <w:i w:val="1"/>
          <w:iCs w:val="1"/>
          <w:color w:val="auto"/>
        </w:rPr>
        <w:t>Receivables Purchase Agreement</w:t>
      </w:r>
    </w:p>
    <w:p>
      <w:pPr>
        <w:sectPr>
          <w:pgSz w:w="11900" w:h="16838" w:orient="portrait"/>
          <w:cols w:equalWidth="0" w:num="1">
            <w:col w:w="10120"/>
          </w:cols>
          <w:pgMar w:left="1440" w:top="144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SIXTH AMENDMENT TO THE</w:t>
      </w:r>
    </w:p>
    <w:p>
      <w:pPr>
        <w:jc w:val="center"/>
        <w:spacing w:after="0"/>
        <w:rPr>
          <w:sz w:val="20"/>
          <w:szCs w:val="20"/>
          <w:color w:val="auto"/>
        </w:rPr>
      </w:pPr>
      <w:r>
        <w:rPr>
          <w:rFonts w:ascii="Arial" w:cs="Arial" w:eastAsia="Arial" w:hAnsi="Arial"/>
          <w:sz w:val="21"/>
          <w:szCs w:val="21"/>
          <w:b w:val="1"/>
          <w:bCs w:val="1"/>
          <w:color w:val="auto"/>
        </w:rPr>
        <w:t>RECEIVABLES PURCHASE AGREEMENT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This SIXTH AMENDMENT TO THE RECEIVABLES PURCHASE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w:t>
      </w:r>
    </w:p>
    <w:p>
      <w:pPr>
        <w:spacing w:after="0"/>
        <w:rPr>
          <w:sz w:val="20"/>
          <w:szCs w:val="20"/>
          <w:color w:val="auto"/>
        </w:rPr>
      </w:pPr>
      <w:r>
        <w:rPr>
          <w:rFonts w:ascii="Arial" w:cs="Arial" w:eastAsia="Arial" w:hAnsi="Arial"/>
          <w:sz w:val="21"/>
          <w:szCs w:val="21"/>
          <w:color w:val="auto"/>
        </w:rPr>
        <w:t>September 27, 2023, is entered into by and among the following parties:</w:t>
      </w:r>
    </w:p>
    <w:p>
      <w:pPr>
        <w:spacing w:after="0" w:line="155" w:lineRule="exact"/>
        <w:rPr>
          <w:sz w:val="20"/>
          <w:szCs w:val="20"/>
          <w:color w:val="auto"/>
        </w:rPr>
      </w:pPr>
    </w:p>
    <w:p>
      <w:pPr>
        <w:ind w:left="1240" w:hanging="614"/>
        <w:spacing w:after="0" w:line="234" w:lineRule="auto"/>
        <w:tabs>
          <w:tab w:leader="none" w:pos="1228" w:val="left"/>
        </w:tabs>
        <w:numPr>
          <w:ilvl w:val="0"/>
          <w:numId w:val="41"/>
        </w:numPr>
        <w:rPr>
          <w:rFonts w:ascii="Arial" w:cs="Arial" w:eastAsia="Arial" w:hAnsi="Arial"/>
          <w:sz w:val="21"/>
          <w:szCs w:val="21"/>
          <w:color w:val="auto"/>
        </w:rPr>
      </w:pPr>
      <w:r>
        <w:rPr>
          <w:rFonts w:ascii="Arial" w:cs="Arial" w:eastAsia="Arial" w:hAnsi="Arial"/>
          <w:sz w:val="21"/>
          <w:szCs w:val="21"/>
          <w:color w:val="auto"/>
        </w:rPr>
        <w:t>NCR RECEIVABLES LLC, a Delaware limited liability company, as Seller (together with its successors and assigns, the “</w:t>
      </w:r>
      <w:r>
        <w:rPr>
          <w:rFonts w:ascii="Arial" w:cs="Arial" w:eastAsia="Arial" w:hAnsi="Arial"/>
          <w:sz w:val="21"/>
          <w:szCs w:val="21"/>
          <w:u w:val="single" w:color="auto"/>
          <w:color w:val="auto"/>
        </w:rPr>
        <w:t>Seller</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1240" w:hanging="614"/>
        <w:spacing w:after="0" w:line="234" w:lineRule="auto"/>
        <w:tabs>
          <w:tab w:leader="none" w:pos="1234" w:val="left"/>
        </w:tabs>
        <w:numPr>
          <w:ilvl w:val="0"/>
          <w:numId w:val="41"/>
        </w:numPr>
        <w:rPr>
          <w:rFonts w:ascii="Arial" w:cs="Arial" w:eastAsia="Arial" w:hAnsi="Arial"/>
          <w:sz w:val="21"/>
          <w:szCs w:val="21"/>
          <w:color w:val="auto"/>
        </w:rPr>
      </w:pPr>
      <w:r>
        <w:rPr>
          <w:rFonts w:ascii="Arial" w:cs="Arial" w:eastAsia="Arial" w:hAnsi="Arial"/>
          <w:sz w:val="21"/>
          <w:szCs w:val="21"/>
          <w:color w:val="auto"/>
        </w:rPr>
        <w:t>NCR CANADA RECEIVABLES LP, a limited partnership formed under the laws of the Province of Ontario, Canada, as Canadian Guarantor (the “</w:t>
      </w:r>
      <w:r>
        <w:rPr>
          <w:rFonts w:ascii="Arial" w:cs="Arial" w:eastAsia="Arial" w:hAnsi="Arial"/>
          <w:sz w:val="21"/>
          <w:szCs w:val="21"/>
          <w:u w:val="single" w:color="auto"/>
          <w:color w:val="auto"/>
        </w:rPr>
        <w:t>Canadian Guarantor</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1240" w:hanging="614"/>
        <w:spacing w:after="0" w:line="234" w:lineRule="auto"/>
        <w:tabs>
          <w:tab w:leader="none" w:pos="12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NCR CORPORATION, a Maryland corporation, as an initial Servicer (in such capacity, the “</w:t>
      </w:r>
      <w:r>
        <w:rPr>
          <w:rFonts w:ascii="Arial" w:cs="Arial" w:eastAsia="Arial" w:hAnsi="Arial"/>
          <w:sz w:val="21"/>
          <w:szCs w:val="21"/>
          <w:u w:val="single" w:color="auto"/>
          <w:color w:val="auto"/>
        </w:rPr>
        <w:t>U.S. Servicer</w:t>
      </w:r>
      <w:r>
        <w:rPr>
          <w:rFonts w:ascii="Arial" w:cs="Arial" w:eastAsia="Arial" w:hAnsi="Arial"/>
          <w:sz w:val="21"/>
          <w:szCs w:val="21"/>
          <w:color w:val="auto"/>
        </w:rPr>
        <w:t>”) and as the Performance Guarantor (in such capacity, the “</w:t>
      </w:r>
      <w:r>
        <w:rPr>
          <w:rFonts w:ascii="Arial" w:cs="Arial" w:eastAsia="Arial" w:hAnsi="Arial"/>
          <w:sz w:val="21"/>
          <w:szCs w:val="21"/>
          <w:u w:val="single" w:color="auto"/>
          <w:color w:val="auto"/>
        </w:rPr>
        <w:t>Performance Guarantor</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left="1240" w:hanging="614"/>
        <w:spacing w:after="0" w:line="225" w:lineRule="auto"/>
        <w:tabs>
          <w:tab w:leader="none" w:pos="1228" w:val="left"/>
        </w:tabs>
        <w:numPr>
          <w:ilvl w:val="0"/>
          <w:numId w:val="41"/>
        </w:numPr>
        <w:rPr>
          <w:rFonts w:ascii="Arial" w:cs="Arial" w:eastAsia="Arial" w:hAnsi="Arial"/>
          <w:sz w:val="21"/>
          <w:szCs w:val="21"/>
          <w:color w:val="auto"/>
        </w:rPr>
      </w:pPr>
      <w:r>
        <w:rPr>
          <w:rFonts w:ascii="Arial" w:cs="Arial" w:eastAsia="Arial" w:hAnsi="Arial"/>
          <w:sz w:val="21"/>
          <w:szCs w:val="21"/>
          <w:color w:val="auto"/>
        </w:rPr>
        <w:t>NCR CANADA CORP., an unlimited company formed under the laws of the Province of Nova Scotia, Canada (the “</w:t>
      </w:r>
      <w:r>
        <w:rPr>
          <w:rFonts w:ascii="Arial" w:cs="Arial" w:eastAsia="Arial" w:hAnsi="Arial"/>
          <w:sz w:val="21"/>
          <w:szCs w:val="21"/>
          <w:u w:val="single" w:color="auto"/>
          <w:color w:val="auto"/>
        </w:rPr>
        <w:t>Canadian Servicer</w:t>
      </w:r>
      <w:r>
        <w:rPr>
          <w:rFonts w:ascii="Arial" w:cs="Arial" w:eastAsia="Arial" w:hAnsi="Arial"/>
          <w:sz w:val="21"/>
          <w:szCs w:val="21"/>
          <w:color w:val="auto"/>
        </w:rPr>
        <w:t>”, together with the U.S. Servicer, collectively, the “</w:t>
      </w:r>
      <w:r>
        <w:rPr>
          <w:rFonts w:ascii="Arial" w:cs="Arial" w:eastAsia="Arial" w:hAnsi="Arial"/>
          <w:sz w:val="21"/>
          <w:szCs w:val="21"/>
          <w:u w:val="single" w:color="auto"/>
          <w:color w:val="auto"/>
        </w:rPr>
        <w:t>Servicers</w:t>
      </w:r>
      <w:r>
        <w:rPr>
          <w:rFonts w:ascii="Arial" w:cs="Arial" w:eastAsia="Arial" w:hAnsi="Arial"/>
          <w:sz w:val="21"/>
          <w:szCs w:val="21"/>
          <w:color w:val="auto"/>
        </w:rPr>
        <w:t>”, and each a “</w:t>
      </w:r>
      <w:r>
        <w:rPr>
          <w:rFonts w:ascii="Arial" w:cs="Arial" w:eastAsia="Arial" w:hAnsi="Arial"/>
          <w:sz w:val="21"/>
          <w:szCs w:val="21"/>
          <w:u w:val="single" w:color="auto"/>
          <w:color w:val="auto"/>
        </w:rPr>
        <w:t>Servicer</w:t>
      </w:r>
      <w:r>
        <w:rPr>
          <w:rFonts w:ascii="Arial" w:cs="Arial" w:eastAsia="Arial" w:hAnsi="Arial"/>
          <w:sz w:val="21"/>
          <w:szCs w:val="21"/>
          <w:color w:val="auto"/>
        </w:rPr>
        <w:t>”), as an initial Servicer;</w:t>
      </w:r>
    </w:p>
    <w:p>
      <w:pPr>
        <w:spacing w:after="0" w:line="150" w:lineRule="exact"/>
        <w:rPr>
          <w:rFonts w:ascii="Arial" w:cs="Arial" w:eastAsia="Arial" w:hAnsi="Arial"/>
          <w:sz w:val="21"/>
          <w:szCs w:val="21"/>
          <w:color w:val="auto"/>
        </w:rPr>
      </w:pPr>
    </w:p>
    <w:p>
      <w:pPr>
        <w:ind w:left="1240" w:hanging="614"/>
        <w:spacing w:after="0" w:line="234" w:lineRule="auto"/>
        <w:tabs>
          <w:tab w:leader="none" w:pos="1235" w:val="left"/>
        </w:tabs>
        <w:numPr>
          <w:ilvl w:val="0"/>
          <w:numId w:val="41"/>
        </w:numPr>
        <w:rPr>
          <w:rFonts w:ascii="Arial" w:cs="Arial" w:eastAsia="Arial" w:hAnsi="Arial"/>
          <w:sz w:val="21"/>
          <w:szCs w:val="21"/>
          <w:color w:val="auto"/>
        </w:rPr>
      </w:pPr>
      <w:r>
        <w:rPr>
          <w:rFonts w:ascii="Arial" w:cs="Arial" w:eastAsia="Arial" w:hAnsi="Arial"/>
          <w:sz w:val="21"/>
          <w:szCs w:val="21"/>
          <w:color w:val="auto"/>
        </w:rPr>
        <w:t>MUFG BANK, LTD. (f/k/a The Bank of Tokyo Mitsubishi UFJ, Ltd., New York Branch) (“</w:t>
      </w:r>
      <w:r>
        <w:rPr>
          <w:rFonts w:ascii="Arial" w:cs="Arial" w:eastAsia="Arial" w:hAnsi="Arial"/>
          <w:sz w:val="21"/>
          <w:szCs w:val="21"/>
          <w:u w:val="single" w:color="auto"/>
          <w:color w:val="auto"/>
        </w:rPr>
        <w:t>MUFG</w:t>
      </w:r>
      <w:r>
        <w:rPr>
          <w:rFonts w:ascii="Arial" w:cs="Arial" w:eastAsia="Arial" w:hAnsi="Arial"/>
          <w:sz w:val="21"/>
          <w:szCs w:val="21"/>
          <w:color w:val="auto"/>
        </w:rPr>
        <w:t>”), as a Committed Purchaser and as a Group Agent;</w:t>
      </w:r>
    </w:p>
    <w:p>
      <w:pPr>
        <w:spacing w:after="0" w:line="151" w:lineRule="exact"/>
        <w:rPr>
          <w:rFonts w:ascii="Arial" w:cs="Arial" w:eastAsia="Arial" w:hAnsi="Arial"/>
          <w:sz w:val="21"/>
          <w:szCs w:val="21"/>
          <w:color w:val="auto"/>
        </w:rPr>
      </w:pPr>
    </w:p>
    <w:p>
      <w:pPr>
        <w:ind w:left="1240" w:hanging="614"/>
        <w:spacing w:after="0"/>
        <w:tabs>
          <w:tab w:leader="none" w:pos="12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VICTORY RECEIVABLES CORPORATION, as a Conduit Purchaser;</w:t>
      </w:r>
    </w:p>
    <w:p>
      <w:pPr>
        <w:spacing w:after="0" w:line="173" w:lineRule="exact"/>
        <w:rPr>
          <w:rFonts w:ascii="Arial" w:cs="Arial" w:eastAsia="Arial" w:hAnsi="Arial"/>
          <w:sz w:val="21"/>
          <w:szCs w:val="21"/>
          <w:color w:val="auto"/>
        </w:rPr>
      </w:pPr>
    </w:p>
    <w:p>
      <w:pPr>
        <w:ind w:left="1240" w:hanging="614"/>
        <w:spacing w:after="0" w:line="234" w:lineRule="auto"/>
        <w:tabs>
          <w:tab w:leader="none" w:pos="1234" w:val="left"/>
        </w:tabs>
        <w:numPr>
          <w:ilvl w:val="0"/>
          <w:numId w:val="41"/>
        </w:numPr>
        <w:rPr>
          <w:rFonts w:ascii="Arial" w:cs="Arial" w:eastAsia="Arial" w:hAnsi="Arial"/>
          <w:sz w:val="21"/>
          <w:szCs w:val="21"/>
          <w:color w:val="auto"/>
        </w:rPr>
      </w:pPr>
      <w:r>
        <w:rPr>
          <w:rFonts w:ascii="Arial" w:cs="Arial" w:eastAsia="Arial" w:hAnsi="Arial"/>
          <w:sz w:val="21"/>
          <w:szCs w:val="21"/>
          <w:color w:val="auto"/>
        </w:rPr>
        <w:t>PNC BANK, NATIONAL ASSOCIATION, as a Committed Purchaser, as a Group Agent and as the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w:t>
      </w:r>
    </w:p>
    <w:p>
      <w:pPr>
        <w:spacing w:after="0" w:line="151" w:lineRule="exact"/>
        <w:rPr>
          <w:rFonts w:ascii="Arial" w:cs="Arial" w:eastAsia="Arial" w:hAnsi="Arial"/>
          <w:sz w:val="21"/>
          <w:szCs w:val="21"/>
          <w:color w:val="auto"/>
        </w:rPr>
      </w:pPr>
    </w:p>
    <w:p>
      <w:pPr>
        <w:ind w:left="1240" w:hanging="614"/>
        <w:spacing w:after="0"/>
        <w:tabs>
          <w:tab w:leader="none" w:pos="12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PNC CAPITAL MARKETS LLC, as Structuring Agent.</w:t>
      </w:r>
    </w:p>
    <w:p>
      <w:pPr>
        <w:spacing w:after="0" w:line="173" w:lineRule="exact"/>
        <w:rPr>
          <w:sz w:val="20"/>
          <w:szCs w:val="20"/>
          <w:color w:val="auto"/>
        </w:rPr>
      </w:pPr>
    </w:p>
    <w:p>
      <w:pPr>
        <w:ind w:firstLine="254"/>
        <w:spacing w:after="0" w:line="234" w:lineRule="auto"/>
        <w:rPr>
          <w:sz w:val="20"/>
          <w:szCs w:val="20"/>
          <w:color w:val="auto"/>
        </w:rPr>
      </w:pPr>
      <w:r>
        <w:rPr>
          <w:rFonts w:ascii="Arial" w:cs="Arial" w:eastAsia="Arial" w:hAnsi="Arial"/>
          <w:sz w:val="21"/>
          <w:szCs w:val="21"/>
          <w:color w:val="auto"/>
        </w:rPr>
        <w:t>Capitalized terms used but not otherwise defined herein (including such terms used above) have the respective meanings assigned thereto in the Receivables Purchase Agreement described below.</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BACKGROUND</w:t>
      </w:r>
    </w:p>
    <w:p>
      <w:pPr>
        <w:spacing w:after="0" w:line="179" w:lineRule="exact"/>
        <w:rPr>
          <w:sz w:val="20"/>
          <w:szCs w:val="20"/>
          <w:color w:val="auto"/>
        </w:rPr>
      </w:pPr>
    </w:p>
    <w:p>
      <w:pPr>
        <w:jc w:val="both"/>
        <w:ind w:firstLine="626"/>
        <w:spacing w:after="0" w:line="228" w:lineRule="auto"/>
        <w:tabs>
          <w:tab w:leader="none" w:pos="1245"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parties hereto have entered into a Receivables Purchase Agreement, dated as of September 30, 2021 (as amended by the First Amendment thereto, dated as of August 22, 2022, the Second Amendment thereto, dated as of September 20, 2022, the Third Amendment thereto, dated as of December 27, 2022, the Fourth Amendment thereto, dated as of August 7, 2023, the Fifth Amendment thereto, dated as of September 1, 2023 and as further amended, amended and restated, supplemented or otherwise modified prior to the date hereof, the “</w:t>
      </w:r>
      <w:r>
        <w:rPr>
          <w:rFonts w:ascii="Arial" w:cs="Arial" w:eastAsia="Arial" w:hAnsi="Arial"/>
          <w:sz w:val="20"/>
          <w:szCs w:val="20"/>
          <w:u w:val="single" w:color="auto"/>
          <w:color w:val="auto"/>
        </w:rPr>
        <w:t>Existing Receivables Purchase Agreement</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ind w:firstLine="626"/>
        <w:spacing w:after="0" w:line="234" w:lineRule="auto"/>
        <w:tabs>
          <w:tab w:leader="none" w:pos="1245"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parties hereto desire to amend the Existing Receivables Purchase Agreement as set forth herein (as so amended, the “</w:t>
      </w:r>
      <w:r>
        <w:rPr>
          <w:rFonts w:ascii="Arial" w:cs="Arial" w:eastAsia="Arial" w:hAnsi="Arial"/>
          <w:sz w:val="21"/>
          <w:szCs w:val="21"/>
          <w:u w:val="single" w:color="auto"/>
          <w:color w:val="auto"/>
        </w:rPr>
        <w:t>Receivables Purchase Agreement</w:t>
      </w:r>
      <w:r>
        <w:rPr>
          <w:rFonts w:ascii="Arial" w:cs="Arial" w:eastAsia="Arial" w:hAnsi="Arial"/>
          <w:sz w:val="21"/>
          <w:szCs w:val="21"/>
          <w:color w:val="auto"/>
        </w:rPr>
        <w:t>”).</w:t>
      </w:r>
    </w:p>
    <w:p>
      <w:pPr>
        <w:spacing w:after="0" w:line="151" w:lineRule="exact"/>
        <w:rPr>
          <w:sz w:val="20"/>
          <w:szCs w:val="20"/>
          <w:color w:val="auto"/>
        </w:rPr>
      </w:pPr>
    </w:p>
    <w:p>
      <w:pPr>
        <w:ind w:firstLine="622"/>
        <w:spacing w:after="0" w:line="234" w:lineRule="auto"/>
        <w:rPr>
          <w:sz w:val="20"/>
          <w:szCs w:val="20"/>
          <w:color w:val="auto"/>
        </w:rPr>
      </w:pPr>
      <w:r>
        <w:rPr>
          <w:rFonts w:ascii="Arial" w:cs="Arial" w:eastAsia="Arial" w:hAnsi="Arial"/>
          <w:sz w:val="21"/>
          <w:szCs w:val="21"/>
          <w:b w:val="1"/>
          <w:bCs w:val="1"/>
          <w:i w:val="1"/>
          <w:iCs w:val="1"/>
          <w:color w:val="auto"/>
        </w:rPr>
        <w:t>NOW, THEREFORE</w:t>
      </w:r>
      <w:r>
        <w:rPr>
          <w:rFonts w:ascii="Arial" w:cs="Arial" w:eastAsia="Arial" w:hAnsi="Arial"/>
          <w:sz w:val="21"/>
          <w:szCs w:val="21"/>
          <w:color w:val="auto"/>
        </w:rPr>
        <w:t>, with the intention of being legally bound hereby, and in consideration of the mutual undertakings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expressed herein, each party to this Amendment hereby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4"/>
          <w:szCs w:val="14"/>
          <w:color w:val="auto"/>
        </w:rPr>
        <w:t>756878264 14453710</w:t>
      </w:r>
    </w:p>
    <w:p>
      <w:pPr>
        <w:sectPr>
          <w:pgSz w:w="11900" w:h="16838" w:orient="portrait"/>
          <w:cols w:equalWidth="0" w:num="1">
            <w:col w:w="11240"/>
          </w:cols>
          <w:pgMar w:left="320" w:top="100" w:right="339" w:bottom="1440" w:gutter="0" w:footer="0" w:header="0"/>
        </w:sectPr>
      </w:pPr>
    </w:p>
    <w:bookmarkStart w:id="103" w:name="page104"/>
    <w:bookmarkEnd w:id="103"/>
    <w:p>
      <w:pPr>
        <w:jc w:val="both"/>
        <w:ind w:firstLine="622"/>
        <w:spacing w:after="0" w:line="225"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Amendments to the Existing Receivables Purchase Agreement</w:t>
      </w:r>
      <w:r>
        <w:rPr>
          <w:rFonts w:ascii="Arial" w:cs="Arial" w:eastAsia="Arial" w:hAnsi="Arial"/>
          <w:sz w:val="21"/>
          <w:szCs w:val="21"/>
          <w:color w:val="auto"/>
        </w:rPr>
        <w:t>. Effective as of the date hereof, the definition of “Scheduled Maturity Date” in the Existing Receivables Purchase Agreement is hereby amended by deleting the date “September 29, 2023” where it appears therein and replacing it with the date “October 27, 2023”.</w:t>
      </w:r>
    </w:p>
    <w:p>
      <w:pPr>
        <w:spacing w:after="0" w:line="151" w:lineRule="exact"/>
        <w:rPr>
          <w:sz w:val="20"/>
          <w:szCs w:val="20"/>
          <w:color w:val="auto"/>
        </w:rPr>
      </w:pPr>
    </w:p>
    <w:p>
      <w:pPr>
        <w:jc w:val="both"/>
        <w:ind w:firstLine="622"/>
        <w:spacing w:after="0" w:line="278"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Representations and Warranties of the Seller, Canadian Guarantor and Servicers</w:t>
      </w:r>
      <w:r>
        <w:rPr>
          <w:rFonts w:ascii="Arial" w:cs="Arial" w:eastAsia="Arial" w:hAnsi="Arial"/>
          <w:sz w:val="19"/>
          <w:szCs w:val="19"/>
          <w:color w:val="auto"/>
        </w:rPr>
        <w:t>. The Seller, the Canadian Guarantor and each of the Servicers hereby represent and warrant to each of the parties hereto as of the date hereof as follows:</w:t>
      </w:r>
    </w:p>
    <w:p>
      <w:pPr>
        <w:spacing w:after="0" w:line="116" w:lineRule="exact"/>
        <w:rPr>
          <w:sz w:val="20"/>
          <w:szCs w:val="20"/>
          <w:color w:val="auto"/>
        </w:rPr>
      </w:pPr>
    </w:p>
    <w:p>
      <w:pPr>
        <w:jc w:val="both"/>
        <w:ind w:firstLine="626"/>
        <w:spacing w:after="0" w:line="253" w:lineRule="auto"/>
        <w:tabs>
          <w:tab w:leader="none" w:pos="1241"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The representations and warranties made by it in Section 6.01 or Section 6.02, as</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of the Receivables Purchase Agreement are true and correct on and as of the date hereof unless such representations and warranties by their terms refer to an earlier date, in which case they shall be true and correct on and as of such earlier date.</w:t>
      </w:r>
    </w:p>
    <w:p>
      <w:pPr>
        <w:spacing w:after="0" w:line="138" w:lineRule="exact"/>
        <w:rPr>
          <w:rFonts w:ascii="Arial" w:cs="Arial" w:eastAsia="Arial" w:hAnsi="Arial"/>
          <w:sz w:val="19"/>
          <w:szCs w:val="19"/>
          <w:color w:val="auto"/>
        </w:rPr>
      </w:pPr>
    </w:p>
    <w:p>
      <w:pPr>
        <w:jc w:val="both"/>
        <w:ind w:firstLine="626"/>
        <w:spacing w:after="0" w:line="238" w:lineRule="auto"/>
        <w:tabs>
          <w:tab w:leader="none" w:pos="1240"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Power and Authority; Due Authorization</w:t>
      </w:r>
      <w:r>
        <w:rPr>
          <w:rFonts w:ascii="Arial" w:cs="Arial" w:eastAsia="Arial" w:hAnsi="Arial"/>
          <w:sz w:val="19"/>
          <w:szCs w:val="19"/>
          <w:color w:val="auto"/>
        </w:rPr>
        <w:t>. It (i) has all necessary power and authority to (A) execute and deliver this</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the Receivables Purchase Agreement and the other Transaction Documents to which it is a party and (B) perform its obligations under this Amendment, the Receivables Purchase Agreement and the other Transaction Documents to which it is a party and (ii) the execution, delivery and performance of, and the consummation of the transactions provided for in, this Amendment, the Receivables Purchase Agreement and the other Transaction Documents to which it is a party have been duly authorized by it by all necessary limited liability company action, limited partnership action, unlimited company action or corporate action, as applicable.</w:t>
      </w:r>
    </w:p>
    <w:p>
      <w:pPr>
        <w:spacing w:after="0" w:line="152" w:lineRule="exact"/>
        <w:rPr>
          <w:rFonts w:ascii="Arial" w:cs="Arial" w:eastAsia="Arial" w:hAnsi="Arial"/>
          <w:sz w:val="19"/>
          <w:szCs w:val="19"/>
          <w:color w:val="auto"/>
        </w:rPr>
      </w:pPr>
    </w:p>
    <w:p>
      <w:pPr>
        <w:jc w:val="both"/>
        <w:ind w:firstLine="626"/>
        <w:spacing w:after="0"/>
        <w:tabs>
          <w:tab w:leader="none" w:pos="1241"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Binding Obligations</w:t>
      </w:r>
      <w:r>
        <w:rPr>
          <w:rFonts w:ascii="Arial" w:cs="Arial" w:eastAsia="Arial" w:hAnsi="Arial"/>
          <w:sz w:val="19"/>
          <w:szCs w:val="19"/>
          <w:color w:val="auto"/>
        </w:rPr>
        <w:t>. This Amendment, the Receivables Purchase Agreement and each of the other Transaction</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Documents to which it is a party constitutes its legal, valid and binding obligations, enforceable against it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52" w:lineRule="exact"/>
        <w:rPr>
          <w:rFonts w:ascii="Arial" w:cs="Arial" w:eastAsia="Arial" w:hAnsi="Arial"/>
          <w:sz w:val="19"/>
          <w:szCs w:val="19"/>
          <w:color w:val="auto"/>
        </w:rPr>
      </w:pPr>
    </w:p>
    <w:p>
      <w:pPr>
        <w:ind w:firstLine="626"/>
        <w:spacing w:after="0" w:line="234" w:lineRule="auto"/>
        <w:tabs>
          <w:tab w:leader="none" w:pos="1240" w:val="left"/>
        </w:tabs>
        <w:numPr>
          <w:ilvl w:val="0"/>
          <w:numId w:val="43"/>
        </w:numPr>
        <w:rPr>
          <w:rFonts w:ascii="Arial" w:cs="Arial" w:eastAsia="Arial" w:hAnsi="Arial"/>
          <w:sz w:val="21"/>
          <w:szCs w:val="21"/>
          <w:color w:val="auto"/>
        </w:rPr>
      </w:pPr>
      <w:r>
        <w:rPr>
          <w:rFonts w:ascii="Arial" w:cs="Arial" w:eastAsia="Arial" w:hAnsi="Arial"/>
          <w:sz w:val="21"/>
          <w:szCs w:val="21"/>
          <w:i w:val="1"/>
          <w:iCs w:val="1"/>
          <w:color w:val="auto"/>
        </w:rPr>
        <w:t>No Termination Event</w:t>
      </w:r>
      <w:r>
        <w:rPr>
          <w:rFonts w:ascii="Arial" w:cs="Arial" w:eastAsia="Arial" w:hAnsi="Arial"/>
          <w:sz w:val="21"/>
          <w:szCs w:val="21"/>
          <w:color w:val="auto"/>
        </w:rPr>
        <w:t>. No Termination Event or Unmatured Termination Event has occurred and is continuing, and no</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Termination Event or Unmatured Termination Event would result from this Amendment.</w:t>
      </w:r>
    </w:p>
    <w:p>
      <w:pPr>
        <w:spacing w:after="0" w:line="151" w:lineRule="exact"/>
        <w:rPr>
          <w:sz w:val="20"/>
          <w:szCs w:val="20"/>
          <w:color w:val="auto"/>
        </w:rPr>
      </w:pPr>
    </w:p>
    <w:p>
      <w:pPr>
        <w:jc w:val="both"/>
        <w:ind w:firstLine="622"/>
        <w:spacing w:after="0" w:line="22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Effect of Amendment; Ratification</w:t>
      </w:r>
      <w:r>
        <w:rPr>
          <w:rFonts w:ascii="Arial" w:cs="Arial" w:eastAsia="Arial" w:hAnsi="Arial"/>
          <w:sz w:val="20"/>
          <w:szCs w:val="20"/>
          <w:color w:val="auto"/>
        </w:rPr>
        <w:t>. All provisions of the Receivables Purchase Agreement and the other Transaction Documents,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 The Receivables Purchase Agreement, as amended by this Amendment, is hereby ratified and confirmed in all respects.</w:t>
      </w:r>
    </w:p>
    <w:p>
      <w:pPr>
        <w:spacing w:after="0" w:line="157" w:lineRule="exact"/>
        <w:rPr>
          <w:sz w:val="20"/>
          <w:szCs w:val="20"/>
          <w:color w:val="auto"/>
        </w:rPr>
      </w:pPr>
    </w:p>
    <w:p>
      <w:pPr>
        <w:jc w:val="both"/>
        <w:ind w:firstLine="622"/>
        <w:spacing w:after="0" w:line="234"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This Amendment shall become effective as of the date hereof, when the Administrative Agent has received counterparts of this Amendment duly executed by each of the parties hereto.</w:t>
      </w:r>
    </w:p>
    <w:p>
      <w:pPr>
        <w:spacing w:after="0" w:line="151" w:lineRule="exact"/>
        <w:rPr>
          <w:sz w:val="20"/>
          <w:szCs w:val="20"/>
          <w:color w:val="auto"/>
        </w:rPr>
      </w:pPr>
    </w:p>
    <w:p>
      <w:pPr>
        <w:jc w:val="both"/>
        <w:ind w:firstLine="622"/>
        <w:spacing w:after="0" w:line="234"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provisions of this Amendment which are prohibited or unenforceable in any jurisdiction shall, as to such jurisdiction, be ineffective to the extent of such</w:t>
      </w:r>
    </w:p>
    <w:p>
      <w:pPr>
        <w:spacing w:after="0" w:line="200" w:lineRule="exact"/>
        <w:rPr>
          <w:sz w:val="20"/>
          <w:szCs w:val="20"/>
          <w:color w:val="auto"/>
        </w:rPr>
      </w:pPr>
    </w:p>
    <w:p>
      <w:pPr>
        <w:spacing w:after="0" w:line="361" w:lineRule="exact"/>
        <w:rPr>
          <w:sz w:val="20"/>
          <w:szCs w:val="20"/>
          <w:color w:val="auto"/>
        </w:rPr>
      </w:pPr>
    </w:p>
    <w:p>
      <w:pPr>
        <w:ind w:left="60"/>
        <w:spacing w:after="0"/>
        <w:tabs>
          <w:tab w:leader="none" w:pos="5540" w:val="left"/>
        </w:tabs>
        <w:rPr>
          <w:sz w:val="20"/>
          <w:szCs w:val="20"/>
          <w:color w:val="auto"/>
        </w:rPr>
      </w:pPr>
      <w:r>
        <w:rPr>
          <w:rFonts w:ascii="Arial" w:cs="Arial" w:eastAsia="Arial" w:hAnsi="Arial"/>
          <w:sz w:val="14"/>
          <w:szCs w:val="14"/>
          <w:color w:val="auto"/>
        </w:rPr>
        <w:t>756878264 14453710</w:t>
      </w:r>
      <w:r>
        <w:rPr>
          <w:sz w:val="20"/>
          <w:szCs w:val="20"/>
          <w:color w:val="auto"/>
        </w:rPr>
        <w:tab/>
      </w:r>
      <w:r>
        <w:rPr>
          <w:rFonts w:ascii="Arial" w:cs="Arial" w:eastAsia="Arial" w:hAnsi="Arial"/>
          <w:sz w:val="26"/>
          <w:szCs w:val="26"/>
          <w:color w:val="auto"/>
          <w:vertAlign w:val="subscript"/>
        </w:rPr>
        <w:t>2</w:t>
      </w:r>
    </w:p>
    <w:p>
      <w:pPr>
        <w:sectPr>
          <w:pgSz w:w="11900" w:h="16838" w:orient="portrait"/>
          <w:cols w:equalWidth="0" w:num="1">
            <w:col w:w="11240"/>
          </w:cols>
          <w:pgMar w:left="320" w:top="1350" w:right="339" w:bottom="1440" w:gutter="0" w:footer="0" w:header="0"/>
        </w:sectPr>
      </w:pPr>
    </w:p>
    <w:bookmarkStart w:id="104" w:name="page105"/>
    <w:bookmarkEnd w:id="104"/>
    <w:p>
      <w:pPr>
        <w:jc w:val="both"/>
        <w:spacing w:after="0" w:line="234" w:lineRule="auto"/>
        <w:rPr>
          <w:sz w:val="20"/>
          <w:szCs w:val="20"/>
          <w:color w:val="auto"/>
        </w:rPr>
      </w:pPr>
      <w:r>
        <w:rPr>
          <w:rFonts w:ascii="Arial" w:cs="Arial" w:eastAsia="Arial" w:hAnsi="Arial"/>
          <w:sz w:val="21"/>
          <w:szCs w:val="21"/>
          <w:color w:val="auto"/>
        </w:rPr>
        <w:t>prohibition or unenforceability without invalidating the remaining provisions hereof, and any such prohibition or unenforceability in any jurisdiction shall not invalidate or render unenforceable such provision in any other jurisdiction.</w:t>
      </w:r>
    </w:p>
    <w:p>
      <w:pPr>
        <w:spacing w:after="0" w:line="151" w:lineRule="exact"/>
        <w:rPr>
          <w:sz w:val="20"/>
          <w:szCs w:val="20"/>
          <w:color w:val="auto"/>
        </w:rPr>
      </w:pPr>
    </w:p>
    <w:p>
      <w:pPr>
        <w:jc w:val="both"/>
        <w:ind w:firstLine="622"/>
        <w:spacing w:after="0" w:line="234"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Transaction Document</w:t>
      </w:r>
      <w:r>
        <w:rPr>
          <w:rFonts w:ascii="Arial" w:cs="Arial" w:eastAsia="Arial" w:hAnsi="Arial"/>
          <w:sz w:val="21"/>
          <w:szCs w:val="21"/>
          <w:color w:val="auto"/>
        </w:rPr>
        <w:t>. This Amendment shall be a Transaction Document for purposes of the Receivables Purchase Agreement.</w:t>
      </w:r>
    </w:p>
    <w:p>
      <w:pPr>
        <w:spacing w:after="0" w:line="151" w:lineRule="exact"/>
        <w:rPr>
          <w:sz w:val="20"/>
          <w:szCs w:val="20"/>
          <w:color w:val="auto"/>
        </w:rPr>
      </w:pPr>
    </w:p>
    <w:p>
      <w:pPr>
        <w:jc w:val="both"/>
        <w:ind w:firstLine="622"/>
        <w:spacing w:after="0" w:line="231"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e-mail transmission shall be effective as delivery of a manually executed counterpart hereof.</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GOVERNING LAW AND JURISDICTION</w:t>
      </w:r>
      <w:r>
        <w:rPr>
          <w:rFonts w:ascii="Arial" w:cs="Arial" w:eastAsia="Arial" w:hAnsi="Arial"/>
          <w:sz w:val="21"/>
          <w:szCs w:val="21"/>
          <w:color w:val="auto"/>
        </w:rPr>
        <w:t>.</w:t>
      </w:r>
    </w:p>
    <w:p>
      <w:pPr>
        <w:spacing w:after="0" w:line="173" w:lineRule="exact"/>
        <w:rPr>
          <w:sz w:val="20"/>
          <w:szCs w:val="20"/>
          <w:color w:val="auto"/>
        </w:rPr>
      </w:pPr>
    </w:p>
    <w:p>
      <w:pPr>
        <w:jc w:val="both"/>
        <w:ind w:firstLine="626"/>
        <w:spacing w:after="0" w:line="214" w:lineRule="auto"/>
        <w:tabs>
          <w:tab w:leader="none" w:pos="1241"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THIS AMENDMENT,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ADMINISTRATIVE AGENT OR ANY PURCHASER IN THE COLLATERAL IS GOVERNED BY THE LAWS OF A JURISDICTION OTHER THAN THE STATE OF NEW YORK).</w:t>
      </w:r>
    </w:p>
    <w:p>
      <w:pPr>
        <w:spacing w:after="0" w:line="152" w:lineRule="exact"/>
        <w:rPr>
          <w:rFonts w:ascii="Arial" w:cs="Arial" w:eastAsia="Arial" w:hAnsi="Arial"/>
          <w:sz w:val="21"/>
          <w:szCs w:val="21"/>
          <w:color w:val="auto"/>
        </w:rPr>
      </w:pPr>
    </w:p>
    <w:p>
      <w:pPr>
        <w:jc w:val="both"/>
        <w:ind w:firstLine="626"/>
        <w:spacing w:after="0" w:line="220" w:lineRule="auto"/>
        <w:tabs>
          <w:tab w:leader="none" w:pos="12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EACH PARTY HERETO HEREBY IRREVOCABLY SUBMITS TO (I) WITH RESPECT TO THE SELLER, THE CANADIAN GUARANTOR AND EACH OF THE SERVICERS, THE EXCLUSIVE JURISDICTION, AND (II) WITH RESPECT TO EACH OF THE OTHER PARTIES HERETO, THE NON-EXCLUSIVE JURISDICTION, IN EACH CASE, OF ANY NEW YORK STATE OR FEDERAL COURT SITTING IN NEW YORK CITY, NEW YORK IN ANY ACTION OR PROCEEDING ARISING OUT OF OR RELATING TO THIS AMENDMENT, AND EACH PARTY HERETO HEREBY IRREVOCABLY AGREES THAT ALL CLAIMS IN RESPECT OF SUCH ACTION OR PROCEEDING (I) IF BROUGHT BY THE SELLER, THE SERVICERS OR ANY AFFILIATE THEREOF, SHALL BE HEARD AND DETERMINED, AND (II) IF BROUGHT BY ANY OTHER PARTY TO THIS AMENDMENT, MAY BE HEARD AND DETERMINED, IN EACH CASE, IN SUCH NEW YORK STATE COURT OR, TO THE EXTENT PERMITTED BY LAW, IN SUCH FEDERAL COURT. NOTHING IN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SHALL AFFECT THE RIGHT OF THE ADMINISTRATIVE AGENT OR ANY OTHER CREDIT PARTY TO BRING ANY ACTION OR PROCEEDING AGAINST THE SELLER, THE CANADIAN GUARANTOR OR THE SERVICERS OR ANY OF THEIR RESPECTIVE PROPERTY IN THE COURTS OF OTHER JURISDICTIONS. EACH OF THE SELLER, THE CANADIAN GUARANTOR AND THE SERVICERS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150" w:lineRule="exact"/>
        <w:rPr>
          <w:sz w:val="20"/>
          <w:szCs w:val="20"/>
          <w:color w:val="auto"/>
        </w:rPr>
      </w:pPr>
    </w:p>
    <w:p>
      <w:pPr>
        <w:ind w:firstLine="622"/>
        <w:spacing w:after="0" w:line="278"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Section Headings</w:t>
      </w:r>
      <w:r>
        <w:rPr>
          <w:rFonts w:ascii="Arial" w:cs="Arial" w:eastAsia="Arial" w:hAnsi="Arial"/>
          <w:sz w:val="19"/>
          <w:szCs w:val="19"/>
          <w:color w:val="auto"/>
        </w:rPr>
        <w:t>. The various headings of this Amendment are included for convenience only and shall not affect the meaning or interpretation of this Amendment, the Receivables Purchase Agreement or any provision hereof or thereof.</w:t>
      </w:r>
    </w:p>
    <w:p>
      <w:pPr>
        <w:spacing w:after="0" w:line="319" w:lineRule="exact"/>
        <w:rPr>
          <w:sz w:val="20"/>
          <w:szCs w:val="20"/>
          <w:color w:val="auto"/>
        </w:rPr>
      </w:pPr>
    </w:p>
    <w:p>
      <w:pPr>
        <w:ind w:left="60"/>
        <w:spacing w:after="0"/>
        <w:tabs>
          <w:tab w:leader="none" w:pos="5540" w:val="left"/>
        </w:tabs>
        <w:rPr>
          <w:sz w:val="20"/>
          <w:szCs w:val="20"/>
          <w:color w:val="auto"/>
        </w:rPr>
      </w:pPr>
      <w:r>
        <w:rPr>
          <w:rFonts w:ascii="Arial" w:cs="Arial" w:eastAsia="Arial" w:hAnsi="Arial"/>
          <w:sz w:val="14"/>
          <w:szCs w:val="14"/>
          <w:color w:val="auto"/>
        </w:rPr>
        <w:t>756878264 14453710</w:t>
      </w:r>
      <w:r>
        <w:rPr>
          <w:sz w:val="20"/>
          <w:szCs w:val="20"/>
          <w:color w:val="auto"/>
        </w:rPr>
        <w:tab/>
      </w:r>
      <w:r>
        <w:rPr>
          <w:rFonts w:ascii="Arial" w:cs="Arial" w:eastAsia="Arial" w:hAnsi="Arial"/>
          <w:sz w:val="26"/>
          <w:szCs w:val="26"/>
          <w:color w:val="auto"/>
          <w:vertAlign w:val="subscript"/>
        </w:rPr>
        <w:t>3</w:t>
      </w:r>
    </w:p>
    <w:p>
      <w:pPr>
        <w:sectPr>
          <w:pgSz w:w="11900" w:h="16838" w:orient="portrait"/>
          <w:cols w:equalWidth="0" w:num="1">
            <w:col w:w="11240"/>
          </w:cols>
          <w:pgMar w:left="320" w:top="1350" w:right="339" w:bottom="1440" w:gutter="0" w:footer="0" w:header="0"/>
        </w:sectPr>
      </w:pPr>
    </w:p>
    <w:bookmarkStart w:id="105" w:name="page106"/>
    <w:bookmarkEnd w:id="105"/>
    <w:p>
      <w:pPr>
        <w:spacing w:after="0" w:line="144" w:lineRule="exact"/>
        <w:rPr>
          <w:sz w:val="20"/>
          <w:szCs w:val="20"/>
          <w:color w:val="auto"/>
        </w:rPr>
      </w:pPr>
    </w:p>
    <w:p>
      <w:pPr>
        <w:jc w:val="both"/>
        <w:ind w:firstLine="622"/>
        <w:spacing w:after="0" w:line="244"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Reaffirmation of Receivables Purchase Agreement</w:t>
      </w:r>
      <w:r>
        <w:rPr>
          <w:rFonts w:ascii="Arial" w:cs="Arial" w:eastAsia="Arial" w:hAnsi="Arial"/>
          <w:sz w:val="19"/>
          <w:szCs w:val="19"/>
          <w:color w:val="auto"/>
        </w:rPr>
        <w:t>. After giving effect to this Amendment and each of the other transactions contemplated hereby, all of the provisions of the Receivables Purchase Agreement shall remain in full force and effect and the Performance Guarantor hereby ratifies and affirms the Receivables Purchase Agreement and acknowledges that the Receivables Purchase Agreement has continued and shall continue in full force and effect in accordance with its terms.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383" w:lineRule="exact"/>
        <w:rPr>
          <w:sz w:val="20"/>
          <w:szCs w:val="20"/>
          <w:color w:val="auto"/>
        </w:rPr>
      </w:pPr>
    </w:p>
    <w:p>
      <w:pPr>
        <w:ind w:left="60"/>
        <w:spacing w:after="0"/>
        <w:tabs>
          <w:tab w:leader="none" w:pos="5540" w:val="left"/>
        </w:tabs>
        <w:rPr>
          <w:sz w:val="20"/>
          <w:szCs w:val="20"/>
          <w:color w:val="auto"/>
        </w:rPr>
      </w:pPr>
      <w:r>
        <w:rPr>
          <w:rFonts w:ascii="Arial" w:cs="Arial" w:eastAsia="Arial" w:hAnsi="Arial"/>
          <w:sz w:val="14"/>
          <w:szCs w:val="14"/>
          <w:color w:val="auto"/>
        </w:rPr>
        <w:t>756878264 14453710</w:t>
      </w:r>
      <w:r>
        <w:rPr>
          <w:sz w:val="20"/>
          <w:szCs w:val="20"/>
          <w:color w:val="auto"/>
        </w:rPr>
        <w:tab/>
      </w:r>
      <w:r>
        <w:rPr>
          <w:rFonts w:ascii="Arial" w:cs="Arial" w:eastAsia="Arial" w:hAnsi="Arial"/>
          <w:sz w:val="26"/>
          <w:szCs w:val="26"/>
          <w:color w:val="auto"/>
          <w:vertAlign w:val="subscript"/>
        </w:rPr>
        <w:t>4</w:t>
      </w:r>
    </w:p>
    <w:p>
      <w:pPr>
        <w:sectPr>
          <w:pgSz w:w="11900" w:h="16838" w:orient="portrait"/>
          <w:cols w:equalWidth="0" w:num="1">
            <w:col w:w="11240"/>
          </w:cols>
          <w:pgMar w:left="320" w:top="1440" w:right="339" w:bottom="1440" w:gutter="0" w:footer="0" w:header="0"/>
        </w:sectPr>
      </w:pPr>
    </w:p>
    <w:bookmarkStart w:id="106" w:name="page107"/>
    <w:bookmarkEnd w:id="106"/>
    <w:p>
      <w:pPr>
        <w:jc w:val="center"/>
        <w:ind w:right="128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Amendment as of the date first written above.</w:t>
      </w:r>
    </w:p>
    <w:p>
      <w:pPr>
        <w:spacing w:after="0" w:line="238"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NCR RECEIVABLES LLC,</w:t>
      </w:r>
    </w:p>
    <w:p>
      <w:pPr>
        <w:ind w:left="3420"/>
        <w:spacing w:after="0"/>
        <w:rPr>
          <w:sz w:val="20"/>
          <w:szCs w:val="20"/>
          <w:color w:val="auto"/>
        </w:rPr>
      </w:pPr>
      <w:r>
        <w:rPr>
          <w:rFonts w:ascii="Arial" w:cs="Arial" w:eastAsia="Arial" w:hAnsi="Arial"/>
          <w:sz w:val="21"/>
          <w:szCs w:val="21"/>
          <w:color w:val="auto"/>
        </w:rPr>
        <w:t>as the Seller</w:t>
      </w:r>
    </w:p>
    <w:p>
      <w:pPr>
        <w:spacing w:after="0" w:line="139"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Vladimir Samoylenko</w:t>
      </w:r>
    </w:p>
    <w:p>
      <w:pPr>
        <w:ind w:left="3420"/>
        <w:spacing w:after="0" w:line="206" w:lineRule="auto"/>
        <w:rPr>
          <w:sz w:val="20"/>
          <w:szCs w:val="20"/>
          <w:color w:val="auto"/>
        </w:rPr>
      </w:pPr>
      <w:r>
        <w:rPr>
          <w:rFonts w:ascii="Arial" w:cs="Arial" w:eastAsia="Arial" w:hAnsi="Arial"/>
          <w:sz w:val="21"/>
          <w:szCs w:val="21"/>
          <w:color w:val="auto"/>
        </w:rPr>
        <w:t>Name: Vladimir Samoylenko</w:t>
      </w:r>
    </w:p>
    <w:p>
      <w:pPr>
        <w:ind w:left="3420"/>
        <w:spacing w:after="0"/>
        <w:rPr>
          <w:sz w:val="20"/>
          <w:szCs w:val="20"/>
          <w:color w:val="auto"/>
        </w:rPr>
      </w:pPr>
      <w:r>
        <w:rPr>
          <w:rFonts w:ascii="Arial" w:cs="Arial" w:eastAsia="Arial" w:hAnsi="Arial"/>
          <w:sz w:val="21"/>
          <w:szCs w:val="21"/>
          <w:color w:val="auto"/>
        </w:rPr>
        <w:t>Title: Manager</w:t>
      </w:r>
    </w:p>
    <w:p>
      <w:pPr>
        <w:ind w:left="3420"/>
        <w:spacing w:after="0" w:line="223" w:lineRule="auto"/>
        <w:rPr>
          <w:sz w:val="20"/>
          <w:szCs w:val="20"/>
          <w:color w:val="auto"/>
        </w:rPr>
      </w:pPr>
      <w:r>
        <w:rPr>
          <w:rFonts w:ascii="Arial" w:cs="Arial" w:eastAsia="Arial" w:hAnsi="Arial"/>
          <w:sz w:val="21"/>
          <w:szCs w:val="21"/>
          <w:color w:val="auto"/>
        </w:rPr>
        <w:t>NCR CANADA RECEIVABLES LP,</w:t>
      </w:r>
    </w:p>
    <w:p>
      <w:pPr>
        <w:ind w:left="3420"/>
        <w:spacing w:after="0" w:line="207" w:lineRule="auto"/>
        <w:rPr>
          <w:sz w:val="20"/>
          <w:szCs w:val="20"/>
          <w:color w:val="auto"/>
        </w:rPr>
      </w:pPr>
      <w:r>
        <w:rPr>
          <w:rFonts w:ascii="Arial" w:cs="Arial" w:eastAsia="Arial" w:hAnsi="Arial"/>
          <w:sz w:val="21"/>
          <w:szCs w:val="21"/>
          <w:color w:val="auto"/>
        </w:rPr>
        <w:t>by its general partner,</w:t>
      </w:r>
    </w:p>
    <w:p>
      <w:pPr>
        <w:ind w:left="3420"/>
        <w:spacing w:after="0" w:line="206" w:lineRule="auto"/>
        <w:rPr>
          <w:sz w:val="20"/>
          <w:szCs w:val="20"/>
          <w:color w:val="auto"/>
        </w:rPr>
      </w:pPr>
      <w:r>
        <w:rPr>
          <w:rFonts w:ascii="Arial" w:cs="Arial" w:eastAsia="Arial" w:hAnsi="Arial"/>
          <w:sz w:val="21"/>
          <w:szCs w:val="21"/>
          <w:color w:val="auto"/>
        </w:rPr>
        <w:t>NCR CANADA RECEIVABLES GP CORP.,</w:t>
      </w:r>
    </w:p>
    <w:p>
      <w:pPr>
        <w:ind w:left="3420"/>
        <w:spacing w:after="0"/>
        <w:rPr>
          <w:sz w:val="20"/>
          <w:szCs w:val="20"/>
          <w:color w:val="auto"/>
        </w:rPr>
      </w:pPr>
      <w:r>
        <w:rPr>
          <w:rFonts w:ascii="Arial" w:cs="Arial" w:eastAsia="Arial" w:hAnsi="Arial"/>
          <w:sz w:val="21"/>
          <w:szCs w:val="21"/>
          <w:color w:val="auto"/>
        </w:rPr>
        <w:t>as Canadian Guarantor</w:t>
      </w:r>
    </w:p>
    <w:p>
      <w:pPr>
        <w:spacing w:after="0" w:line="200" w:lineRule="exact"/>
        <w:rPr>
          <w:sz w:val="20"/>
          <w:szCs w:val="20"/>
          <w:color w:val="auto"/>
        </w:rPr>
      </w:pPr>
    </w:p>
    <w:p>
      <w:pPr>
        <w:spacing w:after="0" w:line="354"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Vladimir Samoylenko</w:t>
      </w:r>
    </w:p>
    <w:p>
      <w:pPr>
        <w:ind w:left="3420"/>
        <w:spacing w:after="0" w:line="206" w:lineRule="auto"/>
        <w:rPr>
          <w:sz w:val="20"/>
          <w:szCs w:val="20"/>
          <w:color w:val="auto"/>
        </w:rPr>
      </w:pPr>
      <w:r>
        <w:rPr>
          <w:rFonts w:ascii="Arial" w:cs="Arial" w:eastAsia="Arial" w:hAnsi="Arial"/>
          <w:sz w:val="21"/>
          <w:szCs w:val="21"/>
          <w:color w:val="auto"/>
        </w:rPr>
        <w:t>Name: Vladimir Samoylenko</w:t>
      </w:r>
    </w:p>
    <w:p>
      <w:pPr>
        <w:ind w:left="3420"/>
        <w:spacing w:after="0"/>
        <w:rPr>
          <w:sz w:val="20"/>
          <w:szCs w:val="20"/>
          <w:color w:val="auto"/>
        </w:rPr>
      </w:pPr>
      <w:r>
        <w:rPr>
          <w:rFonts w:ascii="Arial" w:cs="Arial" w:eastAsia="Arial" w:hAnsi="Arial"/>
          <w:sz w:val="21"/>
          <w:szCs w:val="21"/>
          <w:color w:val="auto"/>
        </w:rPr>
        <w:t>Title: Manager</w:t>
      </w:r>
    </w:p>
    <w:p>
      <w:pPr>
        <w:ind w:left="3420"/>
        <w:spacing w:after="0" w:line="223" w:lineRule="auto"/>
        <w:rPr>
          <w:sz w:val="20"/>
          <w:szCs w:val="20"/>
          <w:color w:val="auto"/>
        </w:rPr>
      </w:pPr>
      <w:r>
        <w:rPr>
          <w:rFonts w:ascii="Arial" w:cs="Arial" w:eastAsia="Arial" w:hAnsi="Arial"/>
          <w:sz w:val="21"/>
          <w:szCs w:val="21"/>
          <w:color w:val="auto"/>
        </w:rPr>
        <w:t>NCR CORPORATION,</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as a Servicer and as Performance Guarantor</w:t>
      </w:r>
    </w:p>
    <w:p>
      <w:pPr>
        <w:spacing w:after="0" w:line="34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Michael Nelson</w:t>
      </w:r>
    </w:p>
    <w:p>
      <w:pPr>
        <w:ind w:left="3420"/>
        <w:spacing w:after="0" w:line="206" w:lineRule="auto"/>
        <w:rPr>
          <w:sz w:val="20"/>
          <w:szCs w:val="20"/>
          <w:color w:val="auto"/>
        </w:rPr>
      </w:pPr>
      <w:r>
        <w:rPr>
          <w:rFonts w:ascii="Arial" w:cs="Arial" w:eastAsia="Arial" w:hAnsi="Arial"/>
          <w:sz w:val="21"/>
          <w:szCs w:val="21"/>
          <w:color w:val="auto"/>
        </w:rPr>
        <w:t>Name: Michael Nelson</w:t>
      </w:r>
    </w:p>
    <w:p>
      <w:pPr>
        <w:ind w:left="3420"/>
        <w:spacing w:after="0"/>
        <w:rPr>
          <w:sz w:val="20"/>
          <w:szCs w:val="20"/>
          <w:color w:val="auto"/>
        </w:rPr>
      </w:pPr>
      <w:r>
        <w:rPr>
          <w:rFonts w:ascii="Arial" w:cs="Arial" w:eastAsia="Arial" w:hAnsi="Arial"/>
          <w:sz w:val="21"/>
          <w:szCs w:val="21"/>
          <w:color w:val="auto"/>
        </w:rPr>
        <w:t>Title: Treasurer</w:t>
      </w:r>
    </w:p>
    <w:p>
      <w:pPr>
        <w:ind w:left="3420"/>
        <w:spacing w:after="0" w:line="223" w:lineRule="auto"/>
        <w:rPr>
          <w:sz w:val="20"/>
          <w:szCs w:val="20"/>
          <w:color w:val="auto"/>
        </w:rPr>
      </w:pPr>
      <w:r>
        <w:rPr>
          <w:rFonts w:ascii="Arial" w:cs="Arial" w:eastAsia="Arial" w:hAnsi="Arial"/>
          <w:sz w:val="21"/>
          <w:szCs w:val="21"/>
          <w:color w:val="auto"/>
        </w:rPr>
        <w:t>NCR CANADA CORP.,</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as a Servicer</w:t>
      </w:r>
    </w:p>
    <w:p>
      <w:pPr>
        <w:spacing w:after="0" w:line="34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Neil Boyd</w:t>
      </w:r>
    </w:p>
    <w:p>
      <w:pPr>
        <w:ind w:left="3420"/>
        <w:spacing w:after="0" w:line="206" w:lineRule="auto"/>
        <w:rPr>
          <w:sz w:val="20"/>
          <w:szCs w:val="20"/>
          <w:color w:val="auto"/>
        </w:rPr>
      </w:pPr>
      <w:r>
        <w:rPr>
          <w:rFonts w:ascii="Arial" w:cs="Arial" w:eastAsia="Arial" w:hAnsi="Arial"/>
          <w:sz w:val="21"/>
          <w:szCs w:val="21"/>
          <w:color w:val="auto"/>
        </w:rPr>
        <w:t>Name: Neil Boyd</w:t>
      </w:r>
    </w:p>
    <w:p>
      <w:pPr>
        <w:ind w:left="3420"/>
        <w:spacing w:after="0"/>
        <w:rPr>
          <w:sz w:val="20"/>
          <w:szCs w:val="20"/>
          <w:color w:val="auto"/>
        </w:rPr>
      </w:pPr>
      <w:r>
        <w:rPr>
          <w:rFonts w:ascii="Arial" w:cs="Arial" w:eastAsia="Arial" w:hAnsi="Arial"/>
          <w:sz w:val="21"/>
          <w:szCs w:val="21"/>
          <w:color w:val="auto"/>
        </w:rPr>
        <w:t>Title: Sole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Sixth Amendment to</w:t>
      </w:r>
    </w:p>
    <w:p>
      <w:pPr>
        <w:jc w:val="right"/>
        <w:spacing w:after="0"/>
        <w:rPr>
          <w:sz w:val="20"/>
          <w:szCs w:val="20"/>
          <w:color w:val="auto"/>
        </w:rPr>
      </w:pPr>
      <w:r>
        <w:rPr>
          <w:rFonts w:ascii="Arial" w:cs="Arial" w:eastAsia="Arial" w:hAnsi="Arial"/>
          <w:sz w:val="17"/>
          <w:szCs w:val="17"/>
          <w:i w:val="1"/>
          <w:iCs w:val="1"/>
          <w:color w:val="auto"/>
        </w:rPr>
        <w:t>Receivables Purchase Agreement</w:t>
      </w:r>
    </w:p>
    <w:p>
      <w:pPr>
        <w:sectPr>
          <w:pgSz w:w="11900" w:h="16838" w:orient="portrait"/>
          <w:cols w:equalWidth="0" w:num="1">
            <w:col w:w="10620"/>
          </w:cols>
          <w:pgMar w:left="940" w:top="1344" w:right="339" w:bottom="1440" w:gutter="0" w:footer="0" w:header="0"/>
        </w:sectPr>
      </w:pPr>
    </w:p>
    <w:bookmarkStart w:id="107" w:name="page108"/>
    <w:bookmarkEnd w:id="107"/>
    <w:p>
      <w:pPr>
        <w:ind w:left="2920"/>
        <w:spacing w:after="0"/>
        <w:rPr>
          <w:sz w:val="20"/>
          <w:szCs w:val="20"/>
          <w:color w:val="auto"/>
        </w:rPr>
      </w:pPr>
      <w:r>
        <w:rPr>
          <w:rFonts w:ascii="Arial" w:cs="Arial" w:eastAsia="Arial" w:hAnsi="Arial"/>
          <w:sz w:val="21"/>
          <w:szCs w:val="21"/>
          <w:color w:val="auto"/>
        </w:rPr>
        <w:t>PNC BANK, NATIONAL ASSOCIATION,</w:t>
      </w:r>
    </w:p>
    <w:p>
      <w:pPr>
        <w:ind w:left="2920"/>
        <w:spacing w:after="0"/>
        <w:rPr>
          <w:sz w:val="20"/>
          <w:szCs w:val="20"/>
          <w:color w:val="auto"/>
        </w:rPr>
      </w:pPr>
      <w:r>
        <w:rPr>
          <w:rFonts w:ascii="Arial" w:cs="Arial" w:eastAsia="Arial" w:hAnsi="Arial"/>
          <w:sz w:val="21"/>
          <w:szCs w:val="21"/>
          <w:color w:val="auto"/>
        </w:rPr>
        <w:t>as Administrative Agent, as a Group Agent and as a Committed Purchaser</w:t>
      </w:r>
    </w:p>
    <w:p>
      <w:pPr>
        <w:spacing w:after="0" w:line="347"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Eric Bruno</w:t>
      </w:r>
    </w:p>
    <w:p>
      <w:pPr>
        <w:ind w:left="2920"/>
        <w:spacing w:after="0" w:line="206" w:lineRule="auto"/>
        <w:rPr>
          <w:sz w:val="20"/>
          <w:szCs w:val="20"/>
          <w:color w:val="auto"/>
        </w:rPr>
      </w:pPr>
      <w:r>
        <w:rPr>
          <w:rFonts w:ascii="Arial" w:cs="Arial" w:eastAsia="Arial" w:hAnsi="Arial"/>
          <w:sz w:val="21"/>
          <w:szCs w:val="21"/>
          <w:color w:val="auto"/>
        </w:rPr>
        <w:t>Name: Eric Bruno</w:t>
      </w:r>
    </w:p>
    <w:p>
      <w:pPr>
        <w:ind w:left="2920"/>
        <w:spacing w:after="0"/>
        <w:rPr>
          <w:sz w:val="20"/>
          <w:szCs w:val="20"/>
          <w:color w:val="auto"/>
        </w:rPr>
      </w:pPr>
      <w:r>
        <w:rPr>
          <w:rFonts w:ascii="Arial" w:cs="Arial" w:eastAsia="Arial" w:hAnsi="Arial"/>
          <w:sz w:val="21"/>
          <w:szCs w:val="21"/>
          <w:color w:val="auto"/>
        </w:rPr>
        <w:t>Title: Senior Vice President</w:t>
      </w:r>
    </w:p>
    <w:p>
      <w:pPr>
        <w:ind w:left="2920"/>
        <w:spacing w:after="0" w:line="223" w:lineRule="auto"/>
        <w:rPr>
          <w:sz w:val="20"/>
          <w:szCs w:val="20"/>
          <w:color w:val="auto"/>
        </w:rPr>
      </w:pPr>
      <w:r>
        <w:rPr>
          <w:rFonts w:ascii="Arial" w:cs="Arial" w:eastAsia="Arial" w:hAnsi="Arial"/>
          <w:sz w:val="21"/>
          <w:szCs w:val="21"/>
          <w:color w:val="auto"/>
        </w:rPr>
        <w:t>PNC CAPITAL MARKETS LLC,</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as Structuring Agent</w:t>
      </w:r>
    </w:p>
    <w:p>
      <w:pPr>
        <w:spacing w:after="0" w:line="139"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Eric Bruno</w:t>
      </w:r>
    </w:p>
    <w:p>
      <w:pPr>
        <w:ind w:left="2920"/>
        <w:spacing w:after="0" w:line="206" w:lineRule="auto"/>
        <w:rPr>
          <w:sz w:val="20"/>
          <w:szCs w:val="20"/>
          <w:color w:val="auto"/>
        </w:rPr>
      </w:pPr>
      <w:r>
        <w:rPr>
          <w:rFonts w:ascii="Arial" w:cs="Arial" w:eastAsia="Arial" w:hAnsi="Arial"/>
          <w:sz w:val="21"/>
          <w:szCs w:val="21"/>
          <w:color w:val="auto"/>
        </w:rPr>
        <w:t>Name: Eric Bruno</w:t>
      </w:r>
    </w:p>
    <w:p>
      <w:pPr>
        <w:ind w:left="292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Sixth Amendment to</w:t>
      </w:r>
    </w:p>
    <w:p>
      <w:pPr>
        <w:jc w:val="right"/>
        <w:spacing w:after="0"/>
        <w:rPr>
          <w:sz w:val="20"/>
          <w:szCs w:val="20"/>
          <w:color w:val="auto"/>
        </w:rPr>
      </w:pPr>
      <w:r>
        <w:rPr>
          <w:rFonts w:ascii="Arial" w:cs="Arial" w:eastAsia="Arial" w:hAnsi="Arial"/>
          <w:sz w:val="17"/>
          <w:szCs w:val="17"/>
          <w:i w:val="1"/>
          <w:iCs w:val="1"/>
          <w:color w:val="auto"/>
        </w:rPr>
        <w:t>Receivables Purchase Agreement</w:t>
      </w:r>
    </w:p>
    <w:p>
      <w:pPr>
        <w:sectPr>
          <w:pgSz w:w="11900" w:h="16838" w:orient="portrait"/>
          <w:cols w:equalWidth="0" w:num="1">
            <w:col w:w="10120"/>
          </w:cols>
          <w:pgMar w:left="1440" w:top="1386" w:right="339" w:bottom="1440" w:gutter="0" w:footer="0" w:header="0"/>
        </w:sectPr>
      </w:pPr>
    </w:p>
    <w:bookmarkStart w:id="108" w:name="page109"/>
    <w:bookmarkEnd w:id="108"/>
    <w:p>
      <w:pPr>
        <w:spacing w:after="0" w:line="180"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MUFG BANK, LTD.,</w:t>
      </w:r>
    </w:p>
    <w:p>
      <w:pPr>
        <w:ind w:left="2980"/>
        <w:spacing w:after="0"/>
        <w:rPr>
          <w:sz w:val="20"/>
          <w:szCs w:val="20"/>
          <w:color w:val="auto"/>
        </w:rPr>
      </w:pPr>
      <w:r>
        <w:rPr>
          <w:rFonts w:ascii="Arial" w:cs="Arial" w:eastAsia="Arial" w:hAnsi="Arial"/>
          <w:sz w:val="21"/>
          <w:szCs w:val="21"/>
          <w:color w:val="auto"/>
        </w:rPr>
        <w:t>as a Group Agent and as a Committed Purchaser</w:t>
      </w:r>
    </w:p>
    <w:p>
      <w:pPr>
        <w:spacing w:after="0" w:line="347"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Eric Williams</w:t>
      </w:r>
    </w:p>
    <w:p>
      <w:pPr>
        <w:ind w:left="2980"/>
        <w:spacing w:after="0" w:line="206" w:lineRule="auto"/>
        <w:rPr>
          <w:sz w:val="20"/>
          <w:szCs w:val="20"/>
          <w:color w:val="auto"/>
        </w:rPr>
      </w:pPr>
      <w:r>
        <w:rPr>
          <w:rFonts w:ascii="Arial" w:cs="Arial" w:eastAsia="Arial" w:hAnsi="Arial"/>
          <w:sz w:val="21"/>
          <w:szCs w:val="21"/>
          <w:color w:val="auto"/>
        </w:rPr>
        <w:t>Name: Eric Williams</w:t>
      </w:r>
    </w:p>
    <w:p>
      <w:pPr>
        <w:ind w:left="2980"/>
        <w:spacing w:after="0"/>
        <w:rPr>
          <w:sz w:val="20"/>
          <w:szCs w:val="20"/>
          <w:color w:val="auto"/>
        </w:rPr>
      </w:pPr>
      <w:r>
        <w:rPr>
          <w:rFonts w:ascii="Arial" w:cs="Arial" w:eastAsia="Arial" w:hAnsi="Arial"/>
          <w:sz w:val="21"/>
          <w:szCs w:val="21"/>
          <w:color w:val="auto"/>
        </w:rPr>
        <w:t>Title: Managing Director</w:t>
      </w:r>
    </w:p>
    <w:p>
      <w:pPr>
        <w:spacing w:after="0" w:line="217"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VICTORY RECEIVABLES CORPORATION,</w:t>
      </w:r>
    </w:p>
    <w:p>
      <w:pPr>
        <w:ind w:left="2980"/>
        <w:spacing w:after="0"/>
        <w:rPr>
          <w:sz w:val="20"/>
          <w:szCs w:val="20"/>
          <w:color w:val="auto"/>
        </w:rPr>
      </w:pPr>
      <w:r>
        <w:rPr>
          <w:rFonts w:ascii="Arial" w:cs="Arial" w:eastAsia="Arial" w:hAnsi="Arial"/>
          <w:sz w:val="21"/>
          <w:szCs w:val="21"/>
          <w:color w:val="auto"/>
        </w:rPr>
        <w:t>as a Conduit Purchaser</w:t>
      </w:r>
    </w:p>
    <w:p>
      <w:pPr>
        <w:spacing w:after="0" w:line="347"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J. Corrigan</w:t>
      </w:r>
    </w:p>
    <w:p>
      <w:pPr>
        <w:ind w:left="2980"/>
        <w:spacing w:after="0" w:line="206" w:lineRule="auto"/>
        <w:rPr>
          <w:sz w:val="20"/>
          <w:szCs w:val="20"/>
          <w:color w:val="auto"/>
        </w:rPr>
      </w:pPr>
      <w:r>
        <w:rPr>
          <w:rFonts w:ascii="Arial" w:cs="Arial" w:eastAsia="Arial" w:hAnsi="Arial"/>
          <w:sz w:val="21"/>
          <w:szCs w:val="21"/>
          <w:color w:val="auto"/>
        </w:rPr>
        <w:t>Name: Kevin J. Corrigan</w:t>
      </w:r>
    </w:p>
    <w:p>
      <w:pPr>
        <w:ind w:left="298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Sixth Amendment to</w:t>
      </w:r>
    </w:p>
    <w:p>
      <w:pPr>
        <w:jc w:val="right"/>
        <w:spacing w:after="0"/>
        <w:rPr>
          <w:sz w:val="20"/>
          <w:szCs w:val="20"/>
          <w:color w:val="auto"/>
        </w:rPr>
      </w:pPr>
      <w:r>
        <w:rPr>
          <w:rFonts w:ascii="Arial" w:cs="Arial" w:eastAsia="Arial" w:hAnsi="Arial"/>
          <w:sz w:val="17"/>
          <w:szCs w:val="17"/>
          <w:i w:val="1"/>
          <w:iCs w:val="1"/>
          <w:color w:val="auto"/>
        </w:rPr>
        <w:t>Receivables Purchase Agreement</w:t>
      </w:r>
    </w:p>
    <w:p>
      <w:pPr>
        <w:sectPr>
          <w:pgSz w:w="11900" w:h="16838" w:orient="portrait"/>
          <w:cols w:equalWidth="0" w:num="1">
            <w:col w:w="10120"/>
          </w:cols>
          <w:pgMar w:left="1440" w:top="1440" w:right="339" w:bottom="1440" w:gutter="0" w:footer="0" w:header="0"/>
        </w:sectPr>
      </w:pPr>
    </w:p>
    <w:bookmarkStart w:id="109" w:name="page110"/>
    <w:bookmarkEnd w:id="109"/>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EMPLOYMENT AGREEMENT</w:t>
      </w:r>
    </w:p>
    <w:p>
      <w:pPr>
        <w:spacing w:after="0" w:line="173" w:lineRule="exact"/>
        <w:rPr>
          <w:sz w:val="20"/>
          <w:szCs w:val="20"/>
          <w:color w:val="auto"/>
        </w:rPr>
      </w:pPr>
    </w:p>
    <w:p>
      <w:pPr>
        <w:jc w:val="both"/>
        <w:ind w:firstLine="622"/>
        <w:spacing w:after="0" w:line="227" w:lineRule="auto"/>
        <w:rPr>
          <w:sz w:val="20"/>
          <w:szCs w:val="20"/>
          <w:color w:val="auto"/>
        </w:rPr>
      </w:pPr>
      <w:r>
        <w:rPr>
          <w:rFonts w:ascii="Arial" w:cs="Arial" w:eastAsia="Arial" w:hAnsi="Arial"/>
          <w:sz w:val="21"/>
          <w:szCs w:val="21"/>
          <w:b w:val="1"/>
          <w:bCs w:val="1"/>
          <w:color w:val="auto"/>
        </w:rPr>
        <w:t xml:space="preserve">THIS EMPLOYMENT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September 25, 2023 and effective of the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Date (as defined below), is made by and between NCR Corporation (to be renamed NCR Voyix Corporation), a Maryland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David Wilkinson (“</w:t>
      </w:r>
      <w:r>
        <w:rPr>
          <w:rFonts w:ascii="Arial" w:cs="Arial" w:eastAsia="Arial" w:hAnsi="Arial"/>
          <w:sz w:val="21"/>
          <w:szCs w:val="21"/>
          <w:u w:val="single" w:color="auto"/>
          <w:color w:val="auto"/>
        </w:rPr>
        <w:t>Executive</w:t>
      </w:r>
      <w:r>
        <w:rPr>
          <w:rFonts w:ascii="Arial" w:cs="Arial" w:eastAsia="Arial" w:hAnsi="Arial"/>
          <w:sz w:val="21"/>
          <w:szCs w:val="21"/>
          <w:color w:val="auto"/>
        </w:rPr>
        <w:t>”) (each a “</w:t>
      </w:r>
      <w:r>
        <w:rPr>
          <w:rFonts w:ascii="Arial" w:cs="Arial" w:eastAsia="Arial" w:hAnsi="Arial"/>
          <w:sz w:val="21"/>
          <w:szCs w:val="21"/>
          <w:u w:val="single" w:color="auto"/>
          <w:color w:val="auto"/>
        </w:rPr>
        <w:t>Party</w:t>
      </w:r>
      <w:r>
        <w:rPr>
          <w:rFonts w:ascii="Arial" w:cs="Arial" w:eastAsia="Arial" w:hAnsi="Arial"/>
          <w:sz w:val="21"/>
          <w:szCs w:val="21"/>
          <w:color w:val="auto"/>
        </w:rPr>
        <w:t>”).</w:t>
      </w:r>
    </w:p>
    <w:p>
      <w:pPr>
        <w:spacing w:after="0" w:line="145" w:lineRule="exact"/>
        <w:rPr>
          <w:sz w:val="20"/>
          <w:szCs w:val="20"/>
          <w:color w:val="auto"/>
        </w:rPr>
      </w:pPr>
    </w:p>
    <w:p>
      <w:pPr>
        <w:ind w:right="220" w:firstLine="622"/>
        <w:spacing w:after="0" w:line="23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to employ Executive as its Chief Executive Officer as of and following the Effective Date</w:t>
      </w:r>
      <w:r>
        <w:rPr>
          <w:rFonts w:ascii="Arial" w:cs="Arial" w:eastAsia="Arial" w:hAnsi="Arial"/>
          <w:sz w:val="21"/>
          <w:szCs w:val="21"/>
          <w:b w:val="1"/>
          <w:bCs w:val="1"/>
          <w:color w:val="auto"/>
        </w:rPr>
        <w:t xml:space="preserve"> </w:t>
      </w:r>
      <w:r>
        <w:rPr>
          <w:rFonts w:ascii="Arial" w:cs="Arial" w:eastAsia="Arial" w:hAnsi="Arial"/>
          <w:sz w:val="21"/>
          <w:szCs w:val="21"/>
          <w:color w:val="auto"/>
        </w:rPr>
        <w:t>and desires to memorialize the terms and conditions of such employment in this Agreement.</w:t>
      </w:r>
    </w:p>
    <w:p>
      <w:pPr>
        <w:spacing w:after="0" w:line="145" w:lineRule="exact"/>
        <w:rPr>
          <w:sz w:val="20"/>
          <w:szCs w:val="20"/>
          <w:color w:val="auto"/>
        </w:rPr>
      </w:pPr>
    </w:p>
    <w:p>
      <w:pPr>
        <w:ind w:right="720" w:firstLine="622"/>
        <w:spacing w:after="0" w:line="25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mutual covenants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of which is mutually acknowledged, the Parties agree as follows:</w:t>
      </w:r>
    </w:p>
    <w:p>
      <w:pPr>
        <w:spacing w:after="0" w:line="132" w:lineRule="exact"/>
        <w:rPr>
          <w:sz w:val="20"/>
          <w:szCs w:val="20"/>
          <w:color w:val="auto"/>
        </w:rPr>
      </w:pPr>
    </w:p>
    <w:p>
      <w:pPr>
        <w:jc w:val="both"/>
        <w:ind w:firstLine="626"/>
        <w:spacing w:after="0" w:line="217" w:lineRule="auto"/>
        <w:tabs>
          <w:tab w:leader="none" w:pos="125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Executive’s term of employment under this Agreement shall commence effective as of the date that NCR Corporation, a Maryland corporation (“</w:t>
      </w:r>
      <w:r>
        <w:rPr>
          <w:rFonts w:ascii="Arial" w:cs="Arial" w:eastAsia="Arial" w:hAnsi="Arial"/>
          <w:sz w:val="21"/>
          <w:szCs w:val="21"/>
          <w:u w:val="single" w:color="auto"/>
          <w:color w:val="auto"/>
        </w:rPr>
        <w:t>NCR Corporation</w:t>
      </w:r>
      <w:r>
        <w:rPr>
          <w:rFonts w:ascii="Arial" w:cs="Arial" w:eastAsia="Arial" w:hAnsi="Arial"/>
          <w:sz w:val="21"/>
          <w:szCs w:val="21"/>
          <w:color w:val="auto"/>
        </w:rPr>
        <w:t>”), completes it separation via a spin-off distribution (the “</w:t>
      </w:r>
      <w:r>
        <w:rPr>
          <w:rFonts w:ascii="Arial" w:cs="Arial" w:eastAsia="Arial" w:hAnsi="Arial"/>
          <w:sz w:val="21"/>
          <w:szCs w:val="21"/>
          <w:u w:val="single" w:color="auto"/>
          <w:color w:val="auto"/>
        </w:rPr>
        <w:t>Spin-off</w:t>
      </w:r>
      <w:r>
        <w:rPr>
          <w:rFonts w:ascii="Arial" w:cs="Arial" w:eastAsia="Arial" w:hAnsi="Arial"/>
          <w:sz w:val="21"/>
          <w:szCs w:val="21"/>
          <w:color w:val="auto"/>
        </w:rPr>
        <w:t>”) into the Company and NCR Atleos, a Maryland corporation (such date,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and shall continue until terminated in accordance with the terms of Section 6 hereof (the “</w:t>
      </w:r>
      <w:r>
        <w:rPr>
          <w:rFonts w:ascii="Arial" w:cs="Arial" w:eastAsia="Arial" w:hAnsi="Arial"/>
          <w:sz w:val="21"/>
          <w:szCs w:val="21"/>
          <w:u w:val="single" w:color="auto"/>
          <w:color w:val="auto"/>
        </w:rPr>
        <w:t>Term</w:t>
      </w:r>
      <w:r>
        <w:rPr>
          <w:rFonts w:ascii="Arial" w:cs="Arial" w:eastAsia="Arial" w:hAnsi="Arial"/>
          <w:sz w:val="21"/>
          <w:szCs w:val="21"/>
          <w:color w:val="auto"/>
        </w:rPr>
        <w:t>”). If the Spin-off does not occur, this Agreement shall terminate ab initio and have no force and effect.</w:t>
      </w:r>
    </w:p>
    <w:p>
      <w:pPr>
        <w:spacing w:after="0" w:line="152" w:lineRule="exact"/>
        <w:rPr>
          <w:rFonts w:ascii="Arial" w:cs="Arial" w:eastAsia="Arial" w:hAnsi="Arial"/>
          <w:sz w:val="21"/>
          <w:szCs w:val="21"/>
          <w:color w:val="auto"/>
        </w:rPr>
      </w:pPr>
    </w:p>
    <w:p>
      <w:pPr>
        <w:ind w:left="1040" w:hanging="414"/>
        <w:spacing w:after="0"/>
        <w:tabs>
          <w:tab w:leader="none" w:pos="104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Title; Services and Duties</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firstLine="1248"/>
        <w:spacing w:after="0" w:line="228" w:lineRule="auto"/>
        <w:tabs>
          <w:tab w:leader="none" w:pos="1788" w:val="left"/>
        </w:tabs>
        <w:numPr>
          <w:ilvl w:val="1"/>
          <w:numId w:val="45"/>
        </w:numPr>
        <w:rPr>
          <w:rFonts w:ascii="Arial" w:cs="Arial" w:eastAsia="Arial" w:hAnsi="Arial"/>
          <w:sz w:val="20"/>
          <w:szCs w:val="20"/>
          <w:color w:val="auto"/>
        </w:rPr>
      </w:pPr>
      <w:r>
        <w:rPr>
          <w:rFonts w:ascii="Arial" w:cs="Arial" w:eastAsia="Arial" w:hAnsi="Arial"/>
          <w:sz w:val="20"/>
          <w:szCs w:val="20"/>
          <w:color w:val="auto"/>
        </w:rPr>
        <w:t>During the Term, Executive shall be employed by the Company and serve in the position of Chief Executive Officer of the Company, reporting to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pursuant to the terms of this Agreement. Executive shall also be a member of the Board, effective no later than the Effective Date, and the Company shall use its reasonable best efforts to cause Executive to be nominated and recommended by the Board to shareholders for re-election to the Board at each future annual meeting of shareholders held for election of directors during the Term.</w:t>
      </w:r>
    </w:p>
    <w:p>
      <w:pPr>
        <w:spacing w:after="0" w:line="152" w:lineRule="exact"/>
        <w:rPr>
          <w:rFonts w:ascii="Arial" w:cs="Arial" w:eastAsia="Arial" w:hAnsi="Arial"/>
          <w:sz w:val="20"/>
          <w:szCs w:val="20"/>
          <w:color w:val="auto"/>
        </w:rPr>
      </w:pPr>
    </w:p>
    <w:p>
      <w:pPr>
        <w:jc w:val="both"/>
        <w:ind w:firstLine="1248"/>
        <w:spacing w:after="0" w:line="220" w:lineRule="auto"/>
        <w:tabs>
          <w:tab w:leader="none" w:pos="1760" w:val="left"/>
        </w:tabs>
        <w:numPr>
          <w:ilvl w:val="1"/>
          <w:numId w:val="45"/>
        </w:numPr>
        <w:rPr>
          <w:rFonts w:ascii="Arial" w:cs="Arial" w:eastAsia="Arial" w:hAnsi="Arial"/>
          <w:sz w:val="20"/>
          <w:szCs w:val="20"/>
          <w:color w:val="auto"/>
        </w:rPr>
      </w:pPr>
      <w:r>
        <w:rPr>
          <w:rFonts w:ascii="Arial" w:cs="Arial" w:eastAsia="Arial" w:hAnsi="Arial"/>
          <w:sz w:val="20"/>
          <w:szCs w:val="20"/>
          <w:color w:val="auto"/>
        </w:rPr>
        <w:t xml:space="preserve">During the Term, Executive shall be a full-time employee of the Company and report directly and solely to the Board and have such duties, responsibilities and authority as normally associated with the role of a Chief Executive Officer at an entity of similar size and nature as the Company, subject to any specific duties consistent with the preceding as may be assigned by the Board. The location of Executive’s principal place of employment during the Term shall be Atlanta, Georgia, subject to (i) the Company’s remote work policies as in effect from time to time and (ii) business travel as reasonably required by Executive’s job duties. Executive shall devote substantially all of his business time and attention to the performance of his duties to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Executive may (i) continue to engage in any outside business activities (including any board service) previously disclosed to the Company as of the date of this Agreement; (ii) serve on the board of directors of for-profit companies (whether public or private) with the prior express written consent of the Board (which shall not be unreasonably withheld); (iii) serve as a director, officer or advisor to industry organizations supporting the Company’s business or other non-profit organizations; (iv) teach at educational institutions and participate in other charitable, civic, educational, professional, community and industry affairs and other related activities; and (v) manage his personal and family investments;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activities do not result in a conflict of interest with the Company and do not unreasonably interfere, individually or in the aggregate, in any material respect with the performance of Executive’s duties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18" w:lineRule="exact"/>
        <w:rPr>
          <w:sz w:val="20"/>
          <w:szCs w:val="20"/>
          <w:color w:val="auto"/>
        </w:rPr>
      </w:pPr>
    </w:p>
    <w:p>
      <w:pPr>
        <w:ind w:left="1040" w:hanging="414"/>
        <w:spacing w:after="0"/>
        <w:tabs>
          <w:tab w:leader="none" w:pos="104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firstLine="1248"/>
        <w:spacing w:after="0" w:line="220" w:lineRule="auto"/>
        <w:tabs>
          <w:tab w:leader="none" w:pos="1734"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Term, the Company will pay Executive a base salary in the amount of $800,000.00 per annum (the “</w:t>
      </w:r>
      <w:r>
        <w:rPr>
          <w:rFonts w:ascii="Arial" w:cs="Arial" w:eastAsia="Arial" w:hAnsi="Arial"/>
          <w:sz w:val="21"/>
          <w:szCs w:val="21"/>
          <w:u w:val="single" w:color="auto"/>
          <w:color w:val="auto"/>
        </w:rPr>
        <w:t>Base Salary</w:t>
      </w:r>
      <w:r>
        <w:rPr>
          <w:rFonts w:ascii="Arial" w:cs="Arial" w:eastAsia="Arial" w:hAnsi="Arial"/>
          <w:sz w:val="21"/>
          <w:szCs w:val="21"/>
          <w:color w:val="auto"/>
        </w:rPr>
        <w:t>”), payable in such installments as the Company pays other executive officers of the Company. The Base Salary will be reviewed from time to time and may be increased (but not decreased) by the Compensation and Human Resources Committee of the Board (the “</w:t>
      </w:r>
      <w:r>
        <w:rPr>
          <w:rFonts w:ascii="Arial" w:cs="Arial" w:eastAsia="Arial" w:hAnsi="Arial"/>
          <w:sz w:val="21"/>
          <w:szCs w:val="21"/>
          <w:u w:val="single" w:color="auto"/>
          <w:color w:val="auto"/>
        </w:rPr>
        <w:t>CHRC</w:t>
      </w:r>
      <w:r>
        <w:rPr>
          <w:rFonts w:ascii="Arial" w:cs="Arial" w:eastAsia="Arial" w:hAnsi="Arial"/>
          <w:sz w:val="21"/>
          <w:szCs w:val="21"/>
          <w:color w:val="auto"/>
        </w:rPr>
        <w:t>”) during the Term.</w:t>
      </w:r>
    </w:p>
    <w:p>
      <w:pPr>
        <w:spacing w:after="0" w:line="151" w:lineRule="exact"/>
        <w:rPr>
          <w:rFonts w:ascii="Arial" w:cs="Arial" w:eastAsia="Arial" w:hAnsi="Arial"/>
          <w:sz w:val="21"/>
          <w:szCs w:val="21"/>
          <w:color w:val="auto"/>
        </w:rPr>
      </w:pPr>
    </w:p>
    <w:p>
      <w:pPr>
        <w:jc w:val="both"/>
        <w:ind w:firstLine="1248"/>
        <w:spacing w:after="0" w:line="223" w:lineRule="auto"/>
        <w:tabs>
          <w:tab w:leader="none" w:pos="1798"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Annual Performance Bonus</w:t>
      </w:r>
      <w:r>
        <w:rPr>
          <w:rFonts w:ascii="Arial" w:cs="Arial" w:eastAsia="Arial" w:hAnsi="Arial"/>
          <w:sz w:val="20"/>
          <w:szCs w:val="20"/>
          <w:color w:val="auto"/>
        </w:rPr>
        <w:t>. During the Term, Executive will be eligible to receive an annual target bonus of 150% of Base Salary (the “</w:t>
      </w:r>
      <w:r>
        <w:rPr>
          <w:rFonts w:ascii="Arial" w:cs="Arial" w:eastAsia="Arial" w:hAnsi="Arial"/>
          <w:sz w:val="20"/>
          <w:szCs w:val="20"/>
          <w:u w:val="single" w:color="auto"/>
          <w:color w:val="auto"/>
        </w:rPr>
        <w:t>Target Bonus</w:t>
      </w:r>
      <w:r>
        <w:rPr>
          <w:rFonts w:ascii="Arial" w:cs="Arial" w:eastAsia="Arial" w:hAnsi="Arial"/>
          <w:sz w:val="20"/>
          <w:szCs w:val="20"/>
          <w:color w:val="auto"/>
        </w:rPr>
        <w:t>”), with a maximum potential payout of 200% of Target Bonus, payable in cash, pursuant to the Company’s Management Incentive Plan (or any successor annual bonus program as in effect from time to time) (the “</w:t>
      </w:r>
      <w:r>
        <w:rPr>
          <w:rFonts w:ascii="Arial" w:cs="Arial" w:eastAsia="Arial" w:hAnsi="Arial"/>
          <w:sz w:val="20"/>
          <w:szCs w:val="20"/>
          <w:u w:val="single" w:color="auto"/>
          <w:color w:val="auto"/>
        </w:rPr>
        <w:t>MIP</w:t>
      </w:r>
      <w:r>
        <w:rPr>
          <w:rFonts w:ascii="Arial" w:cs="Arial" w:eastAsia="Arial" w:hAnsi="Arial"/>
          <w:sz w:val="20"/>
          <w:szCs w:val="20"/>
          <w:color w:val="auto"/>
        </w:rPr>
        <w:t>”) in respect of each fiscal year during the Term. The bonus payable to Executive will be determined by the CHRC based on, among other things, Executive’s individual performance for such year, the achievement of the applicable performance criteria established by the CHRC for such year after consultation with Executive, and such other factors deemed to be relevant by the CHRC. Subject to the terms of the MIP or any other Company plan as in effect from time to time, Executive must be employed on the date of payment of such bonus, which shall be paid at the same time and subject to such other conditions as annual bonus payments are made to other executive officers of the Company.</w:t>
      </w:r>
    </w:p>
    <w:p>
      <w:pPr>
        <w:spacing w:after="0" w:line="151" w:lineRule="exact"/>
        <w:rPr>
          <w:rFonts w:ascii="Arial" w:cs="Arial" w:eastAsia="Arial" w:hAnsi="Arial"/>
          <w:sz w:val="20"/>
          <w:szCs w:val="20"/>
          <w:color w:val="auto"/>
        </w:rPr>
      </w:pPr>
    </w:p>
    <w:p>
      <w:pPr>
        <w:jc w:val="both"/>
        <w:ind w:firstLine="1248"/>
        <w:spacing w:after="0" w:line="214" w:lineRule="auto"/>
        <w:tabs>
          <w:tab w:leader="none" w:pos="1760"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Long-Term Equity-Based Incentive Awards</w:t>
      </w:r>
      <w:r>
        <w:rPr>
          <w:rFonts w:ascii="Arial" w:cs="Arial" w:eastAsia="Arial" w:hAnsi="Arial"/>
          <w:sz w:val="21"/>
          <w:szCs w:val="21"/>
          <w:color w:val="auto"/>
        </w:rPr>
        <w:t>. During the Term, beginning in 2024, Executive will be eligible to participate in the Company’s equity-based incentive compensation program as in effect from time to time with a minimum grant date value equal to $5,500,000.00 per annum (the “</w:t>
      </w:r>
      <w:r>
        <w:rPr>
          <w:rFonts w:ascii="Arial" w:cs="Arial" w:eastAsia="Arial" w:hAnsi="Arial"/>
          <w:sz w:val="21"/>
          <w:szCs w:val="21"/>
          <w:u w:val="single" w:color="auto"/>
          <w:color w:val="auto"/>
        </w:rPr>
        <w:t>Equity Grant</w:t>
      </w:r>
      <w:r>
        <w:rPr>
          <w:rFonts w:ascii="Arial" w:cs="Arial" w:eastAsia="Arial" w:hAnsi="Arial"/>
          <w:sz w:val="21"/>
          <w:szCs w:val="21"/>
          <w:color w:val="auto"/>
        </w:rPr>
        <w:t xml:space="preserve">”), subject to terms and conditions determined by the Board in its sole discretion after consultation with Executive (including, without limitation, with respect to performance-based and time-based vesting criteria), as set forth in the Company’s equity incentive plan as in effect from time to time and Executive’s individual award agreements,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awards will be comprised of awards of the same type and in the same proportion as are awards to other executive officers of the Company.</w:t>
      </w:r>
    </w:p>
    <w:p>
      <w:pPr>
        <w:spacing w:after="0" w:line="152" w:lineRule="exact"/>
        <w:rPr>
          <w:rFonts w:ascii="Arial" w:cs="Arial" w:eastAsia="Arial" w:hAnsi="Arial"/>
          <w:sz w:val="21"/>
          <w:szCs w:val="21"/>
          <w:color w:val="auto"/>
        </w:rPr>
      </w:pPr>
    </w:p>
    <w:p>
      <w:pPr>
        <w:jc w:val="both"/>
        <w:ind w:firstLine="1248"/>
        <w:spacing w:after="0"/>
        <w:tabs>
          <w:tab w:leader="none" w:pos="172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Effect of Spin-Off on Pre-Existing Equity Incentive Awards and Annual Incentive Plan</w:t>
      </w:r>
      <w:r>
        <w:rPr>
          <w:rFonts w:ascii="Arial" w:cs="Arial" w:eastAsia="Arial" w:hAnsi="Arial"/>
          <w:sz w:val="19"/>
          <w:szCs w:val="19"/>
          <w:color w:val="auto"/>
        </w:rPr>
        <w:t>. As of the Effective Date, each outstanding equity incentive award issued by NCR Corporation held by Executive immediately prior to the Effective Date shall be adjusted in the manner set forth the Employee Matters Agreement by and between NCR Corporation and the Company in connection with the Spin-off (the “</w:t>
      </w:r>
      <w:r>
        <w:rPr>
          <w:rFonts w:ascii="Arial" w:cs="Arial" w:eastAsia="Arial" w:hAnsi="Arial"/>
          <w:sz w:val="19"/>
          <w:szCs w:val="19"/>
          <w:u w:val="single" w:color="auto"/>
          <w:color w:val="auto"/>
        </w:rPr>
        <w:t>Employee Matters Agreement</w:t>
      </w:r>
      <w:r>
        <w:rPr>
          <w:rFonts w:ascii="Arial" w:cs="Arial" w:eastAsia="Arial" w:hAnsi="Arial"/>
          <w:sz w:val="19"/>
          <w:szCs w:val="19"/>
          <w:color w:val="auto"/>
        </w:rPr>
        <w:t>”). In addition, Executive’s rights to an annual performance bonus for calendar year 2023 shall be determined in accordance with the provisions of the Employee Matters Agreement.</w:t>
      </w:r>
    </w:p>
    <w:p>
      <w:pPr>
        <w:spacing w:after="0" w:line="152" w:lineRule="exact"/>
        <w:rPr>
          <w:rFonts w:ascii="Arial" w:cs="Arial" w:eastAsia="Arial" w:hAnsi="Arial"/>
          <w:sz w:val="19"/>
          <w:szCs w:val="19"/>
          <w:color w:val="auto"/>
        </w:rPr>
      </w:pPr>
    </w:p>
    <w:p>
      <w:pPr>
        <w:ind w:left="1040" w:hanging="414"/>
        <w:spacing w:after="0"/>
        <w:tabs>
          <w:tab w:leader="none" w:pos="104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Employee Benefits</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firstLine="1248"/>
        <w:spacing w:after="0" w:line="215" w:lineRule="auto"/>
        <w:tabs>
          <w:tab w:leader="none" w:pos="1760"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Retirement and Welfare Benefits</w:t>
      </w:r>
      <w:r>
        <w:rPr>
          <w:rFonts w:ascii="Arial" w:cs="Arial" w:eastAsia="Arial" w:hAnsi="Arial"/>
          <w:sz w:val="21"/>
          <w:szCs w:val="21"/>
          <w:color w:val="auto"/>
        </w:rPr>
        <w:t>. During the Term, Executive will be eligible to participate in all benefit plans made available by the Company to other executive officers of the Company from time to time (excluding any plans that are frozen as of the Effective Date). Such benefits will be subject to the applicable limitations and requirements imposed by the terms of such benefit plans and will be governed in all respects in accordance with the terms of such plans as in effect from time to time. Nothing in this Section 4(a), however, will require the Company to maintain any benefit plan or provide any type or level of benefits to its current or former employees, including Executive.</w:t>
      </w:r>
    </w:p>
    <w:p>
      <w:pPr>
        <w:spacing w:after="0" w:line="154" w:lineRule="exact"/>
        <w:rPr>
          <w:rFonts w:ascii="Arial" w:cs="Arial" w:eastAsia="Arial" w:hAnsi="Arial"/>
          <w:sz w:val="21"/>
          <w:szCs w:val="21"/>
          <w:color w:val="auto"/>
        </w:rPr>
      </w:pPr>
    </w:p>
    <w:p>
      <w:pPr>
        <w:jc w:val="both"/>
        <w:ind w:firstLine="1248"/>
        <w:spacing w:after="0" w:line="225" w:lineRule="auto"/>
        <w:tabs>
          <w:tab w:leader="none" w:pos="1694"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Paid Time Off</w:t>
      </w:r>
      <w:r>
        <w:rPr>
          <w:rFonts w:ascii="Arial" w:cs="Arial" w:eastAsia="Arial" w:hAnsi="Arial"/>
          <w:sz w:val="21"/>
          <w:szCs w:val="21"/>
          <w:color w:val="auto"/>
        </w:rPr>
        <w:t>. Executive will be entitled to paid time off in accordance with the Company’s paid time off policies as in effect from time to time and applicable to other executive officers of the Company. Executive will take vacation at his and the Company’s reasonable and mutual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18" w:lineRule="exact"/>
        <w:rPr>
          <w:sz w:val="20"/>
          <w:szCs w:val="20"/>
          <w:color w:val="auto"/>
        </w:rPr>
      </w:pPr>
    </w:p>
    <w:p>
      <w:pPr>
        <w:jc w:val="both"/>
        <w:ind w:firstLine="1248"/>
        <w:spacing w:after="0" w:line="220" w:lineRule="auto"/>
        <w:tabs>
          <w:tab w:leader="none" w:pos="1734"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Reimbursement of Business Expenses</w:t>
      </w:r>
      <w:r>
        <w:rPr>
          <w:rFonts w:ascii="Arial" w:cs="Arial" w:eastAsia="Arial" w:hAnsi="Arial"/>
          <w:sz w:val="21"/>
          <w:szCs w:val="21"/>
          <w:color w:val="auto"/>
        </w:rPr>
        <w:t>. The Company will reimburse Executive for any expenses reasonably and necessarily incurred by Executive during the Term in furtherance of Executive’s duties hereunder, including travel, meals and accommodations, subject to Executive’s compliance with the Company’s policies with respect to reimbursement of business expenses and provision of supporting receipts as in effect from time to time.</w:t>
      </w:r>
    </w:p>
    <w:p>
      <w:pPr>
        <w:spacing w:after="0" w:line="151" w:lineRule="exact"/>
        <w:rPr>
          <w:rFonts w:ascii="Arial" w:cs="Arial" w:eastAsia="Arial" w:hAnsi="Arial"/>
          <w:sz w:val="21"/>
          <w:szCs w:val="21"/>
          <w:color w:val="auto"/>
        </w:rPr>
      </w:pPr>
    </w:p>
    <w:p>
      <w:pPr>
        <w:ind w:firstLine="1248"/>
        <w:spacing w:after="0" w:line="234" w:lineRule="auto"/>
        <w:tabs>
          <w:tab w:leader="none" w:pos="1733"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Legal Expenses</w:t>
      </w:r>
      <w:r>
        <w:rPr>
          <w:rFonts w:ascii="Arial" w:cs="Arial" w:eastAsia="Arial" w:hAnsi="Arial"/>
          <w:sz w:val="21"/>
          <w:szCs w:val="21"/>
          <w:color w:val="auto"/>
        </w:rPr>
        <w:t>. The Company will reimburse Executive for up to $15,000 of reasonable, documented legal fees Executive incurs in connection with Executive’s review and acceptance of this Agreement.</w:t>
      </w:r>
    </w:p>
    <w:p>
      <w:pPr>
        <w:spacing w:after="0" w:line="151" w:lineRule="exact"/>
        <w:rPr>
          <w:rFonts w:ascii="Arial" w:cs="Arial" w:eastAsia="Arial" w:hAnsi="Arial"/>
          <w:sz w:val="21"/>
          <w:szCs w:val="21"/>
          <w:color w:val="auto"/>
        </w:rPr>
      </w:pPr>
    </w:p>
    <w:p>
      <w:pPr>
        <w:jc w:val="both"/>
        <w:ind w:firstLine="1248"/>
        <w:spacing w:after="0" w:line="226" w:lineRule="auto"/>
        <w:tabs>
          <w:tab w:leader="none" w:pos="1695"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D&amp;O Insurance; Indemnification</w:t>
      </w:r>
      <w:r>
        <w:rPr>
          <w:rFonts w:ascii="Arial" w:cs="Arial" w:eastAsia="Arial" w:hAnsi="Arial"/>
          <w:sz w:val="20"/>
          <w:szCs w:val="20"/>
          <w:color w:val="auto"/>
        </w:rPr>
        <w:t>. Executive will be covered by such directors’ and officers’ liability insurance on terms and conditions that are no less favorable than the terms that apply to other directors or officers of the Company or any of its affiliates. Executive will also be entitled to indemnification rights, benefits and related expense advances and reimbursements to the same extent as any other director or officer of the Company or any of its affiliates. Such liability insurance will continue to cover, and such indemnification rights, benefits and related expense advances and reimbursements will continue to be provided to, Executive following the termination of Executive’s employment in accordance with its terms.</w:t>
      </w:r>
    </w:p>
    <w:p>
      <w:pPr>
        <w:spacing w:after="0" w:line="152" w:lineRule="exact"/>
        <w:rPr>
          <w:rFonts w:ascii="Arial" w:cs="Arial" w:eastAsia="Arial" w:hAnsi="Arial"/>
          <w:sz w:val="20"/>
          <w:szCs w:val="20"/>
          <w:color w:val="auto"/>
        </w:rPr>
      </w:pPr>
    </w:p>
    <w:p>
      <w:pPr>
        <w:ind w:firstLine="626"/>
        <w:spacing w:after="0" w:line="234" w:lineRule="auto"/>
        <w:tabs>
          <w:tab w:leader="none" w:pos="1102"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Reasons for Termination of Employment</w:t>
      </w:r>
      <w:r>
        <w:rPr>
          <w:rFonts w:ascii="Arial" w:cs="Arial" w:eastAsia="Arial" w:hAnsi="Arial"/>
          <w:sz w:val="21"/>
          <w:szCs w:val="21"/>
          <w:color w:val="auto"/>
        </w:rPr>
        <w:t>. Executive’s employment hereunder may be terminated during the Term under the following circumstances:</w:t>
      </w:r>
    </w:p>
    <w:p>
      <w:pPr>
        <w:spacing w:after="0" w:line="151" w:lineRule="exact"/>
        <w:rPr>
          <w:rFonts w:ascii="Arial" w:cs="Arial" w:eastAsia="Arial" w:hAnsi="Arial"/>
          <w:sz w:val="21"/>
          <w:szCs w:val="21"/>
          <w:color w:val="auto"/>
        </w:rPr>
      </w:pPr>
    </w:p>
    <w:p>
      <w:pPr>
        <w:ind w:left="1680" w:hanging="432"/>
        <w:spacing w:after="0"/>
        <w:tabs>
          <w:tab w:leader="none" w:pos="1680"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Executive’s employment hereunder will terminate upon his death.</w:t>
      </w:r>
    </w:p>
    <w:p>
      <w:pPr>
        <w:spacing w:after="0" w:line="173" w:lineRule="exact"/>
        <w:rPr>
          <w:rFonts w:ascii="Arial" w:cs="Arial" w:eastAsia="Arial" w:hAnsi="Arial"/>
          <w:sz w:val="21"/>
          <w:szCs w:val="21"/>
          <w:color w:val="auto"/>
        </w:rPr>
      </w:pPr>
    </w:p>
    <w:p>
      <w:pPr>
        <w:jc w:val="both"/>
        <w:ind w:firstLine="1248"/>
        <w:spacing w:after="0"/>
        <w:tabs>
          <w:tab w:leader="none" w:pos="1785"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If, as a result of Executive’s incapacity due to physical or mental illness, Executive will have been substantially unable to perform his duties hereunder for a continuous period of 180 days, the Company may terminate Executive’s employment hereunder for “</w:t>
      </w:r>
      <w:r>
        <w:rPr>
          <w:rFonts w:ascii="Arial" w:cs="Arial" w:eastAsia="Arial" w:hAnsi="Arial"/>
          <w:sz w:val="19"/>
          <w:szCs w:val="19"/>
          <w:u w:val="single" w:color="auto"/>
          <w:color w:val="auto"/>
        </w:rPr>
        <w:t>Disability</w:t>
      </w:r>
      <w:r>
        <w:rPr>
          <w:rFonts w:ascii="Arial" w:cs="Arial" w:eastAsia="Arial" w:hAnsi="Arial"/>
          <w:sz w:val="19"/>
          <w:szCs w:val="19"/>
          <w:color w:val="auto"/>
        </w:rPr>
        <w:t>” by providing Executive with a Notice of Termination (as defined below). During any period that Executive fails to perform his duties hereunder as a result of incapacity due to physical or mental illness, Executive will continue to receive his full Base Salary and other amounts described in Sections 3 and 4 hereof until his employment terminates.</w:t>
      </w:r>
    </w:p>
    <w:p>
      <w:pPr>
        <w:spacing w:after="0" w:line="152" w:lineRule="exact"/>
        <w:rPr>
          <w:rFonts w:ascii="Arial" w:cs="Arial" w:eastAsia="Arial" w:hAnsi="Arial"/>
          <w:sz w:val="19"/>
          <w:szCs w:val="19"/>
          <w:color w:val="auto"/>
        </w:rPr>
      </w:pPr>
    </w:p>
    <w:p>
      <w:pPr>
        <w:jc w:val="both"/>
        <w:ind w:firstLine="1248"/>
        <w:spacing w:after="0" w:line="232" w:lineRule="auto"/>
        <w:tabs>
          <w:tab w:leader="none" w:pos="1708"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The Company may terminate Executive’s employment for Cause by providing Executive with a Notice of Termination. 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means (i) Executive’s conviction for committing a felony under U.S. federal law or the law of the state or country in which such action occurred, (ii) Executive’s willful and continued failure to perform substantially Executive’s duties with the Company or any of its affiliates (other than any such failure resulting from incapacity due to physical or mental illness) for a period of at least thirty (30) days after a written demand for substantial performance is delivered to Executive by the Board, specifically identifying the manner in which the Board believes that Executive has not substantially performed Executive’s duties; (iii) Executive’s willful engaging in illegal conduct or gross misconduct which is materially and demonstrably injurious to the Company; or (iv) Executive’s material violation of the Company’s Code of Conduct. For purposes of this provision, no act or failure to act, on Executive’s part, shall be considered “willful” unless it is done, or omitted to be done, by Executive in bad faith or without reasonable belief that Executive’s action or omission was in the best interests of the Company. Any act, or failure to act, based upon authority given pursuant to a resolution duly adopted by the Board or based upon the advice of counsel for the Company shall be conclusively presumed to be done, or omitted to be done, by Executive in good faith and in the best interests of the Company. With respect to those payments that may be made in accordance with the terms of the Company’s Executive Severance Plan, “Cause” shall have the meaning set forth in such Executive Severance Plan (it being understood that this Agreement is an “Individual Agreement” for purposes of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18" w:lineRule="exact"/>
        <w:rPr>
          <w:sz w:val="20"/>
          <w:szCs w:val="20"/>
          <w:color w:val="auto"/>
        </w:rPr>
      </w:pPr>
    </w:p>
    <w:p>
      <w:pPr>
        <w:jc w:val="both"/>
        <w:ind w:firstLine="1248"/>
        <w:spacing w:after="0" w:line="231" w:lineRule="auto"/>
        <w:tabs>
          <w:tab w:leader="none" w:pos="1759"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Executive may terminate his employment for “</w:t>
      </w:r>
      <w:r>
        <w:rPr>
          <w:rFonts w:ascii="Arial" w:cs="Arial" w:eastAsia="Arial" w:hAnsi="Arial"/>
          <w:sz w:val="19"/>
          <w:szCs w:val="19"/>
          <w:u w:val="single" w:color="auto"/>
          <w:color w:val="auto"/>
        </w:rPr>
        <w:t>Good Reason</w:t>
      </w:r>
      <w:r>
        <w:rPr>
          <w:rFonts w:ascii="Arial" w:cs="Arial" w:eastAsia="Arial" w:hAnsi="Arial"/>
          <w:sz w:val="19"/>
          <w:szCs w:val="19"/>
          <w:color w:val="auto"/>
        </w:rPr>
        <w:t>” by providing the Company with a Notice of Termination.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shall mean the occurrence, without the written consent of Executive, of any of following events: (i) the assignment to Executive of duties inconsistent with Executive’s position (including offices, titles and reporting relationships), authority, duties, responsibilities, or any other diminution in such position, authority, duties or responsibilities, excluding for this purpose an isolated, insubstantial and inadvertent action not taken in bad faith and which is remedied by the Company promptly after receipt of notice thereof given by Executive; (ii) the Company requiring Executive to be based at any office or location that is more than forty (40) miles distant from the location of Executive’s principal place of employment; (iii) a material breach of the terms of this Agreement or Executive’s individual equity award agreements; or (iv) a material reduction in Executive’s Base Salary, Target Bonus or Equity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Executive’s termination of employment shall not be deemed to be for Good Reason unless (x) Executive has notified the Company in writing describing the occurrence of one or more Good Reason events within ninety (90) days of such occurrence, (y) the Company fails to cure such Good Reason event within thirty (30) days after its receipt of such written notice, and (z) Executive’s termination of employment occurs within one-hundred eighty (180) days after the occurrence of the applicable Good Reason event. Executive’s continued employment during the applicable notice and cure periods set forth above will not constitute consent to, or waiver of rights with respect to, any act or failure to act constituting Good Reason. In addition, the Company’s placement of Executive on a paid leave for up to ninety (90) days, pending the determination of whether there is a basis to terminate Executive for Cause, will not constitute a Good Reason event. With respect to those payments which may become payable in accordance with the Company’s Change in Control Severance Plan, “Good Reason” shall have the meaning set forth in such Change in Control Severance Plan.</w:t>
      </w:r>
    </w:p>
    <w:p>
      <w:pPr>
        <w:spacing w:after="0" w:line="156" w:lineRule="exact"/>
        <w:rPr>
          <w:rFonts w:ascii="Arial" w:cs="Arial" w:eastAsia="Arial" w:hAnsi="Arial"/>
          <w:sz w:val="19"/>
          <w:szCs w:val="19"/>
          <w:color w:val="auto"/>
        </w:rPr>
      </w:pPr>
    </w:p>
    <w:p>
      <w:pPr>
        <w:jc w:val="both"/>
        <w:ind w:firstLine="1248"/>
        <w:spacing w:after="0" w:line="225" w:lineRule="auto"/>
        <w:tabs>
          <w:tab w:leader="none" w:pos="1786"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Without Cause</w:t>
      </w:r>
      <w:r>
        <w:rPr>
          <w:rFonts w:ascii="Arial" w:cs="Arial" w:eastAsia="Arial" w:hAnsi="Arial"/>
          <w:sz w:val="21"/>
          <w:szCs w:val="21"/>
          <w:color w:val="auto"/>
        </w:rPr>
        <w:t>. The Company may terminate Executive’s employment hereunder without Cause by providing Executive with a Notice of Termination. This means that, notwithstanding this Agreement, Executive’s employment with the Company will be “at will.”</w:t>
      </w:r>
    </w:p>
    <w:p>
      <w:pPr>
        <w:spacing w:after="0" w:line="150" w:lineRule="exact"/>
        <w:rPr>
          <w:rFonts w:ascii="Arial" w:cs="Arial" w:eastAsia="Arial" w:hAnsi="Arial"/>
          <w:sz w:val="21"/>
          <w:szCs w:val="21"/>
          <w:color w:val="auto"/>
        </w:rPr>
      </w:pPr>
    </w:p>
    <w:p>
      <w:pPr>
        <w:ind w:firstLine="1248"/>
        <w:spacing w:after="0" w:line="234" w:lineRule="auto"/>
        <w:tabs>
          <w:tab w:leader="none" w:pos="1659"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Without Good Reason</w:t>
      </w:r>
      <w:r>
        <w:rPr>
          <w:rFonts w:ascii="Arial" w:cs="Arial" w:eastAsia="Arial" w:hAnsi="Arial"/>
          <w:sz w:val="21"/>
          <w:szCs w:val="21"/>
          <w:color w:val="auto"/>
        </w:rPr>
        <w:t>. Executive may terminate his employment hereunder without Good Reason by providing the Company with a Notice of Termination.</w:t>
      </w:r>
    </w:p>
    <w:p>
      <w:pPr>
        <w:spacing w:after="0" w:line="151" w:lineRule="exact"/>
        <w:rPr>
          <w:rFonts w:ascii="Arial" w:cs="Arial" w:eastAsia="Arial" w:hAnsi="Arial"/>
          <w:sz w:val="21"/>
          <w:szCs w:val="21"/>
          <w:color w:val="auto"/>
        </w:rPr>
      </w:pPr>
    </w:p>
    <w:p>
      <w:pPr>
        <w:ind w:left="1040" w:hanging="414"/>
        <w:spacing w:after="0"/>
        <w:tabs>
          <w:tab w:leader="none" w:pos="104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Process and Compensation</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firstLine="1248"/>
        <w:spacing w:after="0" w:line="223" w:lineRule="auto"/>
        <w:tabs>
          <w:tab w:leader="none" w:pos="1721"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Executive’s employment by the Company or by Executive during the Term (other than termination pursuant to Section 5(a) hereof (Death)) shall be communicated by written Notice of Termination to the other Party in accordance with Section 10(a) hereof. For purposes of this Agreement, a “</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shall mean a notice which shall indicate the specific termination provision in this Agreement relied upon and shall set forth in reasonable detail the facts and circumstances claimed to provide a basis for termination of Executive’s employment under the provision so indicated if the termination is based on Section 5(b), (c) or (d) hereof. The failure by Executive or the Company to set forth in the Notice of Termination any fact or circumstance which contributes to a showing of Good Reason or Cause shall not waive any right of Executive or the Company, respectively, under this Agreement or preclude Executive or the Company, respectively, from asserting such fact or circumstance in enforcing Executive’s or the Company’s rights hereunder.</w:t>
      </w:r>
    </w:p>
    <w:p>
      <w:pPr>
        <w:spacing w:after="0" w:line="151" w:lineRule="exact"/>
        <w:rPr>
          <w:rFonts w:ascii="Arial" w:cs="Arial" w:eastAsia="Arial" w:hAnsi="Arial"/>
          <w:sz w:val="20"/>
          <w:szCs w:val="20"/>
          <w:color w:val="auto"/>
        </w:rPr>
      </w:pPr>
    </w:p>
    <w:p>
      <w:pPr>
        <w:jc w:val="both"/>
        <w:ind w:firstLine="1248"/>
        <w:spacing w:after="0" w:line="220" w:lineRule="auto"/>
        <w:tabs>
          <w:tab w:leader="none" w:pos="1849" w:val="left"/>
        </w:tabs>
        <w:numPr>
          <w:ilvl w:val="1"/>
          <w:numId w:val="50"/>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For purposes of this Agreement,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if Executive’s employment is terminated by his death, the date of his death; (ii) if Executive’s employment is terminated pursuant to Section 5(b) hereof (Disability), the date set forth in the Notice of Termination; and (iii) if Executive’s employment is terminated for any other reason, the date on which a Notice of Termination is given or any later date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(within thirty (30) days, or any alternative time period agreed upon by the Parties, after the giving of such Notice of Termination) forth in such Notice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termination is due to a Notice of Termination by Executive without Good Reason, (A) the Date of Termination shall be a date that is not earlier than thirty (30) days following the date on which such Notice of Termination is given and (B) the Company will have the right to accelerate such notice and make the Date of Termination the date of the Notice of Termination or such other date prior to Executive’s intended Date of Termination as the Company deems appropriate, which acceleration will in no event be deemed a termination by the Company without Cause or constitute Good Reason.</w:t>
      </w:r>
    </w:p>
    <w:p>
      <w:pPr>
        <w:spacing w:after="0" w:line="152" w:lineRule="exact"/>
        <w:rPr>
          <w:sz w:val="20"/>
          <w:szCs w:val="20"/>
          <w:color w:val="auto"/>
        </w:rPr>
      </w:pPr>
    </w:p>
    <w:p>
      <w:pPr>
        <w:jc w:val="both"/>
        <w:ind w:firstLine="1248"/>
        <w:spacing w:after="0" w:line="222" w:lineRule="auto"/>
        <w:tabs>
          <w:tab w:leader="none" w:pos="1838"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Accrued Benefits</w:t>
      </w:r>
      <w:r>
        <w:rPr>
          <w:rFonts w:ascii="Arial" w:cs="Arial" w:eastAsia="Arial" w:hAnsi="Arial"/>
          <w:sz w:val="20"/>
          <w:szCs w:val="20"/>
          <w:color w:val="auto"/>
        </w:rPr>
        <w:t>. In the event of termination for any reason, and effective as of the Date of Termination, Executive, or in the case of termination by death, Executive’s beneficiary, legal representative or estate, shall be entitled to receive the following, in each case if applicable as of the Date of Termination: (i) any accrued but unpaid Base Salary and any accrued but unused paid time off, in each case payable as provided in Section 3(a) hereof; (ii) any amounts payable with respect to any equity-based awards held by Executive in accordance with the terms of Executive’s individual award agreements and this Agreement; (iii) reimbursement for any expenses incurred by Executive prior to the Date of Termination in accordance with Section 4(c) hereof, payable on the Company’s first regularly scheduled payroll date which occurs at least ten (10) business days after the Date of Termination; and (iv) vested employee benefits, if any, to which Executive may be entitled under the Company’s employee benefit plans described in Section 4(a) hereof as of the Date of Termination, in each case, payable at the times set forth in the applicable employee benefit plans and in accordance with applicable law.</w:t>
      </w:r>
    </w:p>
    <w:p>
      <w:pPr>
        <w:spacing w:after="0" w:line="154" w:lineRule="exact"/>
        <w:rPr>
          <w:rFonts w:ascii="Arial" w:cs="Arial" w:eastAsia="Arial" w:hAnsi="Arial"/>
          <w:sz w:val="20"/>
          <w:szCs w:val="20"/>
          <w:color w:val="auto"/>
        </w:rPr>
      </w:pPr>
    </w:p>
    <w:p>
      <w:pPr>
        <w:jc w:val="both"/>
        <w:ind w:firstLine="1248"/>
        <w:spacing w:after="0" w:line="228" w:lineRule="auto"/>
        <w:tabs>
          <w:tab w:leader="none" w:pos="1707"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Executive Severance Benefits</w:t>
      </w:r>
      <w:r>
        <w:rPr>
          <w:rFonts w:ascii="Arial" w:cs="Arial" w:eastAsia="Arial" w:hAnsi="Arial"/>
          <w:sz w:val="20"/>
          <w:szCs w:val="20"/>
          <w:color w:val="auto"/>
        </w:rPr>
        <w:t xml:space="preserve">. Executive shall participate in the Executive Severance Plan, in accordance with the applicable terms of such plan; </w:t>
      </w:r>
      <w:r>
        <w:rPr>
          <w:rFonts w:ascii="Arial" w:cs="Arial" w:eastAsia="Arial" w:hAnsi="Arial"/>
          <w:sz w:val="20"/>
          <w:szCs w:val="20"/>
          <w:u w:val="single" w:color="auto"/>
          <w:color w:val="auto"/>
        </w:rPr>
        <w:t>provided</w:t>
      </w:r>
      <w:r>
        <w:rPr>
          <w:rFonts w:ascii="Arial" w:cs="Arial" w:eastAsia="Arial" w:hAnsi="Arial"/>
          <w:sz w:val="20"/>
          <w:szCs w:val="20"/>
          <w:color w:val="auto"/>
        </w:rPr>
        <w:t>, that, for purposes of the Executive Severance Plan, upon a termination of employment by Executive for Good Reason (as defined in Section 5(d) hereof), Executive shall be entitled to receive the same separation benefits (1.0 times the sum of Executive’s Base Salary plus Target Bonus) that Executive would have been eligible to receive under the Executive Severance Plan upon a termination of employment by the Company without Cause.</w:t>
      </w:r>
    </w:p>
    <w:p>
      <w:pPr>
        <w:spacing w:after="0" w:line="152" w:lineRule="exact"/>
        <w:rPr>
          <w:rFonts w:ascii="Arial" w:cs="Arial" w:eastAsia="Arial" w:hAnsi="Arial"/>
          <w:sz w:val="20"/>
          <w:szCs w:val="20"/>
          <w:color w:val="auto"/>
        </w:rPr>
      </w:pPr>
    </w:p>
    <w:p>
      <w:pPr>
        <w:ind w:firstLine="1248"/>
        <w:spacing w:after="0" w:line="234" w:lineRule="auto"/>
        <w:tabs>
          <w:tab w:leader="none" w:pos="1695"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Executive Change in Control Benefits</w:t>
      </w:r>
      <w:r>
        <w:rPr>
          <w:rFonts w:ascii="Arial" w:cs="Arial" w:eastAsia="Arial" w:hAnsi="Arial"/>
          <w:sz w:val="21"/>
          <w:szCs w:val="21"/>
          <w:color w:val="auto"/>
        </w:rPr>
        <w:t>. Executive shall participate in the Company’s Change in Control Severance Plan with a “Separation Multiplier” equal to 200%, in accordance with the applicable terms of such plan.</w:t>
      </w:r>
    </w:p>
    <w:p>
      <w:pPr>
        <w:spacing w:after="0" w:line="151" w:lineRule="exact"/>
        <w:rPr>
          <w:rFonts w:ascii="Arial" w:cs="Arial" w:eastAsia="Arial" w:hAnsi="Arial"/>
          <w:sz w:val="21"/>
          <w:szCs w:val="21"/>
          <w:color w:val="auto"/>
        </w:rPr>
      </w:pPr>
    </w:p>
    <w:p>
      <w:pPr>
        <w:jc w:val="both"/>
        <w:ind w:firstLine="1248"/>
        <w:spacing w:after="0" w:line="220" w:lineRule="auto"/>
        <w:tabs>
          <w:tab w:leader="none" w:pos="1724"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Resignation from all Positions</w:t>
      </w:r>
      <w:r>
        <w:rPr>
          <w:rFonts w:ascii="Arial" w:cs="Arial" w:eastAsia="Arial" w:hAnsi="Arial"/>
          <w:sz w:val="21"/>
          <w:szCs w:val="21"/>
          <w:color w:val="auto"/>
        </w:rPr>
        <w:t>. Upon a termination of Executive’s employment for any reason, unless requested otherwise by the Company, Executive shall be deemed to have resigned from each position (if any) that Executive then holds as an officer or director of the Company or any of its affiliates and, where requested by the Company, Executive shall resign from any such position with immediate effect and without compensation.</w:t>
      </w:r>
    </w:p>
    <w:p>
      <w:pPr>
        <w:spacing w:after="0" w:line="151" w:lineRule="exact"/>
        <w:rPr>
          <w:rFonts w:ascii="Arial" w:cs="Arial" w:eastAsia="Arial" w:hAnsi="Arial"/>
          <w:sz w:val="21"/>
          <w:szCs w:val="21"/>
          <w:color w:val="auto"/>
        </w:rPr>
      </w:pPr>
    </w:p>
    <w:p>
      <w:pPr>
        <w:jc w:val="both"/>
        <w:ind w:firstLine="1248"/>
        <w:spacing w:after="0" w:line="250" w:lineRule="auto"/>
        <w:tabs>
          <w:tab w:leader="none" w:pos="1707"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Section 280G</w:t>
      </w:r>
      <w:r>
        <w:rPr>
          <w:rFonts w:ascii="Arial" w:cs="Arial" w:eastAsia="Arial" w:hAnsi="Arial"/>
          <w:sz w:val="18"/>
          <w:szCs w:val="18"/>
          <w:color w:val="auto"/>
        </w:rPr>
        <w:t>. In the event that any payments or benefits otherwise payable to Executive (i) constitute “parachute payments” within the meaning of Section 280G of the Code of the U.S.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jc w:val="both"/>
        <w:ind w:firstLine="4"/>
        <w:spacing w:after="0" w:line="235" w:lineRule="auto"/>
        <w:tabs>
          <w:tab w:leader="none" w:pos="308" w:val="left"/>
        </w:tabs>
        <w:numPr>
          <w:ilvl w:val="0"/>
          <w:numId w:val="52"/>
        </w:numPr>
        <w:rPr>
          <w:rFonts w:ascii="Arial" w:cs="Arial" w:eastAsia="Arial" w:hAnsi="Arial"/>
          <w:sz w:val="19"/>
          <w:szCs w:val="19"/>
          <w:color w:val="auto"/>
        </w:rPr>
      </w:pPr>
      <w:r>
        <w:rPr>
          <w:rFonts w:ascii="Arial" w:cs="Arial" w:eastAsia="Arial" w:hAnsi="Arial"/>
          <w:sz w:val="19"/>
          <w:szCs w:val="19"/>
          <w:color w:val="auto"/>
        </w:rPr>
        <w:t>but for this Section 6(g), would be subject to the excise tax imposed by Section 4999 of the Code, then such payments and benefits will be either (x) delivered in full, or (y) delivered as to such lesser extent that would result in no portion of such payments and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payments and benefits may be taxable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6(g) will be made in writing by a nationally-recognized accounting firm selected jointly by the Company and Executive (the “</w:t>
      </w:r>
      <w:r>
        <w:rPr>
          <w:rFonts w:ascii="Arial" w:cs="Arial" w:eastAsia="Arial" w:hAnsi="Arial"/>
          <w:sz w:val="18"/>
          <w:szCs w:val="18"/>
          <w:u w:val="single" w:color="auto"/>
          <w:color w:val="auto"/>
        </w:rPr>
        <w:t>Accountants</w:t>
      </w:r>
      <w:r>
        <w:rPr>
          <w:rFonts w:ascii="Arial" w:cs="Arial" w:eastAsia="Arial" w:hAnsi="Arial"/>
          <w:sz w:val="18"/>
          <w:szCs w:val="18"/>
          <w:color w:val="auto"/>
        </w:rPr>
        <w:t>”), whose determination will be conclusive and binding upon Executive and the Company for all purposes. For purposes of making the calculations required by this Section 6(g), the Accountants may make reasonable assumptions and approximations concerning applicable taxes and may rely on reasonable, good faith interpretations concerning the application of Sections 280G and 4999 of the Code. The Company and Executive agree to furnish to the Accountants such information and documents as the Accountants may reasonably request in order to make a determination under this provision. The Company will bear all costs the Accountants may reasonably incur in connection with any calculations contemplated by this provision. Any reduction in payments and/or benefits required by this provision will occur in the following order: (1) reduction of cash payments; (2) reduction of vesting acceleration of equity-based awards; and (3) reduction of other benefits paid or provided to Executive. In the event that acceleration of vesting of equity-based awards is to be reduced, such acceleration of vesting will be cancelled in the reverse order of the date of grant for equity-based awards. If two or more equity-based awards are granted on the same date, each award will be reduced on a pro-rata basis.</w:t>
      </w:r>
    </w:p>
    <w:p>
      <w:pPr>
        <w:spacing w:after="0" w:line="151" w:lineRule="exact"/>
        <w:rPr>
          <w:sz w:val="20"/>
          <w:szCs w:val="20"/>
          <w:color w:val="auto"/>
        </w:rPr>
      </w:pPr>
    </w:p>
    <w:p>
      <w:pPr>
        <w:ind w:left="1040" w:hanging="414"/>
        <w:spacing w:after="0"/>
        <w:tabs>
          <w:tab w:leader="none" w:pos="104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Restrictive Covenants; Permitted Disclosures</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ind w:firstLine="1248"/>
        <w:spacing w:after="0" w:line="234" w:lineRule="auto"/>
        <w:tabs>
          <w:tab w:leader="none" w:pos="1881" w:val="left"/>
        </w:tabs>
        <w:numPr>
          <w:ilvl w:val="1"/>
          <w:numId w:val="53"/>
        </w:numPr>
        <w:rPr>
          <w:rFonts w:ascii="Arial" w:cs="Arial" w:eastAsia="Arial" w:hAnsi="Arial"/>
          <w:sz w:val="21"/>
          <w:szCs w:val="21"/>
          <w:color w:val="auto"/>
        </w:rPr>
      </w:pPr>
      <w:r>
        <w:rPr>
          <w:rFonts w:ascii="Arial" w:cs="Arial" w:eastAsia="Arial" w:hAnsi="Arial"/>
          <w:sz w:val="21"/>
          <w:szCs w:val="21"/>
          <w:color w:val="auto"/>
        </w:rPr>
        <w:t xml:space="preserve">Executive acknowledges and agrees that Executive shall be bound by the restrictive covenants and other provisions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thereto (the “</w:t>
      </w:r>
      <w:r>
        <w:rPr>
          <w:rFonts w:ascii="Arial" w:cs="Arial" w:eastAsia="Arial" w:hAnsi="Arial"/>
          <w:sz w:val="21"/>
          <w:szCs w:val="21"/>
          <w:u w:val="single" w:color="auto"/>
          <w:color w:val="auto"/>
        </w:rPr>
        <w:t>Restrictive Covenants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1248"/>
        <w:spacing w:after="0" w:line="221" w:lineRule="auto"/>
        <w:tabs>
          <w:tab w:leader="none" w:pos="1727" w:val="left"/>
        </w:tabs>
        <w:numPr>
          <w:ilvl w:val="1"/>
          <w:numId w:val="53"/>
        </w:numPr>
        <w:rPr>
          <w:rFonts w:ascii="Arial" w:cs="Arial" w:eastAsia="Arial" w:hAnsi="Arial"/>
          <w:sz w:val="20"/>
          <w:szCs w:val="20"/>
          <w:color w:val="auto"/>
        </w:rPr>
      </w:pPr>
      <w:r>
        <w:rPr>
          <w:rFonts w:ascii="Arial" w:cs="Arial" w:eastAsia="Arial" w:hAnsi="Arial"/>
          <w:sz w:val="20"/>
          <w:szCs w:val="20"/>
          <w:color w:val="auto"/>
        </w:rPr>
        <w:t>Pursuant to 18 U.S.C. §1833(b), Executive shall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his attorney and use the trade secret information in the court proceeding, if Executive (1) 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any agreement Executive has with the Company or any of its affiliates shall prohibit or restrict Executive from making a protected disclosure or any other voluntary disclosure of information or documents related to any possible violation of law to any governmental agency or legislative body, or any self-regulatory organization, in each case, without advance notice to the Company or any of its affiliates.</w:t>
      </w:r>
    </w:p>
    <w:p>
      <w:pPr>
        <w:spacing w:after="0" w:line="155" w:lineRule="exact"/>
        <w:rPr>
          <w:rFonts w:ascii="Arial" w:cs="Arial" w:eastAsia="Arial" w:hAnsi="Arial"/>
          <w:sz w:val="20"/>
          <w:szCs w:val="20"/>
          <w:color w:val="auto"/>
        </w:rPr>
      </w:pPr>
    </w:p>
    <w:p>
      <w:pPr>
        <w:jc w:val="both"/>
        <w:ind w:firstLine="626"/>
        <w:spacing w:after="0" w:line="236" w:lineRule="auto"/>
        <w:tabs>
          <w:tab w:leader="none" w:pos="119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and all of the terms and conditions hereof, shall bind and inure to the benefit of the Company and its successors and assigns and shall bind and inure to the benefit of Executive and Executive’s heirs, executors and administrators. No transfer or assignment of this Agreement shall release the Company from any obligation to Executive hereunder. Neither this Agreement, nor any of the Company’s rights or obligations hereunder, may be assigned or otherwise subject to hypothecation by Executive, and any such attempted assignment or hypothecation shall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w:t>
      </w:r>
    </w:p>
    <w:p>
      <w:pPr>
        <w:spacing w:after="0" w:line="155" w:lineRule="exact"/>
        <w:rPr>
          <w:rFonts w:ascii="Arial" w:cs="Arial" w:eastAsia="Arial" w:hAnsi="Arial"/>
          <w:sz w:val="19"/>
          <w:szCs w:val="19"/>
          <w:color w:val="auto"/>
        </w:rPr>
      </w:pPr>
    </w:p>
    <w:p>
      <w:pPr>
        <w:ind w:left="980" w:hanging="354"/>
        <w:spacing w:after="0"/>
        <w:tabs>
          <w:tab w:leader="none" w:pos="98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18" w:lineRule="exact"/>
        <w:rPr>
          <w:sz w:val="20"/>
          <w:szCs w:val="20"/>
          <w:color w:val="auto"/>
        </w:rPr>
      </w:pPr>
    </w:p>
    <w:p>
      <w:pPr>
        <w:jc w:val="both"/>
        <w:ind w:firstLine="1248"/>
        <w:spacing w:after="0" w:line="236" w:lineRule="auto"/>
        <w:tabs>
          <w:tab w:leader="none" w:pos="1764"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of its affiliates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w:t>
      </w:r>
      <w:r>
        <w:rPr>
          <w:rFonts w:ascii="Arial" w:cs="Arial" w:eastAsia="Arial" w:hAnsi="Arial"/>
          <w:sz w:val="19"/>
          <w:szCs w:val="19"/>
          <w:u w:val="single" w:color="auto"/>
          <w:color w:val="auto"/>
        </w:rPr>
        <w:t>Disputes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will require arbitration of any claim or charge which, by law, cannot be the subject of a compulsory arbitration agreement.</w:t>
      </w:r>
    </w:p>
    <w:p>
      <w:pPr>
        <w:spacing w:after="0" w:line="155" w:lineRule="exact"/>
        <w:rPr>
          <w:rFonts w:ascii="Arial" w:cs="Arial" w:eastAsia="Arial" w:hAnsi="Arial"/>
          <w:sz w:val="19"/>
          <w:szCs w:val="19"/>
          <w:color w:val="auto"/>
        </w:rPr>
      </w:pPr>
    </w:p>
    <w:p>
      <w:pPr>
        <w:jc w:val="both"/>
        <w:ind w:firstLine="1248"/>
        <w:spacing w:after="0" w:line="235" w:lineRule="auto"/>
        <w:tabs>
          <w:tab w:leader="none" w:pos="1851" w:val="left"/>
        </w:tabs>
        <w:numPr>
          <w:ilvl w:val="1"/>
          <w:numId w:val="54"/>
        </w:numPr>
        <w:rPr>
          <w:rFonts w:ascii="Arial" w:cs="Arial" w:eastAsia="Arial" w:hAnsi="Arial"/>
          <w:sz w:val="19"/>
          <w:szCs w:val="19"/>
          <w:color w:val="auto"/>
        </w:rPr>
      </w:pPr>
      <w:r>
        <w:rPr>
          <w:rFonts w:ascii="Arial" w:cs="Arial" w:eastAsia="Arial" w:hAnsi="Arial"/>
          <w:sz w:val="19"/>
          <w:szCs w:val="19"/>
          <w:color w:val="auto"/>
        </w:rPr>
        <w:t>Arbitration of any Disputes shall be conducted in accordance with the provisions set forth under the National Rules for the Resolution of Employment Disputes of the American Arbitration Association (AAA), which rules are deemed to be incorporated by reference into this Agreement (the “</w:t>
      </w:r>
      <w:r>
        <w:rPr>
          <w:rFonts w:ascii="Arial" w:cs="Arial" w:eastAsia="Arial" w:hAnsi="Arial"/>
          <w:sz w:val="19"/>
          <w:szCs w:val="19"/>
          <w:u w:val="single" w:color="auto"/>
          <w:color w:val="auto"/>
        </w:rPr>
        <w:t>Rules</w:t>
      </w:r>
      <w:r>
        <w:rPr>
          <w:rFonts w:ascii="Arial" w:cs="Arial" w:eastAsia="Arial" w:hAnsi="Arial"/>
          <w:sz w:val="19"/>
          <w:szCs w:val="19"/>
          <w:color w:val="auto"/>
        </w:rPr>
        <w:t>”). The place of arbitration shall be Atlanta, Georgia with one arbitrator appointed in compliance with the Rules and the language of arbitration shall be English. An award rendered by the arbitrator shall be final, binding and non-appealable on the parties, their successors and assigns. Any judgment on or enforcement of any award, including an award providing for interim or permanent injunctive relief, rendered by the arbitrator may be entered, enforced or appealed in any court of competent jurisdiction. Any arbitration proceedings, decision or award rendered hereunder, and the validity, effect and interpretation of this arbitration provision, will be governed by the Federal Arbitration Act, 9 U.S.C. §1 et seq.</w:t>
      </w:r>
    </w:p>
    <w:p>
      <w:pPr>
        <w:spacing w:after="0" w:line="155" w:lineRule="exact"/>
        <w:rPr>
          <w:rFonts w:ascii="Arial" w:cs="Arial" w:eastAsia="Arial" w:hAnsi="Arial"/>
          <w:sz w:val="19"/>
          <w:szCs w:val="19"/>
          <w:color w:val="auto"/>
        </w:rPr>
      </w:pPr>
    </w:p>
    <w:p>
      <w:pPr>
        <w:jc w:val="both"/>
        <w:ind w:firstLine="1248"/>
        <w:spacing w:after="0" w:line="222" w:lineRule="auto"/>
        <w:tabs>
          <w:tab w:leader="none" w:pos="1866" w:val="left"/>
        </w:tabs>
        <w:numPr>
          <w:ilvl w:val="1"/>
          <w:numId w:val="54"/>
        </w:numPr>
        <w:rPr>
          <w:rFonts w:ascii="Arial" w:cs="Arial" w:eastAsia="Arial" w:hAnsi="Arial"/>
          <w:sz w:val="20"/>
          <w:szCs w:val="20"/>
          <w:color w:val="auto"/>
        </w:rPr>
      </w:pPr>
      <w:r>
        <w:rPr>
          <w:rFonts w:ascii="Arial" w:cs="Arial" w:eastAsia="Arial" w:hAnsi="Arial"/>
          <w:sz w:val="20"/>
          <w:szCs w:val="20"/>
          <w:color w:val="auto"/>
        </w:rPr>
        <w:t xml:space="preserve">The arbitrator will be empowered to award either party any remedy at law or in equity that the party would otherwise have been entitled to had the matter been litigated in a court of competent jurisdiction, including, but not limited to, attorneys’ fees and other reasonable expenses incurred by such party in connection with the Dispute, general damages, and injunctive relief costs, but, excluding in all cases, special damages and punitive damages;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authority to award any remedy is subject to whatever limitations, if any, exist in the applicable law on such remedies. The arbitrator will issue a decision or award in writing, stating the essential findings of fact and conclusions of law. Each party shall pay its own expenses, including attorneys’ fees, incurred in connection with a Dispute;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the arbitrator shall have the power to award any such expenses, including reasonable attorneys’ fees, to the prevailing party in accordance with this Section 9(c). For the avoidance of doubt, the arbitrator shall have the authority to award such expenses, including reasonable attorneys’ fees, to the party that substantially prevails even if not expressly required or permitted by law.</w:t>
      </w:r>
    </w:p>
    <w:p>
      <w:pPr>
        <w:spacing w:after="0" w:line="154" w:lineRule="exact"/>
        <w:rPr>
          <w:rFonts w:ascii="Arial" w:cs="Arial" w:eastAsia="Arial" w:hAnsi="Arial"/>
          <w:sz w:val="20"/>
          <w:szCs w:val="20"/>
          <w:color w:val="auto"/>
        </w:rPr>
      </w:pPr>
    </w:p>
    <w:p>
      <w:pPr>
        <w:jc w:val="both"/>
        <w:ind w:firstLine="1248"/>
        <w:spacing w:after="0" w:line="235" w:lineRule="auto"/>
        <w:tabs>
          <w:tab w:leader="none" w:pos="18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will give the other party reasonable written notice of the intended disclosure and afford such other party a reasonable opportunity to protect its interests.</w:t>
      </w:r>
    </w:p>
    <w:p>
      <w:pPr>
        <w:spacing w:after="0" w:line="155" w:lineRule="exact"/>
        <w:rPr>
          <w:rFonts w:ascii="Arial" w:cs="Arial" w:eastAsia="Arial" w:hAnsi="Arial"/>
          <w:sz w:val="19"/>
          <w:szCs w:val="19"/>
          <w:color w:val="auto"/>
        </w:rPr>
      </w:pPr>
    </w:p>
    <w:p>
      <w:pPr>
        <w:ind w:left="1100" w:hanging="474"/>
        <w:spacing w:after="0"/>
        <w:tabs>
          <w:tab w:leader="none" w:pos="110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ind w:firstLine="1248"/>
        <w:spacing w:after="0" w:line="234" w:lineRule="auto"/>
        <w:tabs>
          <w:tab w:leader="none" w:pos="1682"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consents, claims, demands, waivers and other communications hereunder shall be in writing and shall be deemed to have been given: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delivered by hand (with written confirmation of receipt); (ii) when received by the addressee if sent by a nationally recognized overnight courier (receipt requested); (iii) on the date sent by e-mail or facsimile;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10(a)):</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To the Company:</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NCR Voyix</w:t>
      </w:r>
    </w:p>
    <w:p>
      <w:pPr>
        <w:ind w:left="1240"/>
        <w:spacing w:after="0" w:line="206" w:lineRule="auto"/>
        <w:rPr>
          <w:sz w:val="20"/>
          <w:szCs w:val="20"/>
          <w:color w:val="auto"/>
        </w:rPr>
      </w:pPr>
      <w:r>
        <w:rPr>
          <w:rFonts w:ascii="Arial" w:cs="Arial" w:eastAsia="Arial" w:hAnsi="Arial"/>
          <w:sz w:val="21"/>
          <w:szCs w:val="21"/>
          <w:color w:val="auto"/>
        </w:rPr>
        <w:t>864 Spring St NW</w:t>
      </w:r>
    </w:p>
    <w:p>
      <w:pPr>
        <w:ind w:left="1240"/>
        <w:spacing w:after="0" w:line="206" w:lineRule="auto"/>
        <w:rPr>
          <w:sz w:val="20"/>
          <w:szCs w:val="20"/>
          <w:color w:val="auto"/>
        </w:rPr>
      </w:pPr>
      <w:r>
        <w:rPr>
          <w:rFonts w:ascii="Arial" w:cs="Arial" w:eastAsia="Arial" w:hAnsi="Arial"/>
          <w:sz w:val="21"/>
          <w:szCs w:val="21"/>
          <w:color w:val="auto"/>
        </w:rPr>
        <w:t>Atlanta, GA 30308</w:t>
      </w:r>
    </w:p>
    <w:p>
      <w:pPr>
        <w:ind w:left="1240"/>
        <w:spacing w:after="0" w:line="206" w:lineRule="auto"/>
        <w:rPr>
          <w:sz w:val="20"/>
          <w:szCs w:val="20"/>
          <w:color w:val="auto"/>
        </w:rPr>
      </w:pPr>
      <w:r>
        <w:rPr>
          <w:rFonts w:ascii="Arial" w:cs="Arial" w:eastAsia="Arial" w:hAnsi="Arial"/>
          <w:sz w:val="21"/>
          <w:szCs w:val="21"/>
          <w:color w:val="auto"/>
        </w:rPr>
        <w:t>Attn: General Counsel</w:t>
      </w:r>
    </w:p>
    <w:p>
      <w:pPr>
        <w:ind w:left="1240"/>
        <w:spacing w:after="0"/>
        <w:rPr>
          <w:sz w:val="20"/>
          <w:szCs w:val="20"/>
          <w:color w:val="auto"/>
        </w:rPr>
      </w:pPr>
      <w:r>
        <w:rPr>
          <w:rFonts w:ascii="Arial" w:cs="Arial" w:eastAsia="Arial" w:hAnsi="Arial"/>
          <w:sz w:val="21"/>
          <w:szCs w:val="21"/>
          <w:color w:val="auto"/>
        </w:rPr>
        <w:t>[*]</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To Executive:</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At the address shown in the Company’s personnel records, with a copy to:</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Wayne N. Outten, Esq.</w:t>
      </w:r>
    </w:p>
    <w:p>
      <w:pPr>
        <w:ind w:left="1240"/>
        <w:spacing w:after="0" w:line="206" w:lineRule="auto"/>
        <w:rPr>
          <w:sz w:val="20"/>
          <w:szCs w:val="20"/>
          <w:color w:val="auto"/>
        </w:rPr>
      </w:pPr>
      <w:r>
        <w:rPr>
          <w:rFonts w:ascii="Arial" w:cs="Arial" w:eastAsia="Arial" w:hAnsi="Arial"/>
          <w:sz w:val="21"/>
          <w:szCs w:val="21"/>
          <w:color w:val="auto"/>
        </w:rPr>
        <w:t>Outten &amp; Golden LLP</w:t>
      </w:r>
    </w:p>
    <w:p>
      <w:pPr>
        <w:ind w:left="1240"/>
        <w:spacing w:after="0" w:line="180" w:lineRule="auto"/>
        <w:rPr>
          <w:sz w:val="20"/>
          <w:szCs w:val="20"/>
          <w:color w:val="auto"/>
        </w:rPr>
      </w:pPr>
      <w:r>
        <w:rPr>
          <w:rFonts w:ascii="Arial" w:cs="Arial" w:eastAsia="Arial" w:hAnsi="Arial"/>
          <w:sz w:val="19"/>
          <w:szCs w:val="19"/>
          <w:color w:val="auto"/>
        </w:rPr>
        <w:t>685 Third Avenue, 25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w:t>
      </w:r>
    </w:p>
    <w:p>
      <w:pPr>
        <w:ind w:left="1240"/>
        <w:spacing w:after="0" w:line="219" w:lineRule="auto"/>
        <w:rPr>
          <w:sz w:val="20"/>
          <w:szCs w:val="20"/>
          <w:color w:val="auto"/>
        </w:rPr>
      </w:pPr>
      <w:r>
        <w:rPr>
          <w:rFonts w:ascii="Arial" w:cs="Arial" w:eastAsia="Arial" w:hAnsi="Arial"/>
          <w:sz w:val="21"/>
          <w:szCs w:val="21"/>
          <w:color w:val="auto"/>
        </w:rPr>
        <w:t>New York, NY 10017</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w:t>
      </w:r>
    </w:p>
    <w:p>
      <w:pPr>
        <w:spacing w:after="0" w:line="168" w:lineRule="exact"/>
        <w:rPr>
          <w:sz w:val="20"/>
          <w:szCs w:val="20"/>
          <w:color w:val="auto"/>
        </w:rPr>
      </w:pPr>
    </w:p>
    <w:p>
      <w:pPr>
        <w:jc w:val="both"/>
        <w:ind w:firstLine="1248"/>
        <w:spacing w:after="0" w:line="225" w:lineRule="auto"/>
        <w:tabs>
          <w:tab w:leader="none" w:pos="1746"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Agreement, including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constitutes the sole and entire agreement of the parties to this Agreement with respect to the subject matter contained herein, and, effective as of the Effective Time, supersedes all prior and contemporaneous representations, warranties, understandings and agreements, both written and oral, with respect to such subject matter, including any employment agreement previously entered into by the parties or any predecessor corporation (including NCR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the second sentence of the paragraph entitled “2023 Management Incentive Plan” in Executive’s Amended to Employment Agreement dated as of May 15, 2023, by and between Executive and NCR Corporation shall continue to apply following the Effective Date in accordance with its terms.</w:t>
      </w:r>
    </w:p>
    <w:p>
      <w:pPr>
        <w:spacing w:after="0" w:line="150" w:lineRule="exact"/>
        <w:rPr>
          <w:rFonts w:ascii="Arial" w:cs="Arial" w:eastAsia="Arial" w:hAnsi="Arial"/>
          <w:sz w:val="20"/>
          <w:szCs w:val="20"/>
          <w:color w:val="auto"/>
        </w:rPr>
      </w:pPr>
    </w:p>
    <w:p>
      <w:pPr>
        <w:ind w:left="1780" w:hanging="532"/>
        <w:spacing w:after="0"/>
        <w:tabs>
          <w:tab w:leader="none" w:pos="178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for reference only and shall not affect the interpretation of this</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Agreement.</w:t>
      </w:r>
    </w:p>
    <w:p>
      <w:pPr>
        <w:spacing w:after="0" w:line="155" w:lineRule="exact"/>
        <w:rPr>
          <w:rFonts w:ascii="Arial" w:cs="Arial" w:eastAsia="Arial" w:hAnsi="Arial"/>
          <w:sz w:val="19"/>
          <w:szCs w:val="19"/>
          <w:color w:val="auto"/>
        </w:rPr>
      </w:pPr>
    </w:p>
    <w:p>
      <w:pPr>
        <w:jc w:val="both"/>
        <w:ind w:firstLine="1248"/>
        <w:spacing w:after="0" w:line="217" w:lineRule="auto"/>
        <w:tabs>
          <w:tab w:leader="none" w:pos="1733"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Amendment and Modification; Waiver</w:t>
      </w:r>
      <w:r>
        <w:rPr>
          <w:rFonts w:ascii="Arial" w:cs="Arial" w:eastAsia="Arial" w:hAnsi="Arial"/>
          <w:sz w:val="21"/>
          <w:szCs w:val="21"/>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52" w:lineRule="exact"/>
        <w:rPr>
          <w:rFonts w:ascii="Arial" w:cs="Arial" w:eastAsia="Arial" w:hAnsi="Arial"/>
          <w:sz w:val="21"/>
          <w:szCs w:val="21"/>
          <w:color w:val="auto"/>
        </w:rPr>
      </w:pPr>
    </w:p>
    <w:p>
      <w:pPr>
        <w:jc w:val="both"/>
        <w:ind w:firstLine="1248"/>
        <w:spacing w:after="0" w:line="225" w:lineRule="auto"/>
        <w:tabs>
          <w:tab w:leader="none" w:pos="1721"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internal laws of the State of Georgia without giving effect to any choice or conflict of law provision or rule (whether of the State of Georgia or any other jurisdiction).</w:t>
      </w:r>
    </w:p>
    <w:p>
      <w:pPr>
        <w:spacing w:after="0" w:line="150" w:lineRule="exact"/>
        <w:rPr>
          <w:rFonts w:ascii="Arial" w:cs="Arial" w:eastAsia="Arial" w:hAnsi="Arial"/>
          <w:sz w:val="21"/>
          <w:szCs w:val="21"/>
          <w:color w:val="auto"/>
        </w:rPr>
      </w:pPr>
    </w:p>
    <w:p>
      <w:pPr>
        <w:ind w:firstLine="1248"/>
        <w:spacing w:after="0" w:line="234" w:lineRule="auto"/>
        <w:tabs>
          <w:tab w:leader="none" w:pos="1737"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Survivorship</w:t>
      </w:r>
      <w:r>
        <w:rPr>
          <w:rFonts w:ascii="Arial" w:cs="Arial" w:eastAsia="Arial" w:hAnsi="Arial"/>
          <w:sz w:val="21"/>
          <w:szCs w:val="21"/>
          <w:color w:val="auto"/>
        </w:rPr>
        <w:t>. The provisions of this Agreement necessary to carry out the intention of the parties as expressed herein will survive the termination or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18" w:lineRule="exact"/>
        <w:rPr>
          <w:sz w:val="20"/>
          <w:szCs w:val="20"/>
          <w:color w:val="auto"/>
        </w:rPr>
      </w:pPr>
    </w:p>
    <w:p>
      <w:pPr>
        <w:jc w:val="both"/>
        <w:ind w:firstLine="1248"/>
        <w:spacing w:after="0" w:line="220" w:lineRule="auto"/>
        <w:tabs>
          <w:tab w:leader="none" w:pos="1798"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The parties acknowledge that this Agreement is the result of arm’s-length negotiations between sophisticated parties, each afforded representation by legal counsel. Each and every provision of this Agreement will be construed as though both parties participated equally in the drafting of the same, and any rule of construction that a document will be construed against the drafting party will not be applicable to this Agreement.</w:t>
      </w:r>
    </w:p>
    <w:p>
      <w:pPr>
        <w:spacing w:after="0" w:line="151" w:lineRule="exact"/>
        <w:rPr>
          <w:rFonts w:ascii="Arial" w:cs="Arial" w:eastAsia="Arial" w:hAnsi="Arial"/>
          <w:sz w:val="21"/>
          <w:szCs w:val="21"/>
          <w:color w:val="auto"/>
        </w:rPr>
      </w:pPr>
    </w:p>
    <w:p>
      <w:pPr>
        <w:jc w:val="both"/>
        <w:ind w:firstLine="1248"/>
        <w:spacing w:after="0" w:line="236" w:lineRule="auto"/>
        <w:tabs>
          <w:tab w:leader="none" w:pos="1707"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151" w:lineRule="exact"/>
        <w:rPr>
          <w:rFonts w:ascii="Arial" w:cs="Arial" w:eastAsia="Arial" w:hAnsi="Arial"/>
          <w:sz w:val="20"/>
          <w:szCs w:val="20"/>
          <w:color w:val="auto"/>
        </w:rPr>
      </w:pPr>
    </w:p>
    <w:p>
      <w:pPr>
        <w:jc w:val="both"/>
        <w:ind w:firstLine="1248"/>
        <w:spacing w:after="0" w:line="220" w:lineRule="auto"/>
        <w:tabs>
          <w:tab w:leader="none" w:pos="1661"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all of which together shall be deemed to be one and the same agreement. A signed copy of this Agreement delivered by e-mail, facsimile, or other means of electronic transmission shall be deemed to have the same legal effect as delivery of an original signed copy of this Agreement.</w:t>
      </w:r>
    </w:p>
    <w:p>
      <w:pPr>
        <w:spacing w:after="0" w:line="151" w:lineRule="exact"/>
        <w:rPr>
          <w:rFonts w:ascii="Arial" w:cs="Arial" w:eastAsia="Arial" w:hAnsi="Arial"/>
          <w:sz w:val="21"/>
          <w:szCs w:val="21"/>
          <w:color w:val="auto"/>
        </w:rPr>
      </w:pPr>
    </w:p>
    <w:p>
      <w:pPr>
        <w:ind w:firstLine="1248"/>
        <w:spacing w:after="0" w:line="252" w:lineRule="auto"/>
        <w:tabs>
          <w:tab w:leader="none" w:pos="1881"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Compensation Subject to Company Clawback Policies</w:t>
      </w:r>
      <w:r>
        <w:rPr>
          <w:rFonts w:ascii="Arial" w:cs="Arial" w:eastAsia="Arial" w:hAnsi="Arial"/>
          <w:sz w:val="20"/>
          <w:szCs w:val="20"/>
          <w:color w:val="auto"/>
        </w:rPr>
        <w:t>. Any cash bonuses, equity-based awards or other compensation shall be subject to any clawback policies or provisions applicable to other executive officers of the Company.</w:t>
      </w:r>
    </w:p>
    <w:p>
      <w:pPr>
        <w:spacing w:after="0" w:line="139" w:lineRule="exact"/>
        <w:rPr>
          <w:rFonts w:ascii="Arial" w:cs="Arial" w:eastAsia="Arial" w:hAnsi="Arial"/>
          <w:sz w:val="20"/>
          <w:szCs w:val="20"/>
          <w:color w:val="auto"/>
        </w:rPr>
      </w:pPr>
    </w:p>
    <w:p>
      <w:pPr>
        <w:jc w:val="both"/>
        <w:ind w:firstLine="1248"/>
        <w:spacing w:after="0" w:line="231" w:lineRule="auto"/>
        <w:tabs>
          <w:tab w:leader="none" w:pos="1759"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intent of the parties is that payments and benefits under this Agreement comply with, or be exempt from, Section 409A of the U.S. Internal Revenue Code of 1986, as amended (“</w:t>
      </w: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to the extent subject thereto, and accordingly, to the maximum extent permitted, this Agreement shall be interpreted to be in compliance therewith. Notwithstanding anything contained herein to the contrary, Executive will not be considered to have terminated employment with the Company for purposes of any payments under this Agreement which are subject to Section 409A of the Code until Executive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Executive and the Company and its affiliates during the six (6) month period immediately following Executive’s separation from service shall instead be paid on the first business day after the date that is six (6) months following Executive’s separation from service (or, if earlier, Executive’s date of death) and the first such payment will include the cumulative amount of any payments that would have been paid prior to such date if not for such restriction.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of the Code and makes no undertaking to preclude Section 409A of the Code from applying to any such payment. In no event may Executive, directly or indirectly, designate the calendar year of payment.</w:t>
      </w:r>
    </w:p>
    <w:p>
      <w:pPr>
        <w:spacing w:after="0" w:line="150" w:lineRule="exact"/>
        <w:rPr>
          <w:rFonts w:ascii="Arial" w:cs="Arial" w:eastAsia="Arial" w:hAnsi="Arial"/>
          <w:sz w:val="19"/>
          <w:szCs w:val="19"/>
          <w:color w:val="auto"/>
        </w:rPr>
      </w:pPr>
    </w:p>
    <w:p>
      <w:pPr>
        <w:jc w:val="both"/>
        <w:ind w:firstLine="626"/>
        <w:spacing w:after="0" w:line="236" w:lineRule="auto"/>
        <w:tabs>
          <w:tab w:leader="none" w:pos="110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Executive Representation and Acceptance</w:t>
      </w:r>
      <w:r>
        <w:rPr>
          <w:rFonts w:ascii="Arial" w:cs="Arial" w:eastAsia="Arial" w:hAnsi="Arial"/>
          <w:sz w:val="20"/>
          <w:szCs w:val="20"/>
          <w:color w:val="auto"/>
        </w:rPr>
        <w:t>.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A-9</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is left blank intentionally</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A-10</w:t>
      </w:r>
    </w:p>
    <w:p>
      <w:pPr>
        <w:sectPr>
          <w:pgSz w:w="11900" w:h="16838" w:orient="portrait"/>
          <w:cols w:equalWidth="0" w:num="1">
            <w:col w:w="9019"/>
          </w:cols>
          <w:pgMar w:left="1440" w:top="1440" w:right="1440" w:bottom="1440" w:gutter="0" w:footer="0" w:header="0"/>
          <w:type w:val="continuous"/>
        </w:sectPr>
      </w:pPr>
    </w:p>
    <w:bookmarkStart w:id="119" w:name="page120"/>
    <w:bookmarkEnd w:id="119"/>
    <w:p>
      <w:pPr>
        <w:spacing w:after="0" w:line="112" w:lineRule="exact"/>
        <w:rPr>
          <w:sz w:val="20"/>
          <w:szCs w:val="20"/>
          <w:color w:val="auto"/>
        </w:rPr>
      </w:pPr>
    </w:p>
    <w:p>
      <w:pPr>
        <w:ind w:firstLine="622"/>
        <w:spacing w:after="0" w:line="237"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and intending to be legally bound thereby, the parties hereto have executed and delivered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as of the year and date first above written.</w:t>
      </w:r>
    </w:p>
    <w:p>
      <w:pPr>
        <w:spacing w:after="0" w:line="200" w:lineRule="exact"/>
        <w:rPr>
          <w:sz w:val="20"/>
          <w:szCs w:val="20"/>
          <w:color w:val="auto"/>
        </w:rPr>
      </w:pPr>
    </w:p>
    <w:p>
      <w:pPr>
        <w:spacing w:after="0" w:line="360" w:lineRule="exact"/>
        <w:rPr>
          <w:sz w:val="20"/>
          <w:szCs w:val="20"/>
          <w:color w:val="auto"/>
        </w:rPr>
      </w:pPr>
    </w:p>
    <w:p>
      <w:pPr>
        <w:ind w:left="3500"/>
        <w:spacing w:after="0"/>
        <w:rPr>
          <w:sz w:val="20"/>
          <w:szCs w:val="20"/>
          <w:color w:val="auto"/>
        </w:rPr>
      </w:pPr>
      <w:r>
        <w:rPr>
          <w:rFonts w:ascii="Arial" w:cs="Arial" w:eastAsia="Arial" w:hAnsi="Arial"/>
          <w:sz w:val="21"/>
          <w:szCs w:val="21"/>
          <w:b w:val="1"/>
          <w:bCs w:val="1"/>
          <w:color w:val="auto"/>
        </w:rPr>
        <w:t>NCR CORPORATION</w:t>
      </w:r>
    </w:p>
    <w:p>
      <w:pPr>
        <w:spacing w:after="0" w:line="371"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By: _/s/ Timothy C. Oliver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-5715</wp:posOffset>
            </wp:positionV>
            <wp:extent cx="132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3500"/>
        <w:spacing w:after="0" w:line="206" w:lineRule="auto"/>
        <w:rPr>
          <w:sz w:val="20"/>
          <w:szCs w:val="20"/>
          <w:color w:val="auto"/>
        </w:rPr>
      </w:pPr>
      <w:r>
        <w:rPr>
          <w:rFonts w:ascii="Arial" w:cs="Arial" w:eastAsia="Arial" w:hAnsi="Arial"/>
          <w:sz w:val="21"/>
          <w:szCs w:val="21"/>
          <w:color w:val="auto"/>
        </w:rPr>
        <w:t>Name: Timothy C. Oliver</w:t>
      </w:r>
    </w:p>
    <w:p>
      <w:pPr>
        <w:ind w:left="350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364" w:lineRule="exact"/>
        <w:rPr>
          <w:sz w:val="20"/>
          <w:szCs w:val="20"/>
          <w:color w:val="auto"/>
        </w:rPr>
      </w:pPr>
    </w:p>
    <w:p>
      <w:pPr>
        <w:ind w:left="3500"/>
        <w:spacing w:after="0"/>
        <w:rPr>
          <w:sz w:val="20"/>
          <w:szCs w:val="20"/>
          <w:color w:val="auto"/>
        </w:rPr>
      </w:pPr>
      <w:r>
        <w:rPr>
          <w:rFonts w:ascii="Arial" w:cs="Arial" w:eastAsia="Arial" w:hAnsi="Arial"/>
          <w:sz w:val="21"/>
          <w:szCs w:val="21"/>
          <w:b w:val="1"/>
          <w:bCs w:val="1"/>
          <w:color w:val="auto"/>
        </w:rPr>
        <w:t>EXECUTIVE</w:t>
      </w:r>
    </w:p>
    <w:p>
      <w:pPr>
        <w:spacing w:after="0" w:line="371"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/s/ David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-5715</wp:posOffset>
            </wp:positionV>
            <wp:extent cx="1318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21"/>
          <w:szCs w:val="21"/>
          <w:color w:val="auto"/>
        </w:rPr>
        <w:t>David Wilkinson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CEO Employment Agreement</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1"/>
          <w:szCs w:val="21"/>
          <w:b w:val="1"/>
          <w:bCs w:val="1"/>
          <w:u w:val="single" w:color="auto"/>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Restrictive Covenants</w:t>
      </w:r>
    </w:p>
    <w:p>
      <w:pPr>
        <w:jc w:val="center"/>
        <w:ind w:right="100"/>
        <w:spacing w:after="0"/>
        <w:rPr>
          <w:sz w:val="20"/>
          <w:szCs w:val="20"/>
          <w:color w:val="auto"/>
        </w:rPr>
      </w:pPr>
      <w:r>
        <w:rPr>
          <w:rFonts w:ascii="Arial" w:cs="Arial" w:eastAsia="Arial" w:hAnsi="Arial"/>
          <w:sz w:val="18"/>
          <w:szCs w:val="18"/>
          <w:color w:val="auto"/>
        </w:rPr>
        <w:t>By executing this Agreement, Executive indicates his understanding of, and agreement to, each of the following terms and conditions:</w:t>
      </w:r>
    </w:p>
    <w:p>
      <w:pPr>
        <w:spacing w:after="0" w:line="26" w:lineRule="exact"/>
        <w:rPr>
          <w:sz w:val="20"/>
          <w:szCs w:val="20"/>
          <w:color w:val="auto"/>
        </w:rPr>
      </w:pPr>
    </w:p>
    <w:p>
      <w:pPr>
        <w:jc w:val="both"/>
        <w:ind w:firstLine="626"/>
        <w:spacing w:after="0" w:line="242" w:lineRule="auto"/>
        <w:tabs>
          <w:tab w:leader="none" w:pos="83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Non-Disclosure of Confidential Information</w:t>
      </w:r>
      <w:r>
        <w:rPr>
          <w:rFonts w:ascii="Arial" w:cs="Arial" w:eastAsia="Arial" w:hAnsi="Arial"/>
          <w:sz w:val="20"/>
          <w:szCs w:val="20"/>
          <w:color w:val="auto"/>
        </w:rPr>
        <w:t>. Except as necessary for the performance of Executive’s job responsibilities or otherwise provided for in writing by the Company, Executive shall not disclose, access, use, share, publish, or in any other manner reproduce, in whole or in part, the Company’s Confidential Information. For purposes of this Agreement,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which includes trade secrets, shall mean any information not generally known or readily ascertainable by the Company’s competitors and/or the public. Confidential Information includes, but is not limited to, the proprietary information of the Company, its subsidiaries, business affiliates, vendors, customers and clients, such as their financial records and projections, inventions, company strategies, employee information, research, technology, intellectual property rights, and information about pricing and customer preferences. Information may constitute Confidential Information regardless of whether it is written or unwritten, in hard copy or electronic form, and regardless of whether it is specifically identified or labeled as “confidential” (or with a similar term). Confidential Information does not include information already in the public domain or information which has been dedicated to or released to the public by the Company.</w:t>
      </w:r>
    </w:p>
    <w:p>
      <w:pPr>
        <w:spacing w:after="0" w:line="3" w:lineRule="exact"/>
        <w:rPr>
          <w:rFonts w:ascii="Arial" w:cs="Arial" w:eastAsia="Arial" w:hAnsi="Arial"/>
          <w:sz w:val="20"/>
          <w:szCs w:val="20"/>
          <w:color w:val="auto"/>
        </w:rPr>
      </w:pPr>
    </w:p>
    <w:p>
      <w:pPr>
        <w:ind w:right="120" w:firstLine="1248"/>
        <w:spacing w:after="0" w:line="229" w:lineRule="auto"/>
        <w:tabs>
          <w:tab w:leader="none" w:pos="1527" w:val="left"/>
        </w:tabs>
        <w:numPr>
          <w:ilvl w:val="1"/>
          <w:numId w:val="59"/>
        </w:numPr>
        <w:rPr>
          <w:rFonts w:ascii="Arial" w:cs="Arial" w:eastAsia="Arial" w:hAnsi="Arial"/>
          <w:sz w:val="21"/>
          <w:szCs w:val="21"/>
          <w:color w:val="auto"/>
        </w:rPr>
      </w:pPr>
      <w:r>
        <w:rPr>
          <w:rFonts w:ascii="Arial" w:cs="Arial" w:eastAsia="Arial" w:hAnsi="Arial"/>
          <w:sz w:val="21"/>
          <w:szCs w:val="21"/>
          <w:color w:val="auto"/>
        </w:rPr>
        <w:t>Executive acknowledges that unauthorized use or disclosure of the Company’s Confidential Information can have a materially detrimental effect upon the Company and cause irreparable harm, the monetary loss from which would be difficult, if not impossible, to measure. Therefore, in addition to any other remedies available to the Company, Executive agrees that a grant of injunctive or other equitable relief for any actual or threatened breach would be appropriate without the securing or posting of any bond.</w:t>
      </w:r>
    </w:p>
    <w:p>
      <w:pPr>
        <w:spacing w:after="0" w:line="1" w:lineRule="exact"/>
        <w:rPr>
          <w:rFonts w:ascii="Arial" w:cs="Arial" w:eastAsia="Arial" w:hAnsi="Arial"/>
          <w:sz w:val="21"/>
          <w:szCs w:val="21"/>
          <w:color w:val="auto"/>
        </w:rPr>
      </w:pPr>
    </w:p>
    <w:p>
      <w:pPr>
        <w:ind w:firstLine="1248"/>
        <w:spacing w:after="0" w:line="255" w:lineRule="auto"/>
        <w:tabs>
          <w:tab w:leader="none" w:pos="1538" w:val="left"/>
        </w:tabs>
        <w:numPr>
          <w:ilvl w:val="1"/>
          <w:numId w:val="59"/>
        </w:numPr>
        <w:rPr>
          <w:rFonts w:ascii="Arial" w:cs="Arial" w:eastAsia="Arial" w:hAnsi="Arial"/>
          <w:sz w:val="19"/>
          <w:szCs w:val="19"/>
          <w:color w:val="auto"/>
        </w:rPr>
      </w:pPr>
      <w:r>
        <w:rPr>
          <w:rFonts w:ascii="Arial" w:cs="Arial" w:eastAsia="Arial" w:hAnsi="Arial"/>
          <w:sz w:val="19"/>
          <w:szCs w:val="19"/>
          <w:color w:val="auto"/>
        </w:rPr>
        <w:t>Executive understands that, notwithstanding his non-disclosure of Confidential Information obligation, Executive is not prohibited from (i) voluntarily communicating with his attorney, (ii) reporting possible violations of the law to government agencies, including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the Equal Employment Opportunity Commission, or any other state or local commission on human rights, or self-regulatory organization, (iii) recovering a SEC whistleblower award as provided under Section 21F of the Securities Exchange Act of 1934, (iv) disclosing the underlying facts or circumstances relating to claims of discrimination, in violation of laws prohibiting discrimination, against the Company, or (v) making disclosures to government agencies that are protected by law (such as providing testimony and information during a government investigation); and, Executive is not required to notify the Company that Executive has made any such reports or disclosures. In response to a valid subpoena, court order or other written request, Executive may provide testimony or information about the Company (including Confidential Information) to a court or other administrative or legislative body, but to the extent legally permitted, Executive agrees to provide the Company notice in advance of any such disclosure so that the Company may seek to quash the subpoena or limit the disclosure, if appropriate. Executive also understands that this non-disclosure provision does not interfere with, restrain, or prevent employee communications with each other regarding wages, hours, or other employment terms and conditions.</w:t>
      </w:r>
    </w:p>
    <w:p>
      <w:pPr>
        <w:spacing w:after="0" w:line="2" w:lineRule="exact"/>
        <w:rPr>
          <w:rFonts w:ascii="Arial" w:cs="Arial" w:eastAsia="Arial" w:hAnsi="Arial"/>
          <w:sz w:val="19"/>
          <w:szCs w:val="19"/>
          <w:color w:val="auto"/>
        </w:rPr>
      </w:pPr>
    </w:p>
    <w:p>
      <w:pPr>
        <w:jc w:val="both"/>
        <w:ind w:firstLine="626"/>
        <w:spacing w:after="0" w:line="235" w:lineRule="auto"/>
        <w:tabs>
          <w:tab w:leader="none" w:pos="843"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Intellectual Property</w:t>
      </w:r>
      <w:r>
        <w:rPr>
          <w:rFonts w:ascii="Arial" w:cs="Arial" w:eastAsia="Arial" w:hAnsi="Arial"/>
          <w:sz w:val="21"/>
          <w:szCs w:val="21"/>
          <w:color w:val="auto"/>
        </w:rPr>
        <w:t>. For purposes of this Agreement, “</w:t>
      </w:r>
      <w:r>
        <w:rPr>
          <w:rFonts w:ascii="Arial" w:cs="Arial" w:eastAsia="Arial" w:hAnsi="Arial"/>
          <w:sz w:val="21"/>
          <w:szCs w:val="21"/>
          <w:u w:val="single" w:color="auto"/>
          <w:color w:val="auto"/>
        </w:rPr>
        <w:t>Company Intellectual Property</w:t>
      </w:r>
      <w:r>
        <w:rPr>
          <w:rFonts w:ascii="Arial" w:cs="Arial" w:eastAsia="Arial" w:hAnsi="Arial"/>
          <w:sz w:val="21"/>
          <w:szCs w:val="21"/>
          <w:color w:val="auto"/>
        </w:rPr>
        <w:t>” or “</w:t>
      </w:r>
      <w:r>
        <w:rPr>
          <w:rFonts w:ascii="Arial" w:cs="Arial" w:eastAsia="Arial" w:hAnsi="Arial"/>
          <w:sz w:val="21"/>
          <w:szCs w:val="21"/>
          <w:u w:val="single" w:color="auto"/>
          <w:color w:val="auto"/>
        </w:rPr>
        <w:t>Company IP</w:t>
      </w:r>
      <w:r>
        <w:rPr>
          <w:rFonts w:ascii="Arial" w:cs="Arial" w:eastAsia="Arial" w:hAnsi="Arial"/>
          <w:sz w:val="21"/>
          <w:szCs w:val="21"/>
          <w:color w:val="auto"/>
        </w:rPr>
        <w:t>” shall mean any and all creations, inventions, methods or processes, designs, works of authorship, information or materials, improvements, developments, or any other innovations or technology that Executive, at any time during his employment at the Company (whether alone or with any other person), discover, conceive, create, reduce to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1357" w:right="339" w:bottom="1440" w:gutter="0" w:footer="0" w:header="0"/>
        </w:sectPr>
      </w:pPr>
    </w:p>
    <w:bookmarkStart w:id="121" w:name="page122"/>
    <w:bookmarkEnd w:id="121"/>
    <w:p>
      <w:pPr>
        <w:jc w:val="both"/>
        <w:spacing w:after="0" w:line="243" w:lineRule="auto"/>
        <w:rPr>
          <w:sz w:val="20"/>
          <w:szCs w:val="20"/>
          <w:color w:val="auto"/>
        </w:rPr>
      </w:pPr>
      <w:r>
        <w:rPr>
          <w:rFonts w:ascii="Arial" w:cs="Arial" w:eastAsia="Arial" w:hAnsi="Arial"/>
          <w:sz w:val="20"/>
          <w:szCs w:val="20"/>
          <w:color w:val="auto"/>
        </w:rPr>
        <w:t>practice, produce, make, or develop: (a) (i) with the use of, or based on, any Company Confidential Information or any supplies, equipment, property, or systems, or at any facilities or on any property, of the Company, or (ii) that arises or results from Executive’s employment or work at or for the Company or relates to any of its business, operations, methods or processes, products (including software), services, or solutions (collectively, “</w:t>
      </w:r>
      <w:r>
        <w:rPr>
          <w:rFonts w:ascii="Arial" w:cs="Arial" w:eastAsia="Arial" w:hAnsi="Arial"/>
          <w:sz w:val="20"/>
          <w:szCs w:val="20"/>
          <w:u w:val="single" w:color="auto"/>
          <w:color w:val="auto"/>
        </w:rPr>
        <w:t>Technology</w:t>
      </w:r>
      <w:r>
        <w:rPr>
          <w:rFonts w:ascii="Arial" w:cs="Arial" w:eastAsia="Arial" w:hAnsi="Arial"/>
          <w:sz w:val="20"/>
          <w:szCs w:val="20"/>
          <w:color w:val="auto"/>
        </w:rPr>
        <w:t>”), and (b) all intellectual property rights arising or resulting therefrom (“</w:t>
      </w:r>
      <w:r>
        <w:rPr>
          <w:rFonts w:ascii="Arial" w:cs="Arial" w:eastAsia="Arial" w:hAnsi="Arial"/>
          <w:sz w:val="20"/>
          <w:szCs w:val="20"/>
          <w:u w:val="single" w:color="auto"/>
          <w:color w:val="auto"/>
        </w:rPr>
        <w:t>IPR</w:t>
      </w:r>
      <w:r>
        <w:rPr>
          <w:rFonts w:ascii="Arial" w:cs="Arial" w:eastAsia="Arial" w:hAnsi="Arial"/>
          <w:sz w:val="20"/>
          <w:szCs w:val="20"/>
          <w:color w:val="auto"/>
        </w:rPr>
        <w:t>”). Executive agrees and acknowledges that all Technology shall be considered a “work made for hire” as provided under the United States Copyright Act, 17 U.S.C. Section 101, et seq., and together with the IPR, is exclusively owned by and the sole and exclusive property of the Company. Executive hereby irrevocably assigns to the Company all Company IP. Executive shall immediately disclose all Technology to the Company in writing. Executive agrees to provide the Company with all assistance reasonably required to perfect and support the Company’s ownership and rights in, and to maintain, protect, and enforce, its rights, title and interests in and to the Company IP, including signing any related documentation. Executive agrees and acknowledges that, except as provided by law, no remuneration, compensation, any other right or obligation is or may become due to Executive in respect to his compliance with the terms of this Section.</w:t>
      </w:r>
    </w:p>
    <w:p>
      <w:pPr>
        <w:spacing w:after="0" w:line="3" w:lineRule="exact"/>
        <w:rPr>
          <w:sz w:val="20"/>
          <w:szCs w:val="20"/>
          <w:color w:val="auto"/>
        </w:rPr>
      </w:pPr>
    </w:p>
    <w:p>
      <w:pPr>
        <w:ind w:left="840" w:hanging="214"/>
        <w:spacing w:after="0"/>
        <w:tabs>
          <w:tab w:leader="none" w:pos="84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Non-Compete, Non-Solicit, and Non-Recruit/Hire</w:t>
      </w:r>
      <w:r>
        <w:rPr>
          <w:rFonts w:ascii="Arial" w:cs="Arial" w:eastAsia="Arial" w:hAnsi="Arial"/>
          <w:sz w:val="21"/>
          <w:szCs w:val="21"/>
          <w:color w:val="auto"/>
        </w:rPr>
        <w:t>.</w:t>
      </w:r>
    </w:p>
    <w:p>
      <w:pPr>
        <w:ind w:right="40" w:firstLine="1248"/>
        <w:spacing w:after="0" w:line="230" w:lineRule="auto"/>
        <w:tabs>
          <w:tab w:leader="none" w:pos="1527" w:val="left"/>
        </w:tabs>
        <w:numPr>
          <w:ilvl w:val="1"/>
          <w:numId w:val="60"/>
        </w:numPr>
        <w:rPr>
          <w:rFonts w:ascii="Arial" w:cs="Arial" w:eastAsia="Arial" w:hAnsi="Arial"/>
          <w:sz w:val="21"/>
          <w:szCs w:val="21"/>
          <w:color w:val="auto"/>
        </w:rPr>
      </w:pPr>
      <w:r>
        <w:rPr>
          <w:rFonts w:ascii="Arial" w:cs="Arial" w:eastAsia="Arial" w:hAnsi="Arial"/>
          <w:sz w:val="21"/>
          <w:szCs w:val="21"/>
          <w:color w:val="auto"/>
        </w:rPr>
        <w:t>Pursuant to Executive’s employment with the Company, Executive will have access to, and knowledge of, Company Confidential Information not known to, or readily ascertainable by, the public and the Company’s competitors and that gives the Company a competitive advantage. Executive acknowledges that, whether for his own benefit or the benefit of others, any unauthorized use, transfer, or disclosure of the Company Confidential Information can place the Company at a competitive disadvantage and cause damage, financial and otherwise, to its business. Executive further acknowledges that, because of his access to and knowledge of the Company Confidential Information, Executive will be in a position to compete unfairly with the Company following the termination of his employment.</w:t>
      </w:r>
    </w:p>
    <w:p>
      <w:pPr>
        <w:ind w:firstLine="1248"/>
        <w:spacing w:after="0" w:line="256" w:lineRule="auto"/>
        <w:tabs>
          <w:tab w:leader="none" w:pos="1538" w:val="left"/>
        </w:tabs>
        <w:numPr>
          <w:ilvl w:val="1"/>
          <w:numId w:val="60"/>
        </w:numPr>
        <w:rPr>
          <w:rFonts w:ascii="Arial" w:cs="Arial" w:eastAsia="Arial" w:hAnsi="Arial"/>
          <w:sz w:val="19"/>
          <w:szCs w:val="19"/>
          <w:color w:val="auto"/>
        </w:rPr>
      </w:pPr>
      <w:r>
        <w:rPr>
          <w:rFonts w:ascii="Arial" w:cs="Arial" w:eastAsia="Arial" w:hAnsi="Arial"/>
          <w:sz w:val="19"/>
          <w:szCs w:val="19"/>
          <w:color w:val="auto"/>
        </w:rPr>
        <w:t>For the purpose of protecting the Company’s business interests, including the Company Confidential Information, goodwill and stable trained workforce of the Company, Executive agrees that, during his employment with the Company and for a twelve (12) month period after the termination of his employment with the Company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regardless of the reason for such termination, Executive will not, without the prior written consent of the Company’s Board of Directors:</w:t>
      </w:r>
    </w:p>
    <w:p>
      <w:pPr>
        <w:spacing w:after="0" w:line="1" w:lineRule="exact"/>
        <w:rPr>
          <w:rFonts w:ascii="Arial" w:cs="Arial" w:eastAsia="Arial" w:hAnsi="Arial"/>
          <w:sz w:val="19"/>
          <w:szCs w:val="19"/>
          <w:color w:val="auto"/>
        </w:rPr>
      </w:pPr>
    </w:p>
    <w:p>
      <w:pPr>
        <w:ind w:right="180" w:firstLine="1871"/>
        <w:spacing w:after="0" w:line="253" w:lineRule="auto"/>
        <w:tabs>
          <w:tab w:leader="none" w:pos="2207" w:val="left"/>
        </w:tabs>
        <w:numPr>
          <w:ilvl w:val="2"/>
          <w:numId w:val="60"/>
        </w:numPr>
        <w:rPr>
          <w:rFonts w:ascii="Arial" w:cs="Arial" w:eastAsia="Arial" w:hAnsi="Arial"/>
          <w:sz w:val="19"/>
          <w:szCs w:val="19"/>
          <w:color w:val="auto"/>
        </w:rPr>
      </w:pPr>
      <w:r>
        <w:rPr>
          <w:rFonts w:ascii="Arial" w:cs="Arial" w:eastAsia="Arial" w:hAnsi="Arial"/>
          <w:sz w:val="19"/>
          <w:szCs w:val="19"/>
          <w:u w:val="single" w:color="auto"/>
          <w:color w:val="auto"/>
        </w:rPr>
        <w:t>Non-Recruit/Hire</w:t>
      </w:r>
      <w:r>
        <w:rPr>
          <w:rFonts w:ascii="Arial" w:cs="Arial" w:eastAsia="Arial" w:hAnsi="Arial"/>
          <w:sz w:val="19"/>
          <w:szCs w:val="19"/>
          <w:color w:val="auto"/>
        </w:rPr>
        <w:t xml:space="preserve"> - Directly or indirectly (including, without limitation, assisting third parties) recruit, hire or solicit, or attempt to recruit, hire or solicit any employee of the Company to terminate such employee’s employment with the Company, or refer any such employee to anyone outside of the Company for the purpose of that employee’s seeking, obtaining, or entering into an employment relationship or an agreement to provide services, within the geographic territories where or for which Executive performed services, were assigned, or had responsibilities during the two (2) years preceding Executive’s termination (in view of Executive’s executive and global responsibilities, his territory for purposes of this Agreement is deemed to be the world).</w:t>
      </w:r>
    </w:p>
    <w:p>
      <w:pPr>
        <w:spacing w:after="0" w:line="5" w:lineRule="exact"/>
        <w:rPr>
          <w:rFonts w:ascii="Arial" w:cs="Arial" w:eastAsia="Arial" w:hAnsi="Arial"/>
          <w:sz w:val="19"/>
          <w:szCs w:val="19"/>
          <w:color w:val="auto"/>
        </w:rPr>
      </w:pPr>
    </w:p>
    <w:p>
      <w:pPr>
        <w:ind w:right="380" w:firstLine="1871"/>
        <w:spacing w:after="0" w:line="231" w:lineRule="auto"/>
        <w:tabs>
          <w:tab w:leader="none" w:pos="2195" w:val="left"/>
        </w:tabs>
        <w:numPr>
          <w:ilvl w:val="2"/>
          <w:numId w:val="60"/>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xml:space="preserve"> - Directly or indirectly (including, without limitation, assisting third parties) solicit or attempt to solicit the business of any Company customers or prospective customers with which Executive had Material Contact (as defined below) during the last two (2) years of his employment with the Company for purposes of providing Competing Products/Services (as defined below).</w:t>
      </w:r>
    </w:p>
    <w:p>
      <w:pPr>
        <w:spacing w:after="0" w:line="3" w:lineRule="exact"/>
        <w:rPr>
          <w:rFonts w:ascii="Arial" w:cs="Arial" w:eastAsia="Arial" w:hAnsi="Arial"/>
          <w:sz w:val="21"/>
          <w:szCs w:val="21"/>
          <w:color w:val="auto"/>
        </w:rPr>
      </w:pPr>
    </w:p>
    <w:p>
      <w:pPr>
        <w:ind w:right="80" w:firstLine="1871"/>
        <w:spacing w:after="0" w:line="238" w:lineRule="auto"/>
        <w:tabs>
          <w:tab w:leader="none" w:pos="2195" w:val="left"/>
        </w:tabs>
        <w:numPr>
          <w:ilvl w:val="2"/>
          <w:numId w:val="60"/>
        </w:numPr>
        <w:rPr>
          <w:rFonts w:ascii="Arial" w:cs="Arial" w:eastAsia="Arial" w:hAnsi="Arial"/>
          <w:sz w:val="21"/>
          <w:szCs w:val="21"/>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xml:space="preserve"> - Perform services, directly or indirectly, in any capacity (including, without limitation, as an employee, consultant, contractor, owner or member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1240"/>
          </w:cols>
          <w:pgMar w:left="320" w:top="1363" w:right="339" w:bottom="1440" w:gutter="0" w:footer="0" w:header="0"/>
        </w:sectPr>
      </w:pPr>
    </w:p>
    <w:bookmarkStart w:id="122" w:name="page123"/>
    <w:bookmarkEnd w:id="122"/>
    <w:p>
      <w:pPr>
        <w:ind w:right="60"/>
        <w:spacing w:after="0" w:line="256" w:lineRule="auto"/>
        <w:rPr>
          <w:sz w:val="20"/>
          <w:szCs w:val="20"/>
          <w:color w:val="auto"/>
        </w:rPr>
      </w:pPr>
      <w:r>
        <w:rPr>
          <w:rFonts w:ascii="Arial" w:cs="Arial" w:eastAsia="Arial" w:hAnsi="Arial"/>
          <w:sz w:val="19"/>
          <w:szCs w:val="19"/>
          <w:color w:val="auto"/>
        </w:rPr>
        <w:t>of a board of directors): (i) of the type conducted, authorized, offered, or provided by Executive on behalf of the Company during the two (2) years prior to termination of Executive’s employment with the Company; (ii) in connection with Competing Products/Services (as defined below) that are similar to or serve substantially the same functions as those with respect to which Executive worked during the two (2) years prior to termination of Executive’s employment with the Company or about which Executive obtained trade secret or other Company Confidential Information; and (iii) on behalf of (A) a Competing Organization (as defined below) named in the Company’s Competing Organization List, or (B) for entities or individuals not on the Competing Organization List, a Competing Organization within the geographic territories (including countries and regions, if applicable, or types, classes or tiers of customers if no geographic territory was assigned to Executive) where or for which Executive performed, were assigned, or had responsibilities for such services during the two (2) years preceding Executive’s termination of employment; in view of Executive’s executive and global responsibilities, Executive’s territory for purposes of this subsection is deemed to be the world.</w:t>
      </w:r>
    </w:p>
    <w:p>
      <w:pPr>
        <w:ind w:left="1540" w:hanging="292"/>
        <w:spacing w:after="0"/>
        <w:tabs>
          <w:tab w:leader="none" w:pos="154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following definitions apply to the Restrictive Covenants:</w:t>
      </w:r>
    </w:p>
    <w:p>
      <w:pPr>
        <w:ind w:firstLine="1871"/>
        <w:spacing w:after="0" w:line="253" w:lineRule="auto"/>
        <w:tabs>
          <w:tab w:leader="none" w:pos="2207" w:val="left"/>
        </w:tabs>
        <w:numPr>
          <w:ilvl w:val="1"/>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Contact</w:t>
      </w:r>
      <w:r>
        <w:rPr>
          <w:rFonts w:ascii="Arial" w:cs="Arial" w:eastAsia="Arial" w:hAnsi="Arial"/>
          <w:sz w:val="19"/>
          <w:szCs w:val="19"/>
          <w:color w:val="auto"/>
        </w:rPr>
        <w:t>” shall mean the contact between Executive and each customer or prospective customer (a) with which Executive dealt on behalf of the Company, (b) whose dealings with the Company were coordinated or supervised by Executive, (c) about whom Executive obtained confidential information in the ordinary course of business as a result of his association with the Company, and/or (d) who receives products or services authorized by the Company, the sale or provision of which, with regard to prospective customers, results, resulted, or would have resulted in compensation, commissions, or earnings for Executive within the two (2) years prior to the date of Executive termination of employment with the Company;</w:t>
      </w:r>
    </w:p>
    <w:p>
      <w:pPr>
        <w:spacing w:after="0" w:line="5" w:lineRule="exact"/>
        <w:rPr>
          <w:rFonts w:ascii="Arial" w:cs="Arial" w:eastAsia="Arial" w:hAnsi="Arial"/>
          <w:sz w:val="19"/>
          <w:szCs w:val="19"/>
          <w:color w:val="auto"/>
        </w:rPr>
      </w:pPr>
    </w:p>
    <w:p>
      <w:pPr>
        <w:ind w:right="80" w:firstLine="1871"/>
        <w:spacing w:after="0" w:line="231" w:lineRule="auto"/>
        <w:tabs>
          <w:tab w:leader="none" w:pos="2195" w:val="left"/>
        </w:tabs>
        <w:numPr>
          <w:ilvl w:val="1"/>
          <w:numId w:val="6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Competing Products/Services</w:t>
      </w:r>
      <w:r>
        <w:rPr>
          <w:rFonts w:ascii="Arial" w:cs="Arial" w:eastAsia="Arial" w:hAnsi="Arial"/>
          <w:sz w:val="21"/>
          <w:szCs w:val="21"/>
          <w:color w:val="auto"/>
        </w:rPr>
        <w:t>” shall mean any products, services, solutions, platforms, or activities that compete, directly or indirectly, in whole or in part, with one or more of the products, services or activities produced, provided or engaged in by the Company (including, without limitation, products, services or activities in the planning or development stage during Executive’s employment with the Company) at the time of Executive separation from the Company and during the two (2) years prior to termination of Executive’s employment with the Company; and</w:t>
      </w:r>
    </w:p>
    <w:p>
      <w:pPr>
        <w:spacing w:after="0" w:line="4" w:lineRule="exact"/>
        <w:rPr>
          <w:rFonts w:ascii="Arial" w:cs="Arial" w:eastAsia="Arial" w:hAnsi="Arial"/>
          <w:sz w:val="21"/>
          <w:szCs w:val="21"/>
          <w:color w:val="auto"/>
        </w:rPr>
      </w:pPr>
    </w:p>
    <w:p>
      <w:pPr>
        <w:ind w:right="140" w:firstLine="1871"/>
        <w:spacing w:after="0" w:line="231" w:lineRule="auto"/>
        <w:tabs>
          <w:tab w:leader="none" w:pos="2195" w:val="left"/>
        </w:tabs>
        <w:numPr>
          <w:ilvl w:val="1"/>
          <w:numId w:val="6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Competing Organization</w:t>
      </w:r>
      <w:r>
        <w:rPr>
          <w:rFonts w:ascii="Arial" w:cs="Arial" w:eastAsia="Arial" w:hAnsi="Arial"/>
          <w:sz w:val="21"/>
          <w:szCs w:val="21"/>
          <w:color w:val="auto"/>
        </w:rPr>
        <w:t>” shall mean any person, business or organization that sells, researches, develops, manufactures, markets, consults with respect to, distributes and/or provides referrals regarding one or more Competing Products/Services.</w:t>
      </w:r>
    </w:p>
    <w:p>
      <w:pPr>
        <w:spacing w:after="0" w:line="2" w:lineRule="exact"/>
        <w:rPr>
          <w:rFonts w:ascii="Arial" w:cs="Arial" w:eastAsia="Arial" w:hAnsi="Arial"/>
          <w:sz w:val="21"/>
          <w:szCs w:val="21"/>
          <w:color w:val="auto"/>
        </w:rPr>
      </w:pPr>
    </w:p>
    <w:p>
      <w:pPr>
        <w:ind w:right="80" w:firstLine="1871"/>
        <w:spacing w:after="0" w:line="230" w:lineRule="auto"/>
        <w:tabs>
          <w:tab w:leader="none" w:pos="2207"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Company’s “</w:t>
      </w:r>
      <w:r>
        <w:rPr>
          <w:rFonts w:ascii="Arial" w:cs="Arial" w:eastAsia="Arial" w:hAnsi="Arial"/>
          <w:sz w:val="21"/>
          <w:szCs w:val="21"/>
          <w:u w:val="single" w:color="auto"/>
          <w:color w:val="auto"/>
        </w:rPr>
        <w:t>Competing Organization List</w:t>
      </w:r>
      <w:r>
        <w:rPr>
          <w:rFonts w:ascii="Arial" w:cs="Arial" w:eastAsia="Arial" w:hAnsi="Arial"/>
          <w:sz w:val="21"/>
          <w:szCs w:val="21"/>
          <w:color w:val="auto"/>
        </w:rPr>
        <w:t>,” which the Company updates from time to time and which is available on the Company HR intranet, or from the Company’s Law or Human Resources Departments upon request, provides examples of companies that, as of the date of the Competing Organization List’s publication, meet the definition of Competing Organization in the subparagraph directly above. However, the Competing Organization List is not intended to be exhaustive and persons, businesses or organizations not listed there may constitute Competing Organizations for purposes of this Agreement. Any changes to the Competing Organization List during the twelve (12) months following Executive’s termination of employment with the Company (or such longer time if the tolling provision below takes effect) shall be deemed to be a part of this Agreement and incorporated herein.</w:t>
      </w:r>
    </w:p>
    <w:p>
      <w:pPr>
        <w:spacing w:after="0" w:line="2" w:lineRule="exact"/>
        <w:rPr>
          <w:rFonts w:ascii="Arial" w:cs="Arial" w:eastAsia="Arial" w:hAnsi="Arial"/>
          <w:sz w:val="21"/>
          <w:szCs w:val="21"/>
          <w:color w:val="auto"/>
        </w:rPr>
      </w:pPr>
    </w:p>
    <w:p>
      <w:pPr>
        <w:ind w:right="180" w:firstLine="1871"/>
        <w:spacing w:after="0" w:line="238" w:lineRule="auto"/>
        <w:tabs>
          <w:tab w:leader="none" w:pos="2183" w:val="left"/>
        </w:tabs>
        <w:numPr>
          <w:ilvl w:val="1"/>
          <w:numId w:val="61"/>
        </w:numPr>
        <w:rPr>
          <w:rFonts w:ascii="Arial" w:cs="Arial" w:eastAsia="Arial" w:hAnsi="Arial"/>
          <w:sz w:val="21"/>
          <w:szCs w:val="21"/>
          <w:color w:val="auto"/>
        </w:rPr>
      </w:pPr>
      <w:r>
        <w:rPr>
          <w:rFonts w:ascii="Arial" w:cs="Arial" w:eastAsia="Arial" w:hAnsi="Arial"/>
          <w:sz w:val="21"/>
          <w:szCs w:val="21"/>
          <w:color w:val="auto"/>
        </w:rPr>
        <w:t>All references to Executive’s “employment with the Company” (or, if different, to an affiliate or subsidiary of the Company) shall also be deemed to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1240"/>
          </w:cols>
          <w:pgMar w:left="320" w:top="1363" w:right="339"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color w:val="auto"/>
        </w:rPr>
        <w:t>include Executive’s employment, if any, by any company the stock or substantially all the assets of which the Company has acquired.</w:t>
      </w:r>
    </w:p>
    <w:p>
      <w:pPr>
        <w:spacing w:after="0" w:line="33" w:lineRule="exact"/>
        <w:rPr>
          <w:sz w:val="20"/>
          <w:szCs w:val="20"/>
          <w:color w:val="auto"/>
        </w:rPr>
      </w:pPr>
    </w:p>
    <w:p>
      <w:pPr>
        <w:jc w:val="both"/>
        <w:ind w:firstLine="626"/>
        <w:spacing w:after="0" w:line="243" w:lineRule="auto"/>
        <w:tabs>
          <w:tab w:leader="none" w:pos="83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Executive acknowledges that Executive would not receive the benefits and consideration provided under this Agreement but for Executive’s consent to abide by the Restricted Covenants, and Executive’s agreement to the same is a material component of the consideration for this Agreement and Executive’s employment with the Company.</w:t>
      </w:r>
    </w:p>
    <w:p>
      <w:pPr>
        <w:spacing w:after="0" w:line="1" w:lineRule="exact"/>
        <w:rPr>
          <w:rFonts w:ascii="Arial" w:cs="Arial" w:eastAsia="Arial" w:hAnsi="Arial"/>
          <w:sz w:val="20"/>
          <w:szCs w:val="20"/>
          <w:color w:val="auto"/>
        </w:rPr>
      </w:pPr>
    </w:p>
    <w:p>
      <w:pPr>
        <w:jc w:val="both"/>
        <w:ind w:firstLine="626"/>
        <w:spacing w:after="0" w:line="241" w:lineRule="auto"/>
        <w:tabs>
          <w:tab w:leader="none" w:pos="83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Executive agrees that, if Executive breaches any of the provisions of the Restricted Covenants: (i) the Company will be entitled to all of its remedies at law or in equity, including, but not limited to, money damages and injunctive relief; and (ii) the Company will also be entitled to an accounting and repayment from Executive of all profits, compensation, commissions, remuneration or benefits that Executive (and/or the applicable Competing Organization) directly or indirectly have realized or may realize as a result of or in connection with any breach of these Restrictive Covenants, and such remedy shall be in addition to and not in limitation of any injunctive relief or other rights or remedies to which the Company may be entitled at law or in equity. In the event of a breach or threatened breach of any of the provisions of the Restricted Covenants, the Company may, in addition to other rights and remedies existing in its favor, apply to any court of competent jurisdiction for specific performance and/or injunctive or other relief in order to enforce or prevent any violations of the provisions hereof (without posting a bond or other security), and Executive hereby agrees to waive the defense in any suit that the Company has an adequate remedy at law, and to interpose no opposition, legal or otherwise, as to the propriety of an injunction or specific performance as a remedy, and hereby agrees to waive any requirement to post any bond in connection with obtaining such relief. Further, if Executive substantially prevails in any proceeding arising under this Section, then Executive shall be entitled to receive reimbursement of reasonable attorneys’ fees, costs, and expenses incurred by Executive in such proceeding.</w:t>
      </w:r>
    </w:p>
    <w:p>
      <w:pPr>
        <w:spacing w:after="0" w:line="8" w:lineRule="exact"/>
        <w:rPr>
          <w:rFonts w:ascii="Arial" w:cs="Arial" w:eastAsia="Arial" w:hAnsi="Arial"/>
          <w:sz w:val="20"/>
          <w:szCs w:val="20"/>
          <w:color w:val="auto"/>
        </w:rPr>
      </w:pPr>
    </w:p>
    <w:p>
      <w:pPr>
        <w:jc w:val="both"/>
        <w:ind w:firstLine="626"/>
        <w:spacing w:after="0" w:line="231" w:lineRule="auto"/>
        <w:tabs>
          <w:tab w:leader="none" w:pos="83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Subsequent Employment</w:t>
      </w:r>
      <w:r>
        <w:rPr>
          <w:rFonts w:ascii="Arial" w:cs="Arial" w:eastAsia="Arial" w:hAnsi="Arial"/>
          <w:sz w:val="21"/>
          <w:szCs w:val="21"/>
          <w:color w:val="auto"/>
        </w:rPr>
        <w:t xml:space="preserve">. Executive agrees that, while employed by the Company and for one (1) year thereafter, Executive shall communicate the contents of this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A to any person, firm, association, partnership, corporation or other entity which Executive intends to become employed by, contract for, associated with or represent, prior to accepting and engaging in such employment, contract, association and/or representation.</w:t>
      </w:r>
    </w:p>
    <w:p>
      <w:pPr>
        <w:spacing w:after="0" w:line="3" w:lineRule="exact"/>
        <w:rPr>
          <w:rFonts w:ascii="Arial" w:cs="Arial" w:eastAsia="Arial" w:hAnsi="Arial"/>
          <w:sz w:val="21"/>
          <w:szCs w:val="21"/>
          <w:color w:val="auto"/>
        </w:rPr>
      </w:pPr>
    </w:p>
    <w:p>
      <w:pPr>
        <w:jc w:val="both"/>
        <w:ind w:firstLine="626"/>
        <w:spacing w:after="0" w:line="270" w:lineRule="auto"/>
        <w:tabs>
          <w:tab w:leader="none" w:pos="85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Tolling</w:t>
      </w:r>
      <w:r>
        <w:rPr>
          <w:rFonts w:ascii="Arial" w:cs="Arial" w:eastAsia="Arial" w:hAnsi="Arial"/>
          <w:sz w:val="18"/>
          <w:szCs w:val="18"/>
          <w:color w:val="auto"/>
        </w:rPr>
        <w:t>. Executive agrees that the Restricted Period shall be tolled and suspended during and for the pendency of any violation of its terms and for the pendency of any legal proceedings to enforce any of the Restrictive Covenants, and that all time that is part of or subject to such tolling and suspension shall not be counted toward the twelve (12) month duration of the Restricted Period.</w:t>
      </w:r>
    </w:p>
    <w:p>
      <w:pPr>
        <w:spacing w:after="0" w:line="1" w:lineRule="exact"/>
        <w:rPr>
          <w:rFonts w:ascii="Arial" w:cs="Arial" w:eastAsia="Arial" w:hAnsi="Arial"/>
          <w:sz w:val="18"/>
          <w:szCs w:val="18"/>
          <w:color w:val="auto"/>
        </w:rPr>
      </w:pPr>
    </w:p>
    <w:p>
      <w:pPr>
        <w:jc w:val="both"/>
        <w:ind w:firstLine="626"/>
        <w:spacing w:after="0" w:line="229" w:lineRule="auto"/>
        <w:tabs>
          <w:tab w:leader="none" w:pos="843"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Reasonable and Necessary</w:t>
      </w:r>
      <w:r>
        <w:rPr>
          <w:rFonts w:ascii="Arial" w:cs="Arial" w:eastAsia="Arial" w:hAnsi="Arial"/>
          <w:sz w:val="21"/>
          <w:szCs w:val="21"/>
          <w:color w:val="auto"/>
        </w:rPr>
        <w:t xml:space="preserve">. Executive agrees that the Restrictive Covenants set forth in this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are reasonable and necessary for the protection of the Company’s legitimate business interests, that they do not impose a greater restraint than is necessary to protect the goodwill or other business interests of the Company, that they contain reasonable limitations as to time and scope of activity to be restrained, that they do not unduly restrict Executive’s ability to earn a living, and that they are not unduly burdensome to Executive.</w:t>
      </w:r>
    </w:p>
    <w:p>
      <w:pPr>
        <w:spacing w:after="0" w:line="1" w:lineRule="exact"/>
        <w:rPr>
          <w:rFonts w:ascii="Arial" w:cs="Arial" w:eastAsia="Arial" w:hAnsi="Arial"/>
          <w:sz w:val="21"/>
          <w:szCs w:val="21"/>
          <w:color w:val="auto"/>
        </w:rPr>
      </w:pPr>
    </w:p>
    <w:p>
      <w:pPr>
        <w:jc w:val="both"/>
        <w:ind w:firstLine="626"/>
        <w:spacing w:after="0" w:line="234" w:lineRule="auto"/>
        <w:tabs>
          <w:tab w:leader="none" w:pos="843"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Severability. Each section and clause of this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constitutes an entirely separate and independent restriction and the duration, extent and application of each of the restrictions are no greater than is necessary for the protection of the Company’s interests. If any part or clause of this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is held unenforceable by a court of competent jurisdiction or arbitrator, it shall be severed and shall not affect any other part of this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which shall be enforced as permitted by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such invalid provision can be rendered valid by modification, Executive agrees that the court or arbitrator shall so modify such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1240"/>
          </w:cols>
          <w:pgMar w:left="320" w:top="1363" w:right="339" w:bottom="1440" w:gutter="0" w:footer="0" w:header="0"/>
        </w:sectPr>
      </w:pPr>
    </w:p>
    <w:bookmarkStart w:id="124" w:name="page125"/>
    <w:bookmarkEnd w:id="124"/>
    <w:p>
      <w:pPr>
        <w:jc w:val="both"/>
        <w:spacing w:after="0" w:line="237" w:lineRule="auto"/>
        <w:rPr>
          <w:sz w:val="20"/>
          <w:szCs w:val="20"/>
          <w:color w:val="auto"/>
        </w:rPr>
      </w:pPr>
      <w:r>
        <w:rPr>
          <w:rFonts w:ascii="Arial" w:cs="Arial" w:eastAsia="Arial" w:hAnsi="Arial"/>
          <w:sz w:val="21"/>
          <w:szCs w:val="21"/>
          <w:color w:val="auto"/>
        </w:rPr>
        <w:t>provision to render it valid and enforceable to the fullest extent permitted by law. If, at the time of enforcement of any of the provisions of the Restricted Covenants, a court of competent jurisdiction or an arbitrator shall hold that the duration, scope or area restrictions stated herein are invalid, illegal or unenforceable under circumstances then existing, Executive agrees that the maximum duration, scope or area reasonable under such circumstances shall be substituted for the stated duration, scope or area and that the court or arbitrator shall be allowed to revise the restrictions contained herein to cover the maximum period, scope and area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ectPr>
          <w:pgSz w:w="11900" w:h="16838" w:orient="portrait"/>
          <w:cols w:equalWidth="0" w:num="1">
            <w:col w:w="11240"/>
          </w:cols>
          <w:pgMar w:left="320" w:top="1363"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I, David Wilkinson, certify that:</w:t>
      </w:r>
    </w:p>
    <w:p>
      <w:pPr>
        <w:spacing w:after="0" w:line="90" w:lineRule="exact"/>
        <w:rPr>
          <w:sz w:val="20"/>
          <w:szCs w:val="20"/>
          <w:color w:val="auto"/>
        </w:rPr>
      </w:pPr>
    </w:p>
    <w:p>
      <w:pPr>
        <w:ind w:left="180" w:hanging="176"/>
        <w:spacing w:after="0"/>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NCR Voyix Corporation;</w:t>
      </w:r>
    </w:p>
    <w:p>
      <w:pPr>
        <w:spacing w:after="0" w:line="102" w:lineRule="exact"/>
        <w:rPr>
          <w:rFonts w:ascii="Arial" w:cs="Arial" w:eastAsia="Arial" w:hAnsi="Arial"/>
          <w:sz w:val="17"/>
          <w:szCs w:val="17"/>
          <w:color w:val="auto"/>
        </w:rPr>
      </w:pPr>
    </w:p>
    <w:p>
      <w:pPr>
        <w:ind w:right="240" w:firstLine="4"/>
        <w:spacing w:after="0" w:line="317" w:lineRule="auto"/>
        <w:tabs>
          <w:tab w:leader="none" w:pos="173"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6"/>
          <w:szCs w:val="16"/>
          <w:color w:val="auto"/>
        </w:rPr>
      </w:pPr>
    </w:p>
    <w:p>
      <w:pPr>
        <w:ind w:right="320" w:firstLine="4"/>
        <w:spacing w:after="0" w:line="284" w:lineRule="auto"/>
        <w:tabs>
          <w:tab w:leader="none" w:pos="173"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Arial" w:cs="Arial" w:eastAsia="Arial" w:hAnsi="Arial"/>
          <w:sz w:val="17"/>
          <w:szCs w:val="17"/>
          <w:color w:val="auto"/>
        </w:rPr>
      </w:pPr>
    </w:p>
    <w:p>
      <w:pPr>
        <w:ind w:firstLine="4"/>
        <w:spacing w:after="0" w:line="269" w:lineRule="auto"/>
        <w:tabs>
          <w:tab w:leader="none" w:pos="17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320" w:right="80" w:hanging="5"/>
        <w:spacing w:after="0" w:line="269" w:lineRule="auto"/>
        <w:tabs>
          <w:tab w:leader="none" w:pos="498"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jc w:val="both"/>
        <w:ind w:left="320" w:right="240" w:hanging="5"/>
        <w:spacing w:after="0" w:line="269" w:lineRule="auto"/>
        <w:tabs>
          <w:tab w:leader="none" w:pos="507"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320" w:right="40" w:hanging="5"/>
        <w:spacing w:after="0" w:line="284" w:lineRule="auto"/>
        <w:tabs>
          <w:tab w:leader="none" w:pos="498"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7"/>
          <w:szCs w:val="17"/>
          <w:color w:val="auto"/>
        </w:rPr>
      </w:pPr>
    </w:p>
    <w:p>
      <w:pPr>
        <w:jc w:val="both"/>
        <w:ind w:left="320" w:right="520" w:hanging="5"/>
        <w:spacing w:after="0" w:line="269" w:lineRule="auto"/>
        <w:tabs>
          <w:tab w:leader="none" w:pos="507" w:val="left"/>
        </w:tabs>
        <w:numPr>
          <w:ilvl w:val="1"/>
          <w:numId w:val="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right="720" w:firstLine="4"/>
        <w:spacing w:after="0" w:line="317" w:lineRule="auto"/>
        <w:tabs>
          <w:tab w:leader="none" w:pos="17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6"/>
          <w:szCs w:val="16"/>
          <w:color w:val="auto"/>
        </w:rPr>
      </w:pPr>
    </w:p>
    <w:p>
      <w:pPr>
        <w:ind w:left="320" w:right="240" w:hanging="5"/>
        <w:spacing w:after="0" w:line="284" w:lineRule="auto"/>
        <w:tabs>
          <w:tab w:leader="none" w:pos="498"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7"/>
          <w:szCs w:val="17"/>
          <w:color w:val="auto"/>
        </w:rPr>
      </w:pPr>
    </w:p>
    <w:p>
      <w:pPr>
        <w:ind w:left="320" w:right="460" w:hanging="5"/>
        <w:spacing w:after="0" w:line="284" w:lineRule="auto"/>
        <w:tabs>
          <w:tab w:leader="none" w:pos="507" w:val="left"/>
        </w:tabs>
        <w:numPr>
          <w:ilvl w:val="1"/>
          <w:numId w:val="6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82" w:lineRule="exact"/>
        <w:rPr>
          <w:sz w:val="20"/>
          <w:szCs w:val="20"/>
          <w:color w:val="auto"/>
        </w:rPr>
      </w:pPr>
    </w:p>
    <w:p>
      <w:pPr>
        <w:ind w:left="280"/>
        <w:spacing w:after="0"/>
        <w:tabs>
          <w:tab w:leader="none" w:pos="7720" w:val="left"/>
        </w:tabs>
        <w:rPr>
          <w:sz w:val="20"/>
          <w:szCs w:val="20"/>
          <w:color w:val="auto"/>
        </w:rPr>
      </w:pPr>
      <w:r>
        <w:rPr>
          <w:rFonts w:ascii="Arial" w:cs="Arial" w:eastAsia="Arial" w:hAnsi="Arial"/>
          <w:sz w:val="17"/>
          <w:szCs w:val="17"/>
          <w:color w:val="auto"/>
        </w:rPr>
        <w:t>Date: November 14, 2023</w:t>
      </w:r>
      <w:r>
        <w:rPr>
          <w:sz w:val="20"/>
          <w:szCs w:val="20"/>
          <w:color w:val="auto"/>
        </w:rPr>
        <w:tab/>
      </w:r>
      <w:r>
        <w:rPr>
          <w:rFonts w:ascii="Arial" w:cs="Arial" w:eastAsia="Arial" w:hAnsi="Arial"/>
          <w:sz w:val="16"/>
          <w:szCs w:val="16"/>
          <w:color w:val="auto"/>
        </w:rPr>
        <w:t>/s/ David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15240</wp:posOffset>
            </wp:positionV>
            <wp:extent cx="3556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David Wilkinson</w:t>
      </w:r>
    </w:p>
    <w:p>
      <w:pPr>
        <w:spacing w:after="0" w:line="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95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I, Brian Webb-Walsh, certify that:</w:t>
      </w:r>
    </w:p>
    <w:p>
      <w:pPr>
        <w:spacing w:after="0" w:line="90" w:lineRule="exact"/>
        <w:rPr>
          <w:sz w:val="20"/>
          <w:szCs w:val="20"/>
          <w:color w:val="auto"/>
        </w:rPr>
      </w:pPr>
    </w:p>
    <w:p>
      <w:pPr>
        <w:ind w:left="180" w:hanging="176"/>
        <w:spacing w:after="0"/>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NCR Voyix Corporation;</w:t>
      </w:r>
    </w:p>
    <w:p>
      <w:pPr>
        <w:spacing w:after="0" w:line="102" w:lineRule="exact"/>
        <w:rPr>
          <w:rFonts w:ascii="Arial" w:cs="Arial" w:eastAsia="Arial" w:hAnsi="Arial"/>
          <w:sz w:val="17"/>
          <w:szCs w:val="17"/>
          <w:color w:val="auto"/>
        </w:rPr>
      </w:pPr>
    </w:p>
    <w:p>
      <w:pPr>
        <w:ind w:right="240" w:firstLine="4"/>
        <w:spacing w:after="0" w:line="317" w:lineRule="auto"/>
        <w:tabs>
          <w:tab w:leader="none" w:pos="173"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6"/>
          <w:szCs w:val="16"/>
          <w:color w:val="auto"/>
        </w:rPr>
      </w:pPr>
    </w:p>
    <w:p>
      <w:pPr>
        <w:ind w:right="320" w:firstLine="4"/>
        <w:spacing w:after="0" w:line="284" w:lineRule="auto"/>
        <w:tabs>
          <w:tab w:leader="none" w:pos="1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Arial" w:cs="Arial" w:eastAsia="Arial" w:hAnsi="Arial"/>
          <w:sz w:val="17"/>
          <w:szCs w:val="17"/>
          <w:color w:val="auto"/>
        </w:rPr>
      </w:pPr>
    </w:p>
    <w:p>
      <w:pPr>
        <w:ind w:firstLine="4"/>
        <w:spacing w:after="0" w:line="269" w:lineRule="auto"/>
        <w:tabs>
          <w:tab w:leader="none" w:pos="1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320" w:right="80" w:hanging="5"/>
        <w:spacing w:after="0" w:line="269" w:lineRule="auto"/>
        <w:tabs>
          <w:tab w:leader="none" w:pos="498"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jc w:val="both"/>
        <w:ind w:left="320" w:right="240" w:hanging="5"/>
        <w:spacing w:after="0" w:line="269" w:lineRule="auto"/>
        <w:tabs>
          <w:tab w:leader="none" w:pos="507"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320" w:right="40" w:hanging="5"/>
        <w:spacing w:after="0" w:line="284" w:lineRule="auto"/>
        <w:tabs>
          <w:tab w:leader="none" w:pos="498"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7"/>
          <w:szCs w:val="17"/>
          <w:color w:val="auto"/>
        </w:rPr>
      </w:pPr>
    </w:p>
    <w:p>
      <w:pPr>
        <w:jc w:val="both"/>
        <w:ind w:left="320" w:right="520" w:hanging="5"/>
        <w:spacing w:after="0" w:line="269" w:lineRule="auto"/>
        <w:tabs>
          <w:tab w:leader="none" w:pos="507"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right="720" w:firstLine="4"/>
        <w:spacing w:after="0" w:line="317" w:lineRule="auto"/>
        <w:tabs>
          <w:tab w:leader="none" w:pos="17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6"/>
          <w:szCs w:val="16"/>
          <w:color w:val="auto"/>
        </w:rPr>
      </w:pPr>
    </w:p>
    <w:p>
      <w:pPr>
        <w:ind w:left="320" w:right="240" w:hanging="5"/>
        <w:spacing w:after="0" w:line="284" w:lineRule="auto"/>
        <w:tabs>
          <w:tab w:leader="none" w:pos="498"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7"/>
          <w:szCs w:val="17"/>
          <w:color w:val="auto"/>
        </w:rPr>
      </w:pPr>
    </w:p>
    <w:p>
      <w:pPr>
        <w:ind w:left="320" w:right="460" w:hanging="5"/>
        <w:spacing w:after="0" w:line="284" w:lineRule="auto"/>
        <w:tabs>
          <w:tab w:leader="none" w:pos="507"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80"/>
        <w:spacing w:after="0"/>
        <w:tabs>
          <w:tab w:leader="none" w:pos="7640" w:val="left"/>
        </w:tabs>
        <w:rPr>
          <w:sz w:val="20"/>
          <w:szCs w:val="20"/>
          <w:color w:val="auto"/>
        </w:rPr>
      </w:pPr>
      <w:r>
        <w:rPr>
          <w:rFonts w:ascii="Arial" w:cs="Arial" w:eastAsia="Arial" w:hAnsi="Arial"/>
          <w:sz w:val="17"/>
          <w:szCs w:val="17"/>
          <w:color w:val="auto"/>
        </w:rPr>
        <w:t>Date: November 14, 2023</w:t>
      </w:r>
      <w:r>
        <w:rPr>
          <w:sz w:val="20"/>
          <w:szCs w:val="20"/>
          <w:color w:val="auto"/>
        </w:rPr>
        <w:tab/>
      </w:r>
      <w:r>
        <w:rPr>
          <w:rFonts w:ascii="Arial" w:cs="Arial" w:eastAsia="Arial" w:hAnsi="Arial"/>
          <w:sz w:val="15"/>
          <w:szCs w:val="15"/>
          <w:color w:val="auto"/>
        </w:rPr>
        <w:t>/s/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15240</wp:posOffset>
            </wp:positionV>
            <wp:extent cx="35566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Brian Webb-Walsh</w:t>
      </w:r>
    </w:p>
    <w:p>
      <w:pPr>
        <w:spacing w:after="0" w:line="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320" w:top="95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connection with the Quarterly Report on Form 10-Q of NCR Voyix Corporation (the “Company”) for the period ending September 30, 2023 as filed with the U.S. Securities and Exchange Commission on the date hereof (the “Report”), each of the undersigned officers of the Company does hereby certify, pursuant to 18 U.S.C. § 1350 (section 906 of the Sarbanes-Oxley Act of 2002), that:</w:t>
      </w:r>
    </w:p>
    <w:p>
      <w:pPr>
        <w:spacing w:after="0" w:line="56" w:lineRule="exact"/>
        <w:rPr>
          <w:sz w:val="20"/>
          <w:szCs w:val="20"/>
          <w:color w:val="auto"/>
        </w:rPr>
      </w:pPr>
    </w:p>
    <w:p>
      <w:pPr>
        <w:ind w:left="780" w:hanging="310"/>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9" w:lineRule="exact"/>
        <w:rPr>
          <w:rFonts w:ascii="Arial" w:cs="Arial" w:eastAsia="Arial" w:hAnsi="Arial"/>
          <w:sz w:val="17"/>
          <w:szCs w:val="17"/>
          <w:color w:val="auto"/>
        </w:rPr>
      </w:pPr>
    </w:p>
    <w:p>
      <w:pPr>
        <w:ind w:left="780" w:hanging="310"/>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foregoing certification (i) is given to such officers’ knowledge, based upon such officers’ investigation as such officers reasonably deem appropriate; and</w:t>
      </w:r>
    </w:p>
    <w:p>
      <w:pPr>
        <w:spacing w:after="0" w:line="36" w:lineRule="exact"/>
        <w:rPr>
          <w:sz w:val="20"/>
          <w:szCs w:val="20"/>
          <w:color w:val="auto"/>
        </w:rPr>
      </w:pPr>
    </w:p>
    <w:p>
      <w:pPr>
        <w:ind w:right="380" w:firstLine="4"/>
        <w:spacing w:after="0" w:line="269" w:lineRule="auto"/>
        <w:tabs>
          <w:tab w:leader="none" w:pos="25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is being furnished solely pursuant to 18 U.S.C. § 1350 (section 906 of the Sarbanes-Oxley Act of 2002) and is not being filed as part of the Report or as a separate disclosure document.</w:t>
      </w:r>
    </w:p>
    <w:p>
      <w:pPr>
        <w:spacing w:after="0" w:line="94" w:lineRule="exact"/>
        <w:rPr>
          <w:sz w:val="20"/>
          <w:szCs w:val="20"/>
          <w:color w:val="auto"/>
        </w:rPr>
      </w:pPr>
    </w:p>
    <w:tbl>
      <w:tblPr>
        <w:tblLayout w:type="fixed"/>
        <w:tblInd w:w="280" w:type="dxa"/>
        <w:tblCellMar>
          <w:top w:w="0" w:type="dxa"/>
          <w:left w:w="0" w:type="dxa"/>
          <w:bottom w:w="0" w:type="dxa"/>
          <w:right w:w="0" w:type="dxa"/>
        </w:tblCellMar>
      </w:tblPr>
      <w:tr>
        <w:trPr>
          <w:trHeight w:val="220"/>
        </w:trPr>
        <w:tc>
          <w:tcPr>
            <w:tcW w:w="5360" w:type="dxa"/>
            <w:vAlign w:val="bottom"/>
          </w:tcPr>
          <w:p>
            <w:pPr>
              <w:spacing w:after="0"/>
              <w:rPr>
                <w:sz w:val="20"/>
                <w:szCs w:val="20"/>
                <w:color w:val="auto"/>
              </w:rPr>
            </w:pPr>
            <w:r>
              <w:rPr>
                <w:rFonts w:ascii="Arial" w:cs="Arial" w:eastAsia="Arial" w:hAnsi="Arial"/>
                <w:sz w:val="17"/>
                <w:szCs w:val="17"/>
                <w:color w:val="auto"/>
              </w:rPr>
              <w:t>Dated: November 14, 2023</w:t>
            </w:r>
          </w:p>
        </w:tc>
        <w:tc>
          <w:tcPr>
            <w:tcW w:w="56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/s/ David Wilkinson</w:t>
            </w:r>
          </w:p>
        </w:tc>
      </w:tr>
      <w:tr>
        <w:trPr>
          <w:trHeight w:val="214"/>
        </w:trPr>
        <w:tc>
          <w:tcPr>
            <w:tcW w:w="5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David Wilkinson</w:t>
            </w:r>
          </w:p>
        </w:tc>
      </w:tr>
      <w:tr>
        <w:trPr>
          <w:trHeight w:val="220"/>
        </w:trPr>
        <w:tc>
          <w:tcPr>
            <w:tcW w:w="53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324"/>
        </w:trPr>
        <w:tc>
          <w:tcPr>
            <w:tcW w:w="5360" w:type="dxa"/>
            <w:vAlign w:val="bottom"/>
          </w:tcPr>
          <w:p>
            <w:pPr>
              <w:spacing w:after="0"/>
              <w:rPr>
                <w:sz w:val="20"/>
                <w:szCs w:val="20"/>
                <w:color w:val="auto"/>
              </w:rPr>
            </w:pPr>
            <w:r>
              <w:rPr>
                <w:rFonts w:ascii="Arial" w:cs="Arial" w:eastAsia="Arial" w:hAnsi="Arial"/>
                <w:sz w:val="17"/>
                <w:szCs w:val="17"/>
                <w:color w:val="auto"/>
              </w:rPr>
              <w:t>Dated: November 14, 2023</w:t>
            </w: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7"/>
                <w:szCs w:val="17"/>
                <w:color w:val="auto"/>
              </w:rPr>
              <w:t>/s/ Brian Webb-Walsh</w:t>
            </w:r>
          </w:p>
        </w:tc>
      </w:tr>
      <w:tr>
        <w:trPr>
          <w:trHeight w:val="214"/>
        </w:trPr>
        <w:tc>
          <w:tcPr>
            <w:tcW w:w="5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Brian Webb-Walsh</w:t>
            </w:r>
          </w:p>
        </w:tc>
      </w:tr>
      <w:tr>
        <w:trPr>
          <w:trHeight w:val="220"/>
        </w:trPr>
        <w:tc>
          <w:tcPr>
            <w:tcW w:w="53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200" w:lineRule="exact"/>
        <w:rPr>
          <w:sz w:val="20"/>
          <w:szCs w:val="20"/>
          <w:color w:val="auto"/>
        </w:rPr>
      </w:pPr>
    </w:p>
    <w:p>
      <w:pPr>
        <w:spacing w:after="0" w:line="202" w:lineRule="exact"/>
        <w:rPr>
          <w:sz w:val="20"/>
          <w:szCs w:val="20"/>
          <w:color w:val="auto"/>
        </w:rPr>
      </w:pPr>
    </w:p>
    <w:p>
      <w:pPr>
        <w:jc w:val="center"/>
        <w:ind w:left="340" w:right="100"/>
        <w:spacing w:after="0" w:line="294"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Corporation and furnished to the United States Securities and Exchange Commission or its staff upon request.</w:t>
      </w:r>
    </w:p>
    <w:sectPr>
      <w:pgSz w:w="11900" w:h="16838" w:orient="portrait"/>
      <w:cols w:equalWidth="0" w:num="1">
        <w:col w:w="11240"/>
      </w:cols>
      <w:pgMar w:left="320" w:top="9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1."/>
      <w:numFmt w:val="decimal"/>
      <w:start w:val="2"/>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2"/>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lvl w:ilvl="1">
      <w:lvlJc w:val="left"/>
      <w:lvlText w:val="◦"/>
      <w:numFmt w:val="bullet"/>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2"/>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32"/>
    </w:lvl>
  </w:abstractNum>
  <w:abstractNum w:abstractNumId="23">
    <w:nsid w:val="57E4CCAF"/>
    <w:multiLevelType w:val="hybridMultilevel"/>
    <w:lvl w:ilvl="0">
      <w:lvlJc w:val="left"/>
      <w:lvlText w:val="%1"/>
      <w:numFmt w:val="decimal"/>
      <w:start w:val="101"/>
    </w:lvl>
  </w:abstractNum>
  <w:abstractNum w:abstractNumId="24">
    <w:nsid w:val="7A6D8D3C"/>
    <w:multiLevelType w:val="hybridMultilevel"/>
    <w:lvl w:ilvl="0">
      <w:lvlJc w:val="left"/>
      <w:lvlText w:val="*"/>
      <w:numFmt w:val="bullet"/>
      <w:start w:val="1"/>
    </w:lvl>
    <w:lvl w:ilvl="1">
      <w:lvlJc w:val="left"/>
      <w:lvlText w:val="%2"/>
      <w:numFmt w:val="decimal"/>
      <w:start w:val="104"/>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4"/>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3"/>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4"/>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4"/>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4"/>
    </w:lvl>
  </w:abstractNum>
  <w:abstractNum w:abstractNumId="36">
    <w:nsid w:val="79A1DEAA"/>
    <w:multiLevelType w:val="hybridMultilevel"/>
    <w:lvl w:ilvl="0">
      <w:lvlJc w:val="left"/>
      <w:lvlText w:val="(%1)"/>
      <w:numFmt w:val="lowerRoman"/>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lowerRoman"/>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decimal"/>
      <w:start w:val="1"/>
    </w:lvl>
    <w:lvl w:ilvl="1">
      <w:lvlJc w:val="left"/>
      <w:lvlText w:val="(%2)"/>
      <w:numFmt w:val="lowerLetter"/>
      <w:start w:val="1"/>
    </w:lvl>
  </w:abstractNum>
  <w:abstractNum w:abstractNumId="45">
    <w:nsid w:val="275AC794"/>
    <w:multiLevelType w:val="hybridMultilevel"/>
    <w:lvl w:ilvl="0">
      <w:lvlJc w:val="left"/>
      <w:lvlText w:val="%1."/>
      <w:numFmt w:val="decimal"/>
      <w:start w:val="3"/>
    </w:lvl>
    <w:lvl w:ilvl="1">
      <w:lvlJc w:val="left"/>
      <w:lvlText w:val="(%2)"/>
      <w:numFmt w:val="lowerLetter"/>
      <w:start w:val="1"/>
    </w:lvl>
  </w:abstractNum>
  <w:abstractNum w:abstractNumId="46">
    <w:nsid w:val="39386575"/>
    <w:multiLevelType w:val="hybridMultilevel"/>
    <w:lvl w:ilvl="0">
      <w:lvlJc w:val="left"/>
      <w:lvlText w:val="%1"/>
      <w:numFmt w:val="decimal"/>
      <w:start w:val="1"/>
    </w:lvl>
    <w:lvl w:ilvl="1">
      <w:lvlJc w:val="left"/>
      <w:lvlText w:val="(%2)"/>
      <w:numFmt w:val="lowerLetter"/>
      <w:start w:val="3"/>
    </w:lvl>
  </w:abstractNum>
  <w:abstractNum w:abstractNumId="47">
    <w:nsid w:val="1CF10FD8"/>
    <w:multiLevelType w:val="hybridMultilevel"/>
    <w:lvl w:ilvl="0">
      <w:lvlJc w:val="left"/>
      <w:lvlText w:val="%1."/>
      <w:numFmt w:val="decimal"/>
      <w:start w:val="5"/>
    </w:lvl>
    <w:lvl w:ilvl="1">
      <w:lvlJc w:val="left"/>
      <w:lvlText w:val="(%2)"/>
      <w:numFmt w:val="lowerLetter"/>
      <w:start w:val="1"/>
    </w:lvl>
  </w:abstractNum>
  <w:abstractNum w:abstractNumId="48">
    <w:nsid w:val="180115BE"/>
    <w:multiLevelType w:val="hybridMultilevel"/>
    <w:lvl w:ilvl="0">
      <w:lvlJc w:val="left"/>
      <w:lvlText w:val="%1"/>
      <w:numFmt w:val="decimal"/>
      <w:start w:val="1"/>
    </w:lvl>
    <w:lvl w:ilvl="1">
      <w:lvlJc w:val="left"/>
      <w:lvlText w:val="(%2)"/>
      <w:numFmt w:val="lowerLetter"/>
      <w:start w:val="4"/>
    </w:lvl>
  </w:abstractNum>
  <w:abstractNum w:abstractNumId="49">
    <w:nsid w:val="235BA861"/>
    <w:multiLevelType w:val="hybridMultilevel"/>
    <w:lvl w:ilvl="0">
      <w:lvlJc w:val="left"/>
      <w:lvlText w:val="%1."/>
      <w:numFmt w:val="decimal"/>
      <w:start w:val="6"/>
    </w:lvl>
    <w:lvl w:ilvl="1">
      <w:lvlJc w:val="left"/>
      <w:lvlText w:val="(%2)"/>
      <w:numFmt w:val="lowerLetter"/>
      <w:start w:val="1"/>
    </w:lvl>
  </w:abstractNum>
  <w:abstractNum w:abstractNumId="50">
    <w:nsid w:val="47398C89"/>
    <w:multiLevelType w:val="hybridMultilevel"/>
    <w:lvl w:ilvl="0">
      <w:lvlJc w:val="left"/>
      <w:lvlText w:val="%1"/>
      <w:numFmt w:val="lowerLetter"/>
      <w:start w:val="1"/>
    </w:lvl>
    <w:lvl w:ilvl="1">
      <w:lvlJc w:val="left"/>
      <w:lvlText w:val="(%2)"/>
      <w:numFmt w:val="lowerLetter"/>
      <w:start w:val="3"/>
    </w:lvl>
  </w:abstractNum>
  <w:abstractNum w:abstractNumId="51">
    <w:nsid w:val="354FE9F9"/>
    <w:multiLevelType w:val="hybridMultilevel"/>
    <w:lvl w:ilvl="0">
      <w:lvlJc w:val="left"/>
      <w:lvlText w:val="(%1)"/>
      <w:numFmt w:val="lowerLetter"/>
      <w:start w:val="35"/>
    </w:lvl>
    <w:lvl w:ilvl="1">
      <w:lvlJc w:val="left"/>
      <w:lvlText w:val="%2"/>
      <w:numFmt w:val="lowerLetter"/>
      <w:start w:val="1"/>
    </w:lvl>
  </w:abstractNum>
  <w:abstractNum w:abstractNumId="52">
    <w:nsid w:val="15B5AF5C"/>
    <w:multiLevelType w:val="hybridMultilevel"/>
    <w:lvl w:ilvl="0">
      <w:lvlJc w:val="left"/>
      <w:lvlText w:val="%1."/>
      <w:numFmt w:val="decimal"/>
      <w:start w:val="7"/>
    </w:lvl>
    <w:lvl w:ilvl="1">
      <w:lvlJc w:val="left"/>
      <w:lvlText w:val="(%2)"/>
      <w:numFmt w:val="lowerLetter"/>
      <w:start w:val="1"/>
    </w:lvl>
  </w:abstractNum>
  <w:abstractNum w:abstractNumId="53">
    <w:nsid w:val="741226BB"/>
    <w:multiLevelType w:val="hybridMultilevel"/>
    <w:lvl w:ilvl="0">
      <w:lvlJc w:val="left"/>
      <w:lvlText w:val="%1"/>
      <w:numFmt w:val="decimal"/>
      <w:start w:val="1"/>
    </w:lvl>
    <w:lvl w:ilvl="1">
      <w:lvlJc w:val="left"/>
      <w:lvlText w:val="(%2)"/>
      <w:numFmt w:val="lowerLetter"/>
      <w:start w:val="1"/>
    </w:lvl>
  </w:abstractNum>
  <w:abstractNum w:abstractNumId="54">
    <w:nsid w:val="D34B6A8"/>
    <w:multiLevelType w:val="hybridMultilevel"/>
    <w:lvl w:ilvl="0">
      <w:lvlJc w:val="left"/>
      <w:lvlText w:val="%1."/>
      <w:numFmt w:val="decimal"/>
      <w:start w:val="10"/>
    </w:lvl>
    <w:lvl w:ilvl="1">
      <w:lvlJc w:val="left"/>
      <w:lvlText w:val="(%2)"/>
      <w:numFmt w:val="lowerLetter"/>
      <w:start w:val="1"/>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decimal"/>
      <w:start w:val="1"/>
    </w:lvl>
    <w:lvl w:ilvl="1">
      <w:lvlJc w:val="left"/>
      <w:lvlText w:val="(%2)"/>
      <w:numFmt w:val="lowerLetter"/>
      <w:start w:val="7"/>
    </w:lvl>
  </w:abstractNum>
  <w:abstractNum w:abstractNumId="57">
    <w:nsid w:val="61574095"/>
    <w:multiLevelType w:val="hybridMultilevel"/>
    <w:lvl w:ilvl="0">
      <w:lvlJc w:val="left"/>
      <w:lvlText w:val="%1."/>
      <w:numFmt w:val="decimal"/>
      <w:start w:val="11"/>
    </w:lvl>
    <w:lvl w:ilvl="1">
      <w:lvlJc w:val="left"/>
      <w:lvlText w:val="%2"/>
      <w:numFmt w:val="lowerLetter"/>
      <w:start w:val="1"/>
    </w:lvl>
  </w:abstractNum>
  <w:abstractNum w:abstractNumId="58">
    <w:nsid w:val="7E0C57B1"/>
    <w:multiLevelType w:val="hybridMultilevel"/>
    <w:lvl w:ilvl="0">
      <w:lvlJc w:val="left"/>
      <w:lvlText w:val="%1."/>
      <w:numFmt w:val="decimal"/>
      <w:start w:val="1"/>
    </w:lvl>
    <w:lvl w:ilvl="1">
      <w:lvlJc w:val="left"/>
      <w:lvlText w:val="(%2)"/>
      <w:numFmt w:val="lowerLetter"/>
      <w:start w:val="1"/>
    </w:lvl>
  </w:abstractNum>
  <w:abstractNum w:abstractNumId="59">
    <w:nsid w:val="77AE35EB"/>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60">
    <w:nsid w:val="579BE4F1"/>
    <w:multiLevelType w:val="hybridMultilevel"/>
    <w:lvl w:ilvl="0">
      <w:lvlJc w:val="left"/>
      <w:lvlText w:val="(%1)"/>
      <w:numFmt w:val="lowerLetter"/>
      <w:start w:val="3"/>
    </w:lvl>
    <w:lvl w:ilvl="1">
      <w:lvlJc w:val="left"/>
      <w:lvlText w:val="(%2)"/>
      <w:numFmt w:val="upperLetter"/>
      <w:start w:val="1"/>
    </w:lvl>
  </w:abstractNum>
  <w:abstractNum w:abstractNumId="61">
    <w:nsid w:val="310C50B3"/>
    <w:multiLevelType w:val="hybridMultilevel"/>
    <w:lvl w:ilvl="0">
      <w:lvlJc w:val="left"/>
      <w:lvlText w:val="%1."/>
      <w:numFmt w:val="decimal"/>
      <w:start w:val="4"/>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86" Type="http://schemas.openxmlformats.org/officeDocument/2006/relationships/hyperlink" Target="https://www.sec.gov/Archives/edgar/data/70866/000119312523257806/d569776dex21.htm" TargetMode="External"/><Relationship Id="rId87" Type="http://schemas.openxmlformats.org/officeDocument/2006/relationships/hyperlink" Target="https://www.sec.gov/Archives/edgar/data/70866/000119312523257806/d569776dex31.htm" TargetMode="External"/><Relationship Id="rId88" Type="http://schemas.openxmlformats.org/officeDocument/2006/relationships/hyperlink" Target="https://www.sec.gov/Archives/edgar/data/70866/000119312523257806/d569776dex33.htm" TargetMode="External"/><Relationship Id="rId89" Type="http://schemas.openxmlformats.org/officeDocument/2006/relationships/hyperlink" Target="https://www.sec.gov/Archives/edgar/data/70866/000119312523257806/d569776dex34.htm" TargetMode="External"/><Relationship Id="rId90" Type="http://schemas.openxmlformats.org/officeDocument/2006/relationships/hyperlink" Target="https://www.sec.gov/Archives/edgar/data/70866/000119312523244174/d555514dex41.htm" TargetMode="External"/><Relationship Id="rId91" Type="http://schemas.openxmlformats.org/officeDocument/2006/relationships/hyperlink" Target="https://www.sec.gov/Archives/edgar/data/70866/000119312523244174/d555514dex101.htm" TargetMode="External"/><Relationship Id="rId92" Type="http://schemas.openxmlformats.org/officeDocument/2006/relationships/hyperlink" Target="https://www.sec.gov/Archives/edgar/data/70866/000119312523257806/d569776dex101.htm" TargetMode="External"/><Relationship Id="rId93" Type="http://schemas.openxmlformats.org/officeDocument/2006/relationships/hyperlink" Target="https://www.sec.gov/Archives/edgar/data/70866/000119312523257806/d569776dex102.htm" TargetMode="External"/><Relationship Id="rId94" Type="http://schemas.openxmlformats.org/officeDocument/2006/relationships/hyperlink" Target="https://www.sec.gov/Archives/edgar/data/70866/000119312523257806/d569776dex103.htm" TargetMode="External"/><Relationship Id="rId95" Type="http://schemas.openxmlformats.org/officeDocument/2006/relationships/hyperlink" Target="https://www.sec.gov/Archives/edgar/data/70866/000119312523257806/d569776dex104.htm" TargetMode="External"/><Relationship Id="rId96" Type="http://schemas.openxmlformats.org/officeDocument/2006/relationships/hyperlink" Target="https://www.sec.gov/Archives/edgar/data/70866/000119312523257806/d569776dex105.htm" TargetMode="External"/><Relationship Id="rId97" Type="http://schemas.openxmlformats.org/officeDocument/2006/relationships/hyperlink" Target="https://www.sec.gov/Archives/edgar/data/70866/000119312523257806/d569776dex106.htm" TargetMode="External"/><Relationship Id="rId100" Type="http://schemas.openxmlformats.org/officeDocument/2006/relationships/hyperlink" Target="https://www.sec.gov/Archives/edgar/data/70866/000119312523257806/d569776dex107.htm" TargetMode="External"/><Relationship Id="rId101" Type="http://schemas.openxmlformats.org/officeDocument/2006/relationships/hyperlink" Target="https://www.sec.gov/Archives/edgar/data/70866/000119312523257806/d569776dex108.htm" TargetMode="External"/><Relationship Id="rId102" Type="http://schemas.openxmlformats.org/officeDocument/2006/relationships/hyperlink" Target="https://www.sec.gov/Archives/edgar/data/70866/000119312523230684/d525668dex102.htm" TargetMode="External"/><Relationship Id="rId103" Type="http://schemas.openxmlformats.org/officeDocument/2006/relationships/hyperlink" Target="https://www.sec.gov/Archives/edgar/data/70866/000119312523257806/d569776dex109.htm" TargetMode="External"/><Relationship Id="rId104" Type="http://schemas.openxmlformats.org/officeDocument/2006/relationships/hyperlink" Target="https://www.sec.gov/Archives/edgar/data/70866/000119312523257806/d569776dex1010.htm" TargetMode="External"/><Relationship Id="rId105" Type="http://schemas.openxmlformats.org/officeDocument/2006/relationships/hyperlink" Target="https://www.sec.gov/Archives/edgar/data/70866/000119312523257806/d569776dex1011.htm" TargetMode="External"/><Relationship Id="rId106" Type="http://schemas.openxmlformats.org/officeDocument/2006/relationships/hyperlink" Target="https://www.sec.gov/Archives/edgar/data/70866/000119312523230684/d5256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2023-11-14T18:04:16Z</dcterms:created>
  <dcterms:modified xsi:type="dcterms:W3CDTF">2023-11-14T18:04:16Z</dcterms:modified>
</cp:coreProperties>
</file>