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24"/>
        </w:rPr>
        <w:t xml:space="preserve">CURRENT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pPr>
      <w:r>
        <w:rPr>
          <w:rFonts w:ascii="Times New Roman;serif" w:hAnsi="Times New Roman;serif"/>
          <w:b/>
          <w:color w:val="000000"/>
          <w:sz w:val="36"/>
        </w:rPr>
        <w:t>NCR VOYIX CORPORATION</w:t>
      </w:r>
      <w:r>
        <w:rPr>
          <w:color w:val="000000"/>
        </w:rPr>
        <w:t xml:space="preserve">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erif" w:hAnsi="Times New Roman;serif"/>
          <w:b/>
          <w:color w:val="000000"/>
          <w:sz w:val="20"/>
        </w:rPr>
        <w:t xml:space="preserve">Commission File Number 001-00395 </w:t>
      </w:r>
      <w:r>
        <w:rPr>
          <w:color w:val="000000"/>
        </w:rPr>
        <w:t> </w:t>
      </w:r>
    </w:p>
    <w:tbl>
      <w:tblPr>
        <w:tblW w:w="3551" w:type="dxa"/>
        <w:jc w:val="center"/>
        <w:tblInd w:w="0" w:type="dxa"/>
        <w:tblLayout w:type="fixed"/>
        <w:tblCellMar>
          <w:top w:w="28" w:type="dxa"/>
          <w:left w:w="28" w:type="dxa"/>
          <w:bottom w:w="28" w:type="dxa"/>
          <w:right w:w="28" w:type="dxa"/>
        </w:tblCellMar>
      </w:tblPr>
      <w:tblGrid>
        <w:gridCol w:w="716"/>
        <w:gridCol w:w="631"/>
        <w:gridCol w:w="633"/>
        <w:gridCol w:w="109"/>
        <w:gridCol w:w="109"/>
        <w:gridCol w:w="109"/>
        <w:gridCol w:w="363"/>
        <w:gridCol w:w="363"/>
        <w:gridCol w:w="518"/>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31-0387920</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864 Spring Street NW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Atlanta, GA 30308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(Address of principal executive offices and zip code)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(800) 225-5627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color w:val="000000"/>
          <w:sz w:val="16"/>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color w:val="000000"/>
          <w:sz w:val="16"/>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color w:val="000000"/>
          <w:sz w:val="16"/>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color w:val="000000"/>
          <w:sz w:val="16"/>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4" w:type="dxa"/>
        <w:jc w:val="center"/>
        <w:tblInd w:w="0" w:type="dxa"/>
        <w:tblLayout w:type="fixed"/>
        <w:tblCellMar>
          <w:top w:w="28" w:type="dxa"/>
          <w:left w:w="28" w:type="dxa"/>
          <w:bottom w:w="28" w:type="dxa"/>
          <w:right w:w="28" w:type="dxa"/>
        </w:tblCellMar>
      </w:tblPr>
      <w:tblGrid>
        <w:gridCol w:w="1262"/>
        <w:gridCol w:w="1109"/>
        <w:gridCol w:w="1124"/>
        <w:gridCol w:w="564"/>
        <w:gridCol w:w="564"/>
        <w:gridCol w:w="566"/>
        <w:gridCol w:w="1118"/>
        <w:gridCol w:w="1118"/>
        <w:gridCol w:w="1589"/>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 xml:space="preserve">Title of each class </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val="false"/>
                <w:color w:val="000000"/>
                <w:sz w:val="20"/>
              </w:rPr>
            </w:pPr>
            <w:r>
              <w:rPr>
                <w:rFonts w:ascii="Times New Roman;serif" w:hAnsi="Times New Roman;serif"/>
                <w:b w:val="false"/>
                <w:color w:val="000000"/>
                <w:sz w:val="20"/>
              </w:rPr>
              <w:t>VYX</w:t>
            </w:r>
          </w:p>
        </w:tc>
        <w:tc>
          <w:tcPr>
            <w:tcW w:w="382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center"/>
        <w:rPr/>
      </w:pPr>
      <w:r>
        <w:rPr>
          <w:rFonts w:ascii="Times New Roman;serif" w:hAnsi="Times New Roman;serif"/>
          <w:b/>
          <w:color w:val="000000"/>
          <w:sz w:val="16"/>
        </w:rPr>
        <w:t>Indicate by check mark whether the registrant is an emerging growth company as defined in Rule 405 of the Securities Act of 1933 (§230.405 of this chapter) or Rule 12b-2 of the Securities Exchange Act of 1934 (§240.12b-2 of this chapter).</w:t>
      </w:r>
      <w:r>
        <w:rPr>
          <w:color w:val="000000"/>
        </w:rPr>
        <w:t>        </w:t>
      </w:r>
      <w:r>
        <w:rPr>
          <w:rFonts w:ascii="Times New Roman;serif" w:hAnsi="Times New Roman;serif"/>
          <w:b/>
          <w:color w:val="000000"/>
          <w:sz w:val="16"/>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 xml:space="preserve">Item 2.02.     Results of Operations and Financial Condition.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On August 5, 2026, NCR Voyix Corporation (the “Company”) issued a press release announcing its financial results for the quarter ended June 30, 2026. A copy of the press release is furnished as Exhibit 99.1 to this Current Report on Form 8-K (this “Report”)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lineRule="auto" w:line="288" w:before="120" w:after="120"/>
        <w:jc w:val="both"/>
        <w:rPr/>
      </w:pPr>
      <w:r>
        <w:rPr>
          <w:rFonts w:ascii="Times New Roman;serif" w:hAnsi="Times New Roman;serif"/>
          <w:b w:val="false"/>
          <w:color w:val="000000"/>
          <w:sz w:val="24"/>
        </w:rPr>
        <w:t>There will be a conference call at 8:00 a.m. (Eastern) on August 5, 2026, during which management will discuss the Company</w:t>
      </w:r>
      <w:r>
        <w:rPr>
          <w:color w:val="000000"/>
        </w:rPr>
        <w:t>’</w:t>
      </w:r>
      <w:r>
        <w:rPr>
          <w:rFonts w:ascii="Times New Roman;serif" w:hAnsi="Times New Roman;serif"/>
          <w:b w:val="false"/>
          <w:color w:val="000000"/>
          <w:sz w:val="24"/>
        </w:rPr>
        <w:t xml:space="preserve">s financial results for the quarter ended June 30, 2026. </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information in this Report (including Exhibit 99.1) is being furnished pursuant to Item 2.02 and Item 7.01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exhibits are attached with this current report on Form 8-K:</w:t>
      </w:r>
    </w:p>
    <w:p>
      <w:pPr>
        <w:pStyle w:val="TextBody"/>
        <w:bidi w:val="0"/>
        <w:spacing w:before="0" w:after="0"/>
        <w:jc w:val="left"/>
        <w:rPr/>
      </w:pPr>
      <w:r>
        <w:rPr/>
      </w:r>
    </w:p>
    <w:tbl>
      <w:tblPr>
        <w:tblW w:w="8970" w:type="dxa"/>
        <w:jc w:val="left"/>
        <w:tblInd w:w="0" w:type="dxa"/>
        <w:tblLayout w:type="fixed"/>
        <w:tblCellMar>
          <w:top w:w="28" w:type="dxa"/>
          <w:left w:w="28" w:type="dxa"/>
          <w:bottom w:w="28" w:type="dxa"/>
          <w:right w:w="28" w:type="dxa"/>
        </w:tblCellMar>
      </w:tblPr>
      <w:tblGrid>
        <w:gridCol w:w="446"/>
        <w:gridCol w:w="391"/>
        <w:gridCol w:w="393"/>
        <w:gridCol w:w="2267"/>
        <w:gridCol w:w="2267"/>
        <w:gridCol w:w="3206"/>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No.</w:t>
            </w:r>
          </w:p>
        </w:tc>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q22026earningsr.htm">
              <w:r>
                <w:rPr>
                  <w:rStyle w:val="InternetLink"/>
                  <w:rFonts w:ascii="Times New Roman;serif" w:hAnsi="Times New Roman;serif"/>
                  <w:b w:val="false"/>
                  <w:color w:val="0000FF"/>
                  <w:sz w:val="24"/>
                  <w:u w:val="single"/>
                </w:rPr>
                <w:t>Press Release issued by the Company, dated August 5, 2026</w:t>
              </w:r>
            </w:hyperlink>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SIGNATURES </w:t>
      </w:r>
    </w:p>
    <w:p>
      <w:pPr>
        <w:pStyle w:val="TextBody"/>
        <w:bidi w:val="0"/>
        <w:spacing w:lineRule="auto" w:line="240" w:before="18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40" w:before="0" w:after="0"/>
        <w:jc w:val="left"/>
        <w:rPr>
          <w:color w:val="000000"/>
        </w:rPr>
      </w:pPr>
      <w:r>
        <w:rPr>
          <w:color w:val="000000"/>
        </w:rPr>
        <w:t> </w:t>
      </w:r>
    </w:p>
    <w:tbl>
      <w:tblPr>
        <w:tblW w:w="6809" w:type="dxa"/>
        <w:jc w:val="right"/>
        <w:tblInd w:w="0" w:type="dxa"/>
        <w:tblLayout w:type="fixed"/>
        <w:tblCellMar>
          <w:top w:w="28" w:type="dxa"/>
          <w:left w:w="28" w:type="dxa"/>
          <w:bottom w:w="28" w:type="dxa"/>
          <w:right w:w="28" w:type="dxa"/>
        </w:tblCellMar>
      </w:tblPr>
      <w:tblGrid>
        <w:gridCol w:w="300"/>
        <w:gridCol w:w="264"/>
        <w:gridCol w:w="264"/>
        <w:gridCol w:w="264"/>
        <w:gridCol w:w="264"/>
        <w:gridCol w:w="264"/>
        <w:gridCol w:w="1497"/>
        <w:gridCol w:w="1497"/>
        <w:gridCol w:w="2195"/>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NCR Voyix Corporation</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Brian Webb-Walsh</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Brian Webb-Walsh</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 and Chief Financial Officer</w:t>
            </w:r>
          </w:p>
        </w:tc>
      </w:tr>
    </w:tbl>
    <w:p>
      <w:pPr>
        <w:pStyle w:val="TextBody"/>
        <w:bidi w:val="0"/>
        <w:spacing w:lineRule="auto" w:line="240" w:before="80" w:after="283"/>
        <w:jc w:val="left"/>
        <w:rPr>
          <w:rFonts w:ascii="Times New Roman;serif" w:hAnsi="Times New Roman;serif"/>
          <w:b w:val="false"/>
          <w:color w:val="000000"/>
          <w:sz w:val="24"/>
        </w:rPr>
      </w:pPr>
      <w:r>
        <w:rPr>
          <w:rFonts w:ascii="Times New Roman;serif" w:hAnsi="Times New Roman;serif"/>
          <w:b w:val="false"/>
          <w:color w:val="000000"/>
          <w:sz w:val="24"/>
        </w:rPr>
        <w:t>Date: August 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2009775" cy="6286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09775" cy="628650"/>
                    </a:xfrm>
                    <a:prstGeom prst="rect">
                      <a:avLst/>
                    </a:prstGeom>
                  </pic:spPr>
                </pic:pic>
              </a:graphicData>
            </a:graphic>
          </wp:inline>
        </w:drawing>
      </w:r>
      <w:r>
        <w:rPr>
          <w:color w:val="000000"/>
        </w:rPr>
        <w:t xml:space="preserve"> </w:t>
      </w: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NEWS RELEASE</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NCR Voyix Reports Second Quarter 2026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ATLANTA, August 5, 2026</w:t>
      </w:r>
      <w:r>
        <w:rPr>
          <w:color w:val="000000"/>
        </w:rPr>
        <w:t xml:space="preserve"> </w:t>
      </w:r>
      <w:r>
        <w:rPr>
          <w:rFonts w:ascii="Times New Roman;serif" w:hAnsi="Times New Roman;serif"/>
          <w:b w:val="false"/>
          <w:color w:val="000000"/>
          <w:sz w:val="22"/>
        </w:rPr>
        <w:t xml:space="preserve">- NCR Voyix Corporation (NYSE: VYX) (“NCR Voyix” or the “Company”), a platform-powered leader in unified commerce for shopping and dining, reported financial results today for the three and six months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Second Quarter Financial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Revenue was $523 million compared to $660 million in the prior year period, representing a decline of 21%, which reflects the impact of the Hardware Business Transition.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Revenue of $523 million increased 1% compared to the prior year period when applying the pro forma impact of the Hardware Business Transition to 2025 results.</w:t>
      </w:r>
      <w:r>
        <w:rPr>
          <w:rFonts w:ascii="Times New Roman;serif" w:hAnsi="Times New Roman;serif"/>
          <w:b w:val="false"/>
          <w:color w:val="000000"/>
          <w:sz w:val="14"/>
        </w:rPr>
        <w:t>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Software and services revenue was $497 million compared to $493 million in the prior year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Recurring revenue was $435 million compared to $421 million in the prior year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Recurring software revenue was $211 million compared to $199 million in the prior year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loss from continuing operations attributable to NCR Voyix was $1 million, compared with no net income or loss from continuing operations attributable to NCR Voyix in the prior year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Diluted EPS from continuing operations was $(0.03) compared to $(0.03) in the prior year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 was $98 million compared to $93 million in the prior year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Non-GAAP diluted EPS was $0.17 compared to $0.17 in the prior year period.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This quarter's revenue growth, pro forma for the Hardware Transition Impact, adjusted EBITDA growth and margin expansion demonstrate continued progress against our strategic priorities,” said James G. Kelly, Chief Executive Officer of NCR Voyix. “Customer engagement remains strong across our segments as both retailers and restaurants increasingly look to embrace a broader set of Voyix Commerce Platform applications that simplify operations, increase security, and provide greater speed and flexibility. We remain focused on accelerating adoption and scaling deployments of our solutions through targeted innovation, intelligent automation, and agentic AI, which we believe will support sustainable recurring revenue growth and create long-term shareholder value over time.”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To provide a better comparison of the Company’s ongoing performance, the pro forma year-over-year change of 1% reflects a comparison to pro forma second quarter 2025 results, adjusted to apply the pro forma impact of the Hardware Business Transition in Q2 2025, as described in the “2026 Outlook” table.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Recent Business Highlights and Additional Information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The Remaining Contract Value for the Company’s Voyix Commerce Platform applications was approximately $286 million as of June 30, 2026, an increase of 65% compared to the prior 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The Company had 85,000 platform sites and over 8,500 payment sites as of June 30, 2026, an increase of 10% and 2%, respectively, from the prior 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Company repurchased $11 million of common stock in the second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In July 2026, the Company announced it had signed a platform contract with Pizza Ranch, a new enterprise restaurant customer, to implement Aloha Next and Voyix Pay at more than 200 corporate-owned and franchised restaurants in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In May 2026, the Company announced a direct partnership with Voyager to enable fleet card acceptance through Voyix Connect, expanding its capabilities for commercial fuel transactions.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2026 Outlook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full-year 2026, the Company is maintaining its outlook as follows:</w:t>
      </w:r>
    </w:p>
    <w:tbl>
      <w:tblPr>
        <w:tblW w:w="8864" w:type="dxa"/>
        <w:jc w:val="left"/>
        <w:tblInd w:w="0" w:type="dxa"/>
        <w:tblLayout w:type="fixed"/>
        <w:tblCellMar>
          <w:top w:w="28" w:type="dxa"/>
          <w:left w:w="28" w:type="dxa"/>
          <w:bottom w:w="28" w:type="dxa"/>
          <w:right w:w="28" w:type="dxa"/>
        </w:tblCellMar>
      </w:tblPr>
      <w:tblGrid>
        <w:gridCol w:w="2011"/>
        <w:gridCol w:w="1763"/>
        <w:gridCol w:w="1776"/>
        <w:gridCol w:w="537"/>
        <w:gridCol w:w="537"/>
        <w:gridCol w:w="545"/>
        <w:gridCol w:w="496"/>
        <w:gridCol w:w="496"/>
        <w:gridCol w:w="703"/>
      </w:tblGrid>
      <w:tr>
        <w:trPr/>
        <w:tc>
          <w:tcPr>
            <w:tcW w:w="201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1B1E1F"/>
                <w:sz w:val="20"/>
              </w:rPr>
            </w:pPr>
            <w:r>
              <w:rPr>
                <w:rFonts w:ascii="Times New Roman;serif" w:hAnsi="Times New Roman;serif"/>
                <w:b w:val="false"/>
                <w:i/>
                <w:color w:val="1B1E1F"/>
                <w:sz w:val="20"/>
              </w:rPr>
              <w:t>$ in millions (except EPS)</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1B1E1F"/>
                <w:sz w:val="22"/>
              </w:rPr>
            </w:pPr>
            <w:r>
              <w:rPr>
                <w:rFonts w:ascii="Times New Roman;serif" w:hAnsi="Times New Roman;serif"/>
                <w:b/>
                <w:color w:val="1B1E1F"/>
                <w:sz w:val="22"/>
              </w:rPr>
              <w:t>Range</w:t>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1B1E1F"/>
                <w:sz w:val="22"/>
              </w:rPr>
            </w:pPr>
            <w:r>
              <w:rPr>
                <w:rFonts w:ascii="Times New Roman;serif" w:hAnsi="Times New Roman;serif"/>
                <w:b/>
                <w:color w:val="1B1E1F"/>
                <w:sz w:val="22"/>
              </w:rPr>
              <w:t>YoY % Change</w:t>
            </w:r>
          </w:p>
        </w:tc>
      </w:tr>
      <w:tr>
        <w:trPr/>
        <w:tc>
          <w:tcPr>
            <w:tcW w:w="555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1B1E1F"/>
                <w:sz w:val="22"/>
              </w:rPr>
              <w:t>Revenue</w:t>
            </w:r>
            <w:r>
              <w:rPr>
                <w:rFonts w:ascii="Times New Roman;serif" w:hAnsi="Times New Roman;serif"/>
                <w:b w:val="false"/>
                <w:color w:val="1B1E1F"/>
                <w:sz w:val="14"/>
              </w:rPr>
              <w:t>1</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1B1E1F"/>
                <w:sz w:val="22"/>
              </w:rPr>
            </w:pPr>
            <w:r>
              <w:rPr>
                <w:rFonts w:ascii="Times New Roman;serif" w:hAnsi="Times New Roman;serif"/>
                <w:b w:val="false"/>
                <w:color w:val="1B1E1F"/>
                <w:sz w:val="22"/>
              </w:rPr>
              <w:t>$2,188 - $2,303</w:t>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1B1E1F"/>
                <w:sz w:val="22"/>
              </w:rPr>
            </w:pPr>
            <w:r>
              <w:rPr>
                <w:rFonts w:ascii="Times New Roman;serif" w:hAnsi="Times New Roman;serif"/>
                <w:b w:val="false"/>
                <w:color w:val="1B1E1F"/>
                <w:sz w:val="22"/>
              </w:rPr>
              <w:t>(18%) - (13%)</w:t>
            </w:r>
          </w:p>
        </w:tc>
      </w:tr>
      <w:tr>
        <w:trPr/>
        <w:tc>
          <w:tcPr>
            <w:tcW w:w="555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1B1E1F"/>
                <w:sz w:val="22"/>
              </w:rPr>
              <w:t>Pro Forma for Hardware Transition Impact</w:t>
            </w:r>
            <w:r>
              <w:rPr>
                <w:rFonts w:ascii="Times New Roman;serif" w:hAnsi="Times New Roman;serif"/>
                <w:b w:val="false"/>
                <w:color w:val="1B1E1F"/>
                <w:sz w:val="14"/>
              </w:rPr>
              <w:t>1</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1B1E1F"/>
                <w:sz w:val="22"/>
              </w:rPr>
            </w:pPr>
            <w:r>
              <w:rPr>
                <w:rFonts w:ascii="Times New Roman;serif" w:hAnsi="Times New Roman;serif"/>
                <w:b w:val="false"/>
                <w:color w:val="1B1E1F"/>
                <w:sz w:val="22"/>
              </w:rPr>
              <w:t>(2%) - 3%</w:t>
            </w:r>
          </w:p>
        </w:tc>
      </w:tr>
      <w:tr>
        <w:trPr/>
        <w:tc>
          <w:tcPr>
            <w:tcW w:w="5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1B1E1F"/>
                <w:sz w:val="22"/>
              </w:rPr>
            </w:pPr>
            <w:r>
              <w:rPr>
                <w:rFonts w:ascii="Times New Roman;serif" w:hAnsi="Times New Roman;serif"/>
                <w:b w:val="false"/>
                <w:color w:val="1B1E1F"/>
                <w:sz w:val="22"/>
              </w:rPr>
              <w:t>Adjusted EBITDA</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1B1E1F"/>
                <w:sz w:val="22"/>
              </w:rPr>
            </w:pPr>
            <w:r>
              <w:rPr>
                <w:rFonts w:ascii="Times New Roman;serif" w:hAnsi="Times New Roman;serif"/>
                <w:b w:val="false"/>
                <w:color w:val="1B1E1F"/>
                <w:sz w:val="22"/>
              </w:rPr>
              <w:t>$432 - $447</w:t>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1B1E1F"/>
                <w:sz w:val="22"/>
              </w:rPr>
            </w:pPr>
            <w:r>
              <w:rPr>
                <w:rFonts w:ascii="Times New Roman;serif" w:hAnsi="Times New Roman;serif"/>
                <w:b w:val="false"/>
                <w:color w:val="1B1E1F"/>
                <w:sz w:val="22"/>
              </w:rPr>
              <w:t>3% - 7%</w:t>
            </w:r>
          </w:p>
        </w:tc>
      </w:tr>
      <w:tr>
        <w:trPr/>
        <w:tc>
          <w:tcPr>
            <w:tcW w:w="555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1B1E1F"/>
                <w:sz w:val="22"/>
              </w:rPr>
              <w:t>Non-GAAP Diluted EPS</w:t>
            </w:r>
            <w:r>
              <w:rPr>
                <w:rFonts w:ascii="Times New Roman;serif" w:hAnsi="Times New Roman;serif"/>
                <w:b w:val="false"/>
                <w:color w:val="1B1E1F"/>
                <w:sz w:val="14"/>
              </w:rPr>
              <w:t>2</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1B1E1F"/>
                <w:sz w:val="22"/>
              </w:rPr>
            </w:pPr>
            <w:r>
              <w:rPr>
                <w:rFonts w:ascii="Times New Roman;serif" w:hAnsi="Times New Roman;serif"/>
                <w:b w:val="false"/>
                <w:color w:val="1B1E1F"/>
                <w:sz w:val="22"/>
              </w:rPr>
              <w:t>$0.89 - $0.92</w:t>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1B1E1F"/>
                <w:sz w:val="22"/>
              </w:rPr>
            </w:pPr>
            <w:r>
              <w:rPr>
                <w:rFonts w:ascii="Times New Roman;serif" w:hAnsi="Times New Roman;serif"/>
                <w:b w:val="false"/>
                <w:color w:val="1B1E1F"/>
                <w:sz w:val="22"/>
              </w:rPr>
              <w:t>3% - 7%</w:t>
            </w:r>
          </w:p>
        </w:tc>
      </w:tr>
      <w:tr>
        <w:trPr/>
        <w:tc>
          <w:tcPr>
            <w:tcW w:w="55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1B1E1F"/>
                <w:sz w:val="22"/>
              </w:rPr>
            </w:pPr>
            <w:r>
              <w:rPr>
                <w:rFonts w:ascii="Times New Roman;serif" w:hAnsi="Times New Roman;serif"/>
                <w:b w:val="false"/>
                <w:color w:val="1B1E1F"/>
                <w:sz w:val="22"/>
              </w:rPr>
              <w:t>Adjusted Free Cash Flow-unrestricted before restructuring</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1B1E1F"/>
                <w:sz w:val="22"/>
              </w:rPr>
            </w:pPr>
            <w:r>
              <w:rPr>
                <w:rFonts w:ascii="Times New Roman;serif" w:hAnsi="Times New Roman;serif"/>
                <w:b w:val="false"/>
                <w:color w:val="1B1E1F"/>
                <w:sz w:val="22"/>
              </w:rPr>
              <w:t>$190 - $220</w:t>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1B1E1F"/>
                <w:sz w:val="22"/>
              </w:rPr>
            </w:pPr>
            <w:r>
              <w:rPr>
                <w:rFonts w:ascii="Times New Roman;serif" w:hAnsi="Times New Roman;serif"/>
                <w:b w:val="false"/>
                <w:color w:val="1B1E1F"/>
                <w:sz w:val="22"/>
              </w:rPr>
              <w:t>40% - 62%</w:t>
            </w:r>
          </w:p>
        </w:tc>
      </w:tr>
    </w:tbl>
    <w:p>
      <w:pPr>
        <w:pStyle w:val="TextBody"/>
        <w:bidi w:val="0"/>
        <w:spacing w:lineRule="auto" w:line="26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Revenue reflects gross hardware revenue recognition in the first quarter of 2026 and net sales commission revenue recognition for the remaining periods given the completion of the Hardware Business Transition at the end of Q1 2026. The year-over-year change of (18%) - (13%) reflects the impact of the Hardware Business Transition for Q2 2026 through Q4 2026. To provide a better comparison of the Company’s ongoing performance, the pro forma year-over-year change of (2%) - 3% reflects a comparison of GAAP revenue for 2026 to pro forma 2025 results, adjusted to apply the pro forma impact of the Hardware Business Transition in Q2 2025 through Q4 2025.</w:t>
      </w:r>
    </w:p>
    <w:p>
      <w:pPr>
        <w:pStyle w:val="TextBody"/>
        <w:bidi w:val="0"/>
        <w:spacing w:lineRule="auto" w:line="26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Non-GAAP Diluted EPS assumes an effective tax rate of 21% and full-year average diluted shares of 152 million inclusive of as-if converted preferred shares and dilutive options and RSU awards.</w:t>
      </w:r>
    </w:p>
    <w:p>
      <w:pPr>
        <w:pStyle w:val="TextBody"/>
        <w:bidi w:val="0"/>
        <w:spacing w:before="0" w:after="12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this release, we use certain non-GAAP measures. These non-GAAP measures include “Revenue, Pro Forma for Hardware Transition Impact,” “Adjusted EBITDA,” “Adjusted Free Cash Flow-Unrestricted,” “Non-GAAP Diluted EPS,” and others with the words “non-GAAP” in their titles. These non-GAAP measures are listed, described and reconciled for historic periods to their most directly comparable GAAP measures under the heading “Non-GAAP Financial Measures” later in this release. With respect to our outlook for full year 2026 for our Adjusted EBITDA, Non-GAAP Diluted EPS and Adjusted Free Cash Flow-Unrestricted, we do not provide a reconciliation to each of their most directly comparable GAAP measure because we are not able to predict with reasonable certainty the reconciling items that may affect the GAAP net income from continuing operations and GAAP cash flow provided by (used in) operating activities without unreasonable effort. The reconciling items are primarily the future impact of special tax items, capital structure transactions, restructuring, pension mark-to-market transactions, acquisitions or divestitures, or other events. These reconciling items are uncertain, depend on various factors and could significantly impact, either individually or in the aggregate, the GAAP measures. The Company also believes such reconciliations would imply a degree of precision that could be confusing or misleading to investors.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Cautionary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release contains “forward-looking statements” within the meaning of the Private Securities Litigation Reform Act of 1995 (the “Act”), Section 27A of the Securities Act of 1933, and Section 21E of the Securities Exchange Act of 1934. Forward-looking statements may appear throughout this release and can generally be identified by words such as “expect,” “target,” “anticipates,” “outlook,” “guidance,” “intend,” “plan,” “believe,” “will,” “should,” “would,” “potential,” “forecast,” “proposed,” “planned,” “objective,” “estimate,” “expected,” “likely,” “could,” “may,” and similar expressions referencing future events, conditions or circumstances. We intend for these forward-looking statements to be covered by the safe harbor provisions contained in the Act that are applicable to forward-looking statements. Examples of forward-looking statements include, without limitation, the Company’s plans, strategies, projections, future financial or operational results, events, trends, and economic and other future conditions. Forward-looking statements in this release include, without limitation, statements regarding: the Company’s expectations regarding our fiscal 2026 performance outlook; the Company’s plans, strategies, projections, future financial or operational results, events, trends, and economic and other future conditions; the Company’s plans, strategies, or objectives for future operations and offerings, including the Company’s suite of microservices-based applications, and its Voyix Commerce Platform; the estimated or anticipated future results and benefits of the Company’s plans and operations; the Company’s expectations regarding innovation, intelligent automation, and agentic AI and its impact on the Company’s performance; the Company’s expectations of demand for its solutions and service offerings; and statements regarding the Company’s ability to deliver increased value to customers and stockholders. Forward-looking statements are based solely on management’s current beliefs, expectations and assumptions, whether express or implied, regarding the future, which may prove to be inaccurate. Actual results could differ materially from expectations expressed or implied by such forward-looking statements due to a number of factors, such as the risks and uncertainties, including, but not limited to, the following: our ability to successfully execute our growth strategy; our ability to successfully develop new solutions that achieve market acceptance and keep pace with technological developments; our ability to maintain a consistently high level of customer service; our ability to achieve some or all of the expected benefits of our cost reduction initiatives; the success of our strategic relationships with third parties and our ability to integrate with third-party applications and software; risks related to tariffs, sanctions and trade barriers, and the related impact on macroeconomic conditions; the availability or applicability of tariff and duty exemptions to our products; the failure of our past or future acquisitions, divestitures and other strategic transactions to produce the anticipated results; potential indemnification obligations to NCR Atleos or a refusal of NCR Atleos to indemnify us pursuant to agreements executed in the spin-off; our ability to protect our systems and data from cybersecurity threats (including artificial intelligence) or other technological risks; risks related to evolving global laws and regulations relating to data privacy, data protection and information security; our ability to protect our intellectual property; extensive competition in our markets; disruptions in our data center hosting and public cloud facilities; risks related to defects, errors, installation difficulties or development delays; the failure of our artificial intelligence capabilities to operate as anticipated; our ability to maintain and update our information technology systems; changes in U.S. or foreign trade policies and domestic and global economic and credit conditions; risks related to geopolitical or armed conflicts in a region where we operate; our ability to retain key employees, or to recruit, develop and retain qualified employees; the inability of third party suppliers to fulfill our needs; risks related to our level or indebtedness; our ability to continue to access or renew financing sources and obtain capital; our failure to maintain effective internal control over financial reporting; and other factors included in “Item 1A-Risk Factors” of our most recent Annual Report on Form 10-K and in other documents that we file with the U.S. Securities and Exchange Commission (“SEC”), which we advise you to review.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underlying assumptions prove incorrect, actual results may vary materially from those set forth in the forward-looking statements. Any forward-looking statement speaks only as of the date on which it is made and should not be relied upon as representing our plans and expectations as of any subsequent date. The Company does not undertake any obligation to publicly update or revise any forward-looking statements, whether as a result of new information, future events or otherwise,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Earnings Conference Call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NCR Voyix management will host a conference call and live audio webcast today at 8:00 a.m. Eastern Time to discuss the Company’s results for the second quarter. Access to the webcast, along with supplemental financial information, are available on the Investor Relations section of the Company’s website at </w:t>
      </w:r>
      <w:r>
        <w:rPr>
          <w:rFonts w:ascii="Times New Roman;serif" w:hAnsi="Times New Roman;serif"/>
          <w:b w:val="false"/>
          <w:color w:val="0000FF"/>
          <w:sz w:val="22"/>
          <w:u w:val="single"/>
        </w:rPr>
        <w:t>https://investor.ncrvoyix.com</w:t>
      </w:r>
      <w:r>
        <w:rPr>
          <w:rFonts w:ascii="Times New Roman;serif" w:hAnsi="Times New Roman;serif"/>
          <w:b w:val="false"/>
          <w:color w:val="000000"/>
          <w:sz w:val="22"/>
        </w:rPr>
        <w:t>. Participants may access the live call by dialing (800) 715-9871 (United States/Canada Toll-free) or +1 (646) 307-1963 (International Toll) and requesting to be connected to the conference call. A replay of the audio webcast will be archived on the Company’s website following the live event.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NCR Voyix</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NCR Voyix Corporation (NYSE: VYX) is a global platform-powered leader in unified commerce for shopping and dining. Combining a flexible, intelligent platform with end-to-end payments capabilities and services developed through its deep industry experience, NCR Voyix empowers retailers and restaurants to accelerate new possibilities for their operations, experiences and business outcomes. NCR Voyix is headquartered in Atlanta, Georgia, and serves customers in more than 35 countries worldwide. For more information, visit ncrvoyix.com.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Non-GAAP Financial Measures. </w:t>
      </w:r>
      <w:r>
        <w:rPr>
          <w:rFonts w:ascii="Times New Roman;serif" w:hAnsi="Times New Roman;serif"/>
          <w:b w:val="false"/>
          <w:color w:val="000000"/>
          <w:sz w:val="20"/>
        </w:rPr>
        <w:t>While the Company reports its results in accordance with Generally Accepted Accounting Principles in the United States, or GAAP, in this release the Company also uses the non-GAAP measures listed and described below. The Company’s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 and the Company encourages investors to review the non-GAAP information presented herein in conjunction with, and as a supplement to, the presentation of GAAP financial measures. Each potential adjustment noted below may not occur in each period presented but are included within the definitions as examples of potential future adjustments.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Adjusted Earnings Before Interest, Taxes, Depreciation and Amortization (Adjusted EBITDA) and Adjusted EBITDA margin.</w:t>
      </w:r>
      <w:r>
        <w:rPr>
          <w:color w:val="000000"/>
        </w:rPr>
        <w:t xml:space="preserve"> </w:t>
      </w:r>
      <w:r>
        <w:rPr>
          <w:rFonts w:ascii="Times New Roman;serif" w:hAnsi="Times New Roman;serif"/>
          <w:b w:val="false"/>
          <w:color w:val="000000"/>
          <w:sz w:val="20"/>
        </w:rPr>
        <w:t>Adjusted EBITDA is defined as 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Company also uses Adjusted EBITDA margin, which is calculated based on Adjusted EBITDA as a percentage of total revenue. The Company uses Adjusted EBITDA and Adjusted EBITDA margin to evaluate and measure the ongoing performance of its business segments. The Company also uses Adjusted EBITDA and Adjusted EBITDA margin to manage and determine the effectiveness of its business managers and as a basis for incentive compensation. The Company believes that Adjusted EBITDA and Adjusted EBITDA margin provide useful information to investors because they are indicators of the strength and performance of the Company’s ongoing business operations, including its ability to fund discretionary spending such as capital expenditures, strategic acquisitions and other investments. Adjusted EBITDA and Adjusted EBITDA margin should not be considered as substitutes for, or superior to, net income from continuing operations attributable to NCR Voyix or net profit margin, respectively, under GAAP.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0"/>
        </w:rPr>
        <w:t>Non-GAAP Diluted Earnings Per Share (EPS) and Non-GAAP income (loss) from continuing operations (attributable to NCR Voyix)</w:t>
      </w:r>
      <w:r>
        <w:rPr>
          <w:rFonts w:ascii="Times New Roman;serif" w:hAnsi="Times New Roman;serif"/>
          <w:b w:val="false"/>
          <w:color w:val="000000"/>
          <w:sz w:val="20"/>
        </w:rPr>
        <w:t>. The Company determines Non-GAAP Diluted EPS and Non-GAAP income (loss) from continuing operations (attributable to NCR Voyix) by excluding, as applicable, pension mark-to-market adjustments, pension settlements, pension curtailments and pension special termination benefits, as well as other special items, including loss (gain) on debt extinguishment, amortization of acquisition related intangibles, stock-based compensation expense, separation-related costs, cyber ransomware incident recovery costs net of recoveries, fraudulent ACH disbursements costs net of recoveries, strategic initiative costs, foreign currency devaluation costs, gains or losses related to the disposal of businesses, litigation costs, legal entity restructuring tax benefit and transformation and restructuring costs, from the Company’s GAAP earnings per share and income (loss) from continuing operations (attributable to NCR Voyix), respectively. Due to the non-operational nature of these pension and other special items, the Company’s management uses these non-GAAP measures to evaluate year-over-year operating performance. In addition, non-GAAP tax effects are calculated using an annual forecasted non-GAAP tax rate that excludes the impact of non-GAAP adjustments, with discrete tax impacts added separately for the period. The Company believes this measure is useful for investors because it provides a more complete understanding of the Company’s underlying operational performance, as well as consistency and comparability with the Company’s past reports of financial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Adjusted free cash flow-unrestricted before restructuring costs. </w:t>
      </w:r>
      <w:r>
        <w:rPr>
          <w:rFonts w:ascii="Times New Roman;serif" w:hAnsi="Times New Roman;serif"/>
          <w:b w:val="false"/>
          <w:color w:val="000000"/>
          <w:sz w:val="20"/>
        </w:rPr>
        <w:t xml:space="preserve">NCR Voyix management uses the non-GAAP measure called “adjusted free cash flow-unrestricted before restructuring costs” to assess the financial performance of the Company. We define adjusted free cash flow-unrestricted as net cash provided by (used in) operating activities less capital expenditures for property, plant and equipment and capitalized software, plus/minus collections of previously sold trade receivables purchased from third parties, restricted cash settlement activity, cash activity related to environmental discontinued operations, collections on non-operating receivables related to inventory sold for the Hardware Business Transition, plus acquisition-related items, and pension contributions and settlements, less restructuring, transformation and strategic initiative costs, and expected payments related to certain legal matters (net of recoveries from NCR Atleos).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adjusted free cash flow-unrestricted before restructuring costs provides useful information to investors because it relates the operating cash flows from the Company’s continuing and discontinued operations to the capital that is spent to continue and improve business operations. In particular, adjusted free cash flow-unrestricted before restructuring costs indicates the amount of cash available after capital expenditures for, among other things, investments in the Company’s existing businesses, strategic acquisitions, and repayment of debt obligations. Adjusted free cash flow-unrestricted before restructuring costs does not represent the residual cash flow available for discretionary expenditures, since there may be other non-discretionary expenditures that are not deducted from the measure. Adjusted free cash flow-unrestricted before restructuring costs does not have a uniform definition under GAAP, and therefore the Company’s definitions may differ from other companies’ definitions of these measures.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non-GAAP measures should not be considered a substitute for, or superior to, cash flows from operating activities under GAAP or other GAAP measures.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Revenue, Pro Forma for Hardware Transition Impact.</w:t>
      </w:r>
      <w:r>
        <w:rPr>
          <w:color w:val="000000"/>
        </w:rPr>
        <w:t xml:space="preserve"> </w:t>
      </w:r>
      <w:r>
        <w:rPr>
          <w:rFonts w:ascii="Times New Roman;serif" w:hAnsi="Times New Roman;serif"/>
          <w:b w:val="false"/>
          <w:color w:val="000000"/>
          <w:sz w:val="20"/>
        </w:rPr>
        <w:t xml:space="preserve">Revenue, pro forma for hardware transition impact, is defined as revenue (GAAP), as reported, less hardware revenue reported and plus outsourced design and manufacturing (ODM) referral revenue and other hardware sales (in each case reflecting revenue as if the Company’s previously announced transition of its hardware business to an ODM model (the “Hardware Business Transition”) occurred on April 1, 2025). NCR Voyix’s management considers revenue, pro forma for hardware transition impact as a useful metric in order to provide a comparison of the Company’s pro forma historic performance (presented as if the Hardware Business Transition were effective for the comparable period within fiscal year 2025) to the Company’s ongoing performance in future periods. Revenue, pro forma for Hardware Transition Impact, reflects gross hardware revenue recognition on a pro forma basis, net sales commission revenue recognition for the quarters ending prior to April 1,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Use of Certain Terms</w:t>
      </w:r>
    </w:p>
    <w:p>
      <w:pPr>
        <w:pStyle w:val="TextBody"/>
        <w:bidi w:val="0"/>
        <w:spacing w:before="0" w:after="0"/>
        <w:jc w:val="both"/>
        <w:rPr/>
      </w:pPr>
      <w:r>
        <w:rPr/>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The term “recurring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 NCR Voyix’s management considers recurring revenue, and the other operating metrics derived therefrom, to be an important indicator of the predictability of revenue and part of our strategic plan.</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The term “Software &amp; Services Revenue” includes all software, services and payments revenue and excludes hardware revenue.</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The term “Remaining Contract Value” or “RCV” is the total remaining value under contract with customers for the Company’s Voyix Commerce Platform applications that has not yet been recognized as revenue as of the end of the reporting period. RCV includes contract value for subscription periods that are cancellable by the customer, as the majority of our contracts are subject to termination provisions, including for convenience. There is no guarantee that the Company will be able to recognize the full amount of its RCV.</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The term “platform sites” includes all sites for which we bill for use of our Commerce platform.</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The term “payment sites” includes all sites which utilizes NCR Voyix’s payment processing capabilities.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(Loss) from Continuing Operations Attributable to NCR Voyix (GAAP) to Adjusted Earnings Before Interest, Depreciation, Taxes and Amortization (Adjusted EBITDA)</w:t>
      </w:r>
    </w:p>
    <w:tbl>
      <w:tblPr>
        <w:tblW w:w="10205" w:type="dxa"/>
        <w:jc w:val="center"/>
        <w:tblInd w:w="0" w:type="dxa"/>
        <w:tblLayout w:type="fixed"/>
        <w:tblCellMar>
          <w:top w:w="28" w:type="dxa"/>
          <w:left w:w="28" w:type="dxa"/>
          <w:bottom w:w="28" w:type="dxa"/>
          <w:right w:w="28" w:type="dxa"/>
        </w:tblCellMar>
      </w:tblPr>
      <w:tblGrid>
        <w:gridCol w:w="1843"/>
        <w:gridCol w:w="1393"/>
        <w:gridCol w:w="1411"/>
        <w:gridCol w:w="301"/>
        <w:gridCol w:w="537"/>
        <w:gridCol w:w="155"/>
        <w:gridCol w:w="111"/>
        <w:gridCol w:w="111"/>
        <w:gridCol w:w="111"/>
        <w:gridCol w:w="293"/>
        <w:gridCol w:w="564"/>
        <w:gridCol w:w="151"/>
        <w:gridCol w:w="109"/>
        <w:gridCol w:w="109"/>
        <w:gridCol w:w="109"/>
        <w:gridCol w:w="275"/>
        <w:gridCol w:w="628"/>
        <w:gridCol w:w="142"/>
        <w:gridCol w:w="109"/>
        <w:gridCol w:w="109"/>
        <w:gridCol w:w="109"/>
        <w:gridCol w:w="278"/>
        <w:gridCol w:w="615"/>
        <w:gridCol w:w="143"/>
        <w:gridCol w:w="109"/>
        <w:gridCol w:w="109"/>
        <w:gridCol w:w="109"/>
        <w:gridCol w:w="162"/>
      </w:tblGrid>
      <w:tr>
        <w:trPr/>
        <w:tc>
          <w:tcPr>
            <w:tcW w:w="184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 Attributable to NCR Voyix (GAAP)</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(excluding acquisition-related amortization of intangibles)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amortization of intangibles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and restructuring costs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EBITDA (Non-GAAP)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Diluted Earnings Per Share from Continuing Operations (GAAP)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Diluted Earnings Per Share from Continuing Operations (Non-GAAP)</w:t>
      </w:r>
    </w:p>
    <w:tbl>
      <w:tblPr>
        <w:tblW w:w="10205" w:type="dxa"/>
        <w:jc w:val="center"/>
        <w:tblInd w:w="0" w:type="dxa"/>
        <w:tblLayout w:type="fixed"/>
        <w:tblCellMar>
          <w:top w:w="28" w:type="dxa"/>
          <w:left w:w="28" w:type="dxa"/>
          <w:bottom w:w="28" w:type="dxa"/>
          <w:right w:w="28" w:type="dxa"/>
        </w:tblCellMar>
      </w:tblPr>
      <w:tblGrid>
        <w:gridCol w:w="1770"/>
        <w:gridCol w:w="1393"/>
        <w:gridCol w:w="1414"/>
        <w:gridCol w:w="272"/>
        <w:gridCol w:w="738"/>
        <w:gridCol w:w="140"/>
        <w:gridCol w:w="109"/>
        <w:gridCol w:w="109"/>
        <w:gridCol w:w="109"/>
        <w:gridCol w:w="272"/>
        <w:gridCol w:w="738"/>
        <w:gridCol w:w="140"/>
        <w:gridCol w:w="109"/>
        <w:gridCol w:w="109"/>
        <w:gridCol w:w="109"/>
        <w:gridCol w:w="272"/>
        <w:gridCol w:w="738"/>
        <w:gridCol w:w="140"/>
        <w:gridCol w:w="109"/>
        <w:gridCol w:w="109"/>
        <w:gridCol w:w="109"/>
        <w:gridCol w:w="269"/>
        <w:gridCol w:w="729"/>
        <w:gridCol w:w="199"/>
      </w:tblGrid>
      <w:tr>
        <w:trPr/>
        <w:tc>
          <w:tcPr>
            <w:tcW w:w="177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Earnings Per Share from Continuing Operations (GAAP)</w:t>
            </w:r>
            <w:r>
              <w:rPr>
                <w:rFonts w:ascii="Times New Roman;serif" w:hAnsi="Times New Roman;serif"/>
                <w:b/>
                <w:color w:val="000000"/>
                <w:sz w:val="13"/>
              </w:rPr>
              <w:t>(1)</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amortization of intangibles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0.07</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0.06</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0.11</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and restructuring costs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0.12</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0.01</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0.11</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Diluted EPS</w:t>
            </w:r>
            <w:r>
              <w:rPr>
                <w:rFonts w:ascii="Times New Roman;serif" w:hAnsi="Times New Roman;serif"/>
                <w:b/>
                <w:color w:val="000000"/>
                <w:sz w:val="13"/>
              </w:rPr>
              <w:t>(1)</w:t>
            </w:r>
          </w:p>
        </w:tc>
        <w:tc>
          <w:tcPr>
            <w:tcW w:w="2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0.17</w:t>
            </w:r>
            <w:r>
              <w:rPr>
                <w:color w:val="000000"/>
              </w:rPr>
              <w:t> </w:t>
            </w:r>
          </w:p>
        </w:tc>
        <w:tc>
          <w:tcPr>
            <w:tcW w:w="14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4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0.26</w:t>
            </w:r>
            <w:r>
              <w:rPr>
                <w:color w:val="000000"/>
              </w:rPr>
              <w:t> </w:t>
            </w:r>
          </w:p>
        </w:tc>
        <w:tc>
          <w:tcPr>
            <w:tcW w:w="14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Non-GAAP diluted EPS is determined using the conversion of the Series A Convertible Preferred Stock into common stock in the calculation of weighted average diluted shares outstanding. GAAP EPS is determined using the most dilutive measure, either including the impact of dividends or deemed dividends on the Company’s Series A Convertible Preferred Stock in the calculation of net income or loss available to common stockholders or including the impact of the conversion of the Series A Convertible Preferred Stock into common stock in the calculation of the weighted average diluted shares outstanding. Therefore, GAAP diluted EPS and non-GAAP diluted EPS may not mathematically reconcile.</w:t>
      </w:r>
    </w:p>
    <w:tbl>
      <w:tblPr>
        <w:tblW w:w="10205" w:type="dxa"/>
        <w:jc w:val="left"/>
        <w:tblInd w:w="0" w:type="dxa"/>
        <w:tblLayout w:type="fixed"/>
        <w:tblCellMar>
          <w:top w:w="28" w:type="dxa"/>
          <w:left w:w="28" w:type="dxa"/>
          <w:bottom w:w="28" w:type="dxa"/>
          <w:right w:w="28" w:type="dxa"/>
        </w:tblCellMar>
      </w:tblPr>
      <w:tblGrid>
        <w:gridCol w:w="1684"/>
        <w:gridCol w:w="1480"/>
        <w:gridCol w:w="1503"/>
        <w:gridCol w:w="256"/>
        <w:gridCol w:w="684"/>
        <w:gridCol w:w="132"/>
        <w:gridCol w:w="109"/>
        <w:gridCol w:w="109"/>
        <w:gridCol w:w="109"/>
        <w:gridCol w:w="297"/>
        <w:gridCol w:w="741"/>
        <w:gridCol w:w="154"/>
        <w:gridCol w:w="109"/>
        <w:gridCol w:w="109"/>
        <w:gridCol w:w="109"/>
        <w:gridCol w:w="256"/>
        <w:gridCol w:w="684"/>
        <w:gridCol w:w="132"/>
        <w:gridCol w:w="109"/>
        <w:gridCol w:w="109"/>
        <w:gridCol w:w="109"/>
        <w:gridCol w:w="291"/>
        <w:gridCol w:w="708"/>
        <w:gridCol w:w="222"/>
      </w:tblGrid>
      <w:tr>
        <w:trPr/>
        <w:tc>
          <w:tcPr>
            <w:tcW w:w="168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2026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br/>
              <w:t>Non-GAAP</w:t>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attributable to NCR Voyix common stockholders</w:t>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(attributable to NCR Voyix)</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convertible preferred shares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attributable to NCR Voyix common stockholders</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Weighted average outstanding shares:</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as-if converted preferred shares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used in diluted earnings per share</w:t>
            </w:r>
          </w:p>
        </w:tc>
        <w:tc>
          <w:tcPr>
            <w:tcW w:w="9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 from continuing operations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66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66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66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66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66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84"/>
        <w:gridCol w:w="1480"/>
        <w:gridCol w:w="1503"/>
        <w:gridCol w:w="256"/>
        <w:gridCol w:w="684"/>
        <w:gridCol w:w="132"/>
        <w:gridCol w:w="109"/>
        <w:gridCol w:w="109"/>
        <w:gridCol w:w="109"/>
        <w:gridCol w:w="297"/>
        <w:gridCol w:w="741"/>
        <w:gridCol w:w="154"/>
        <w:gridCol w:w="109"/>
        <w:gridCol w:w="109"/>
        <w:gridCol w:w="109"/>
        <w:gridCol w:w="256"/>
        <w:gridCol w:w="684"/>
        <w:gridCol w:w="132"/>
        <w:gridCol w:w="109"/>
        <w:gridCol w:w="109"/>
        <w:gridCol w:w="109"/>
        <w:gridCol w:w="291"/>
        <w:gridCol w:w="708"/>
        <w:gridCol w:w="222"/>
      </w:tblGrid>
      <w:tr>
        <w:trPr/>
        <w:tc>
          <w:tcPr>
            <w:tcW w:w="1684"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30, 2026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br/>
              <w:t>Non-GAAP</w:t>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attributable to NCR Voyix common stockholders</w:t>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(attributable to NCR Voyix)</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convertible preferred shares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attributable to NCR Voyix common stockholders</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Weighted average outstanding shares:</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as-if converted preferred shares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used in diluted earnings per share</w:t>
            </w:r>
          </w:p>
        </w:tc>
        <w:tc>
          <w:tcPr>
            <w:tcW w:w="9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 from continuing operations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09"/>
        <w:gridCol w:w="1425"/>
        <w:gridCol w:w="1445"/>
        <w:gridCol w:w="299"/>
        <w:gridCol w:w="532"/>
        <w:gridCol w:w="154"/>
        <w:gridCol w:w="111"/>
        <w:gridCol w:w="111"/>
        <w:gridCol w:w="111"/>
        <w:gridCol w:w="291"/>
        <w:gridCol w:w="559"/>
        <w:gridCol w:w="150"/>
        <w:gridCol w:w="109"/>
        <w:gridCol w:w="109"/>
        <w:gridCol w:w="109"/>
        <w:gridCol w:w="298"/>
        <w:gridCol w:w="532"/>
        <w:gridCol w:w="154"/>
        <w:gridCol w:w="109"/>
        <w:gridCol w:w="109"/>
        <w:gridCol w:w="109"/>
        <w:gridCol w:w="283"/>
        <w:gridCol w:w="555"/>
        <w:gridCol w:w="146"/>
        <w:gridCol w:w="109"/>
        <w:gridCol w:w="109"/>
        <w:gridCol w:w="109"/>
        <w:gridCol w:w="159"/>
      </w:tblGrid>
      <w:tr>
        <w:trPr/>
        <w:tc>
          <w:tcPr>
            <w:tcW w:w="190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9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attributable to NCR Voyix</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Non-GAAP adjustments to income (loss) from continuing operations attributable to NCR Voyix</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amortization of intangibles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and restructuring costs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initiatives</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costs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non-GAAP adjustments</w:t>
            </w:r>
            <w:r>
              <w:rPr>
                <w:rFonts w:ascii="Times New Roman;serif" w:hAnsi="Times New Roman;serif"/>
                <w:b w:val="false"/>
                <w:color w:val="000000"/>
                <w:sz w:val="13"/>
              </w:rPr>
              <w:t>(1)</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income (loss) from continuing operations (attributable to NCR Voyix)</w:t>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(1) For the three months ended June 30 2026, the tax effect of non-GAAP adjustments includes applying an annual forecasted non-GAAP tax rate of 30% as well as $1 million of discrete tax expense. For the three months ended June 30, 2025, the tax effect of non-GAAP adjustments includes applying an annual forecasted non-GAAP tax rate of 25% as well as $5 million of discrete tax benefits. For the six months ended June 30 2026, the tax effect of non-GAAP adjustments includes applying an annual forecasted non-GAAP tax rate of 30% as well as $2 million of discrete tax benefits. For the six months ended June 30, 2025, the tax effect of non-GAAP adjustments includes applying an annual forecasted non-GAAP tax rate of 25% as well as $7 million of discrete tax benefits.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Revenue, Pro Forma for Hardware Transition Impact</w:t>
      </w:r>
    </w:p>
    <w:tbl>
      <w:tblPr>
        <w:tblW w:w="8037" w:type="dxa"/>
        <w:jc w:val="left"/>
        <w:tblInd w:w="0" w:type="dxa"/>
        <w:tblLayout w:type="fixed"/>
        <w:tblCellMar>
          <w:top w:w="28" w:type="dxa"/>
          <w:left w:w="28" w:type="dxa"/>
          <w:bottom w:w="28" w:type="dxa"/>
          <w:right w:w="28" w:type="dxa"/>
        </w:tblCellMar>
      </w:tblPr>
      <w:tblGrid>
        <w:gridCol w:w="1691"/>
        <w:gridCol w:w="1488"/>
        <w:gridCol w:w="1501"/>
        <w:gridCol w:w="336"/>
        <w:gridCol w:w="766"/>
        <w:gridCol w:w="173"/>
        <w:gridCol w:w="109"/>
        <w:gridCol w:w="109"/>
        <w:gridCol w:w="109"/>
        <w:gridCol w:w="342"/>
        <w:gridCol w:w="756"/>
        <w:gridCol w:w="176"/>
        <w:gridCol w:w="109"/>
        <w:gridCol w:w="109"/>
        <w:gridCol w:w="109"/>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12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hardware revenue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ODM referral revenue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other hardware revenue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Revenue, Pro Forma for Hardware Transition Impact</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6101" w:type="dxa"/>
        <w:jc w:val="center"/>
        <w:tblInd w:w="0" w:type="dxa"/>
        <w:tblLayout w:type="fixed"/>
        <w:tblCellMar>
          <w:top w:w="28" w:type="dxa"/>
          <w:left w:w="28" w:type="dxa"/>
          <w:bottom w:w="28" w:type="dxa"/>
          <w:right w:w="28" w:type="dxa"/>
        </w:tblCellMar>
      </w:tblPr>
      <w:tblGrid>
        <w:gridCol w:w="124"/>
        <w:gridCol w:w="109"/>
        <w:gridCol w:w="109"/>
        <w:gridCol w:w="1559"/>
        <w:gridCol w:w="1559"/>
        <w:gridCol w:w="1562"/>
        <w:gridCol w:w="316"/>
        <w:gridCol w:w="316"/>
        <w:gridCol w:w="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NCR VOYIX CORPORATION</w:t>
              <w:br/>
              <w:t>CONSOLIDATED STATEMENTS OF OPERATIONS</w:t>
              <w:br/>
              <w:t>(Unaudited)</w:t>
              <w:br/>
              <w:t>(in millions, except per share amounts)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 A</w:t>
            </w:r>
          </w:p>
        </w:tc>
      </w:tr>
    </w:tbl>
    <w:tbl>
      <w:tblPr>
        <w:tblW w:w="10205" w:type="dxa"/>
        <w:jc w:val="center"/>
        <w:tblInd w:w="0" w:type="dxa"/>
        <w:tblLayout w:type="fixed"/>
        <w:tblCellMar>
          <w:top w:w="28" w:type="dxa"/>
          <w:left w:w="28" w:type="dxa"/>
          <w:bottom w:w="28" w:type="dxa"/>
          <w:right w:w="28" w:type="dxa"/>
        </w:tblCellMar>
      </w:tblPr>
      <w:tblGrid>
        <w:gridCol w:w="1912"/>
        <w:gridCol w:w="1594"/>
        <w:gridCol w:w="1554"/>
        <w:gridCol w:w="211"/>
        <w:gridCol w:w="562"/>
        <w:gridCol w:w="256"/>
        <w:gridCol w:w="109"/>
        <w:gridCol w:w="109"/>
        <w:gridCol w:w="109"/>
        <w:gridCol w:w="211"/>
        <w:gridCol w:w="562"/>
        <w:gridCol w:w="256"/>
        <w:gridCol w:w="109"/>
        <w:gridCol w:w="109"/>
        <w:gridCol w:w="109"/>
        <w:gridCol w:w="211"/>
        <w:gridCol w:w="562"/>
        <w:gridCol w:w="256"/>
        <w:gridCol w:w="109"/>
        <w:gridCol w:w="109"/>
        <w:gridCol w:w="109"/>
        <w:gridCol w:w="211"/>
        <w:gridCol w:w="562"/>
        <w:gridCol w:w="304"/>
      </w:tblGrid>
      <w:tr>
        <w:trPr/>
        <w:tc>
          <w:tcPr>
            <w:tcW w:w="1912"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Period Ended June 30</w:t>
            </w:r>
          </w:p>
        </w:tc>
      </w:tr>
      <w:tr>
        <w:trPr/>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w:t>
            </w:r>
          </w:p>
        </w:tc>
      </w:tr>
      <w:tr>
        <w:trPr/>
        <w:tc>
          <w:tcPr>
            <w:tcW w:w="5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margin</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Revenue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29.8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25.3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22.3 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Revenue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2.7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(0.4)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(0.6)</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expense, net</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 before income taxes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of Revenue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(3.8)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continuing operations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 of discontinued operations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NCR Voyix</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attributable to NCR Voyix common stockholders:</w:t>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convertible preferred stock</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attributable to NCR Voyix common stockholders</w:t>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NCR Voyix common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per share attributable to NCR Voyix common stockholders:</w:t>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per common share from continuing operations</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3"/>
              </w:rPr>
              <w:t>(1)</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30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w:t>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3"/>
              </w:rPr>
              <w:t>(1)</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30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3"/>
              </w:rPr>
              <w:t>(1)</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Diluted EPS is determined using the most dilutive measure, either including the impact of the dividends and deemed dividends on the Company’s Series A Convertible Preferred Shares in the calculation of net income or loss per common share from continuing operations and net income or loss per common share or including the impact of the conversion of such preferred stock into common stock in the calculation of the weighted average diluted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5831" w:type="dxa"/>
        <w:jc w:val="center"/>
        <w:tblInd w:w="0" w:type="dxa"/>
        <w:tblLayout w:type="fixed"/>
        <w:tblCellMar>
          <w:top w:w="28" w:type="dxa"/>
          <w:left w:w="28" w:type="dxa"/>
          <w:bottom w:w="28" w:type="dxa"/>
          <w:right w:w="28" w:type="dxa"/>
        </w:tblCellMar>
      </w:tblPr>
      <w:tblGrid>
        <w:gridCol w:w="124"/>
        <w:gridCol w:w="109"/>
        <w:gridCol w:w="109"/>
        <w:gridCol w:w="1469"/>
        <w:gridCol w:w="1469"/>
        <w:gridCol w:w="1472"/>
        <w:gridCol w:w="316"/>
        <w:gridCol w:w="316"/>
        <w:gridCol w:w="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NCR VOYIX CORPORATION</w:t>
              <w:br/>
              <w:t>REVENUE AND ADJUSTED EBITDA SUMMARY</w:t>
              <w:br/>
              <w:t>(Unaudited)</w:t>
              <w:br/>
              <w:t>(in millions)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 B</w:t>
            </w:r>
          </w:p>
        </w:tc>
      </w:tr>
    </w:tbl>
    <w:tbl>
      <w:tblPr>
        <w:tblW w:w="10205" w:type="dxa"/>
        <w:jc w:val="center"/>
        <w:tblInd w:w="0" w:type="dxa"/>
        <w:tblLayout w:type="fixed"/>
        <w:tblCellMar>
          <w:top w:w="28" w:type="dxa"/>
          <w:left w:w="28" w:type="dxa"/>
          <w:bottom w:w="28" w:type="dxa"/>
          <w:right w:w="28" w:type="dxa"/>
        </w:tblCellMar>
      </w:tblPr>
      <w:tblGrid>
        <w:gridCol w:w="834"/>
        <w:gridCol w:w="642"/>
        <w:gridCol w:w="644"/>
        <w:gridCol w:w="211"/>
        <w:gridCol w:w="481"/>
        <w:gridCol w:w="109"/>
        <w:gridCol w:w="109"/>
        <w:gridCol w:w="109"/>
        <w:gridCol w:w="109"/>
        <w:gridCol w:w="211"/>
        <w:gridCol w:w="466"/>
        <w:gridCol w:w="109"/>
        <w:gridCol w:w="109"/>
        <w:gridCol w:w="109"/>
        <w:gridCol w:w="109"/>
        <w:gridCol w:w="255"/>
        <w:gridCol w:w="256"/>
        <w:gridCol w:w="517"/>
        <w:gridCol w:w="109"/>
        <w:gridCol w:w="109"/>
        <w:gridCol w:w="109"/>
        <w:gridCol w:w="109"/>
        <w:gridCol w:w="109"/>
        <w:gridCol w:w="109"/>
        <w:gridCol w:w="109"/>
        <w:gridCol w:w="211"/>
        <w:gridCol w:w="631"/>
        <w:gridCol w:w="109"/>
        <w:gridCol w:w="109"/>
        <w:gridCol w:w="109"/>
        <w:gridCol w:w="109"/>
        <w:gridCol w:w="211"/>
        <w:gridCol w:w="616"/>
        <w:gridCol w:w="109"/>
        <w:gridCol w:w="109"/>
        <w:gridCol w:w="109"/>
        <w:gridCol w:w="109"/>
        <w:gridCol w:w="255"/>
        <w:gridCol w:w="256"/>
        <w:gridCol w:w="517"/>
        <w:gridCol w:w="109"/>
        <w:gridCol w:w="109"/>
        <w:gridCol w:w="109"/>
        <w:gridCol w:w="157"/>
      </w:tblGrid>
      <w:tr>
        <w:trPr/>
        <w:tc>
          <w:tcPr>
            <w:tcW w:w="83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Period Ended June 30</w:t>
            </w:r>
          </w:p>
        </w:tc>
        <w:tc>
          <w:tcPr>
            <w:tcW w:w="484" w:type="dxa"/>
            <w:gridSpan w:val="4"/>
            <w:tcBorders/>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18"/>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8"/>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w:t>
            </w:r>
          </w:p>
        </w:tc>
        <w:tc>
          <w:tcPr>
            <w:tcW w:w="484" w:type="dxa"/>
            <w:gridSpan w:val="4"/>
            <w:tcBorders/>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by segment</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by segment</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Retail Adjusted EBITDA margin %</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Restaurants Adjusted EBITDA margin %</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Segment Adjusted EBITDA margin %</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(1)</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Adjusted EBITDA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8"/>
              </w:rPr>
              <w:t>Total Adjusted EBITDA margin %</w:t>
            </w:r>
          </w:p>
        </w:tc>
        <w:tc>
          <w:tcPr>
            <w:tcW w:w="80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Corporate and Other includes income and expenses related to corporate functions that are not specifically attributable to either of our two reportable segments along with certain non-strategic businesses that are considered immaterial operating segment(s), as well as commercial agreements with NCR Atleos.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4885" w:type="dxa"/>
        <w:jc w:val="center"/>
        <w:tblInd w:w="0" w:type="dxa"/>
        <w:tblLayout w:type="fixed"/>
        <w:tblCellMar>
          <w:top w:w="28" w:type="dxa"/>
          <w:left w:w="28" w:type="dxa"/>
          <w:bottom w:w="28" w:type="dxa"/>
          <w:right w:w="28" w:type="dxa"/>
        </w:tblCellMar>
      </w:tblPr>
      <w:tblGrid>
        <w:gridCol w:w="124"/>
        <w:gridCol w:w="109"/>
        <w:gridCol w:w="109"/>
        <w:gridCol w:w="1154"/>
        <w:gridCol w:w="1154"/>
        <w:gridCol w:w="1156"/>
        <w:gridCol w:w="316"/>
        <w:gridCol w:w="316"/>
        <w:gridCol w:w="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NCR VOYIX CORPORATION</w:t>
              <w:br/>
              <w:t>CONSOLIDATED BALANCE SHEETS</w:t>
              <w:br/>
              <w:t>(Unaudited)</w:t>
              <w:br/>
              <w:t>(in millions, except per share amounts)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 C</w:t>
            </w:r>
          </w:p>
        </w:tc>
      </w:tr>
    </w:tbl>
    <w:tbl>
      <w:tblPr>
        <w:tblW w:w="10205" w:type="dxa"/>
        <w:jc w:val="center"/>
        <w:tblInd w:w="0" w:type="dxa"/>
        <w:tblLayout w:type="fixed"/>
        <w:tblCellMar>
          <w:top w:w="28" w:type="dxa"/>
          <w:left w:w="28" w:type="dxa"/>
          <w:bottom w:w="28" w:type="dxa"/>
          <w:right w:w="28" w:type="dxa"/>
        </w:tblCellMar>
      </w:tblPr>
      <w:tblGrid>
        <w:gridCol w:w="2997"/>
        <w:gridCol w:w="2325"/>
        <w:gridCol w:w="2343"/>
        <w:gridCol w:w="215"/>
        <w:gridCol w:w="629"/>
        <w:gridCol w:w="120"/>
        <w:gridCol w:w="109"/>
        <w:gridCol w:w="109"/>
        <w:gridCol w:w="109"/>
        <w:gridCol w:w="248"/>
        <w:gridCol w:w="705"/>
        <w:gridCol w:w="138"/>
        <w:gridCol w:w="158"/>
      </w:tblGrid>
      <w:tr>
        <w:trPr/>
        <w:tc>
          <w:tcPr>
            <w:tcW w:w="2997"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$20 and $21 as of June 30, 2026 and December 31, 2025, respectively</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cost</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3,852</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 (deficit)</w:t>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benefits liabilities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liabilities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indemnity plan liabilities</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and postemployment benefits liabilities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accruals</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of discontinued operations</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convertible preferred stock: par value $0.01 per share, 3.0 shares authorized, 0.2 shares issued and outstanding as of June 30, 2026 and December 31, 2025; redemption amount and liquidation preference of $207 as of June 30, 2026 and December 31, 2025</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 (deficit)</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NCR Voyix stockholders’ equity (deficit)</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Preferred stock: par value $0.01 per share, 100.0 shares authorized, no shares issued and outstanding as of June 30, 2026 and December 31, 2025, respectively</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Common stock: par value $0.01 per share, 500.0 shares authorized, 137.6 and 138.1 shares issued and outstanding as of June 30, 2026 and December 31, 2025, respectively</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(deficit)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NCR Voyix stockholders’ equity (deficit)</w:t>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926</w:t>
            </w: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subsidiaries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 (deficit)</w:t>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926</w:t>
            </w: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 (deficit)</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3,852</w:t>
            </w:r>
            <w:r>
              <w:rPr>
                <w:color w:val="000000"/>
              </w:rPr>
              <w:t>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6101" w:type="dxa"/>
        <w:jc w:val="center"/>
        <w:tblInd w:w="0" w:type="dxa"/>
        <w:tblLayout w:type="fixed"/>
        <w:tblCellMar>
          <w:top w:w="28" w:type="dxa"/>
          <w:left w:w="28" w:type="dxa"/>
          <w:bottom w:w="28" w:type="dxa"/>
          <w:right w:w="28" w:type="dxa"/>
        </w:tblCellMar>
      </w:tblPr>
      <w:tblGrid>
        <w:gridCol w:w="124"/>
        <w:gridCol w:w="109"/>
        <w:gridCol w:w="109"/>
        <w:gridCol w:w="1559"/>
        <w:gridCol w:w="1559"/>
        <w:gridCol w:w="1562"/>
        <w:gridCol w:w="316"/>
        <w:gridCol w:w="316"/>
        <w:gridCol w:w="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9"/>
              </w:rPr>
              <w:br/>
            </w:r>
            <w:r>
              <w:rPr>
                <w:rFonts w:ascii="Times New Roman;serif" w:hAnsi="Times New Roman;serif"/>
                <w:b/>
                <w:color w:val="000000"/>
                <w:sz w:val="19"/>
              </w:rPr>
              <w:t>NCR VOYIX CORPORATION</w:t>
              <w:br/>
              <w:t>CONSOLIDATED STATEMENTS OF CASH FLOWS</w:t>
              <w:br/>
              <w:t>(Unaudited)</w:t>
              <w:br/>
              <w:t>(in millions)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Schedule D</w:t>
            </w:r>
          </w:p>
        </w:tc>
      </w:tr>
    </w:tbl>
    <w:tbl>
      <w:tblPr>
        <w:tblW w:w="9480" w:type="dxa"/>
        <w:jc w:val="center"/>
        <w:tblInd w:w="0" w:type="dxa"/>
        <w:tblLayout w:type="fixed"/>
        <w:tblCellMar>
          <w:top w:w="28" w:type="dxa"/>
          <w:left w:w="28" w:type="dxa"/>
          <w:bottom w:w="28" w:type="dxa"/>
          <w:right w:w="28" w:type="dxa"/>
        </w:tblCellMar>
      </w:tblPr>
      <w:tblGrid>
        <w:gridCol w:w="2503"/>
        <w:gridCol w:w="2193"/>
        <w:gridCol w:w="2219"/>
        <w:gridCol w:w="201"/>
        <w:gridCol w:w="509"/>
        <w:gridCol w:w="111"/>
        <w:gridCol w:w="111"/>
        <w:gridCol w:w="111"/>
        <w:gridCol w:w="111"/>
        <w:gridCol w:w="201"/>
        <w:gridCol w:w="509"/>
        <w:gridCol w:w="111"/>
        <w:gridCol w:w="109"/>
        <w:gridCol w:w="109"/>
        <w:gridCol w:w="109"/>
        <w:gridCol w:w="109"/>
        <w:gridCol w:w="154"/>
      </w:tblGrid>
      <w:tr>
        <w:trPr/>
        <w:tc>
          <w:tcPr>
            <w:tcW w:w="2503"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9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9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915" w:type="dxa"/>
            <w:gridSpan w:val="3"/>
            <w:vMerge w:val="continue"/>
            <w:tcBorders/>
            <w:tcMar>
              <w:top w:w="0" w:type="dxa"/>
              <w:left w:w="0" w:type="dxa"/>
              <w:bottom w:w="0" w:type="dxa"/>
              <w:right w:w="0" w:type="dxa"/>
            </w:tcMar>
            <w:vAlign w:val="center"/>
          </w:tcPr>
          <w:p>
            <w:pPr>
              <w:pStyle w:val="Normal"/>
              <w:bidi w:val="0"/>
              <w:jc w:val="left"/>
              <w:rPr/>
            </w:pPr>
            <w:r>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other assets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property, plant and equipment and other assets, net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payables and accrued expenses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benefit plans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operating activities</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Collections on purchased trade receivables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Collections on non-operating receivables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investing activities</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facilities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on revolving credit facilities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 paid for Series A preferred shares dividends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on behalf of employees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for finance lease obligations</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cash equivalents, and restricted cash</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Sarah Jane Schneider</w:t>
      </w:r>
    </w:p>
    <w:p>
      <w:pPr>
        <w:pStyle w:val="TextBody"/>
        <w:bidi w:val="0"/>
        <w:spacing w:lineRule="auto" w:line="288" w:before="0" w:after="0"/>
        <w:jc w:val="left"/>
        <w:rPr>
          <w:rFonts w:ascii="Times New Roman;serif" w:hAnsi="Times New Roman;serif"/>
          <w:b w:val="false"/>
          <w:color w:val="0000FF"/>
          <w:sz w:val="22"/>
        </w:rPr>
      </w:pPr>
      <w:r>
        <w:rPr>
          <w:rFonts w:ascii="Times New Roman;serif" w:hAnsi="Times New Roman;serif"/>
          <w:b w:val="false"/>
          <w:color w:val="0000FF"/>
          <w:sz w:val="22"/>
        </w:rPr>
        <w:t>investor.relations@ncrvoyix.com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Media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Chad Biele</w:t>
      </w:r>
    </w:p>
    <w:p>
      <w:pPr>
        <w:pStyle w:val="TextBody"/>
        <w:bidi w:val="0"/>
        <w:spacing w:lineRule="auto" w:line="288" w:before="0" w:after="0"/>
        <w:jc w:val="left"/>
        <w:rPr>
          <w:rFonts w:ascii="Times New Roman;serif" w:hAnsi="Times New Roman;serif"/>
          <w:b w:val="false"/>
          <w:color w:val="0000FF"/>
          <w:sz w:val="22"/>
        </w:rPr>
      </w:pPr>
      <w:r>
        <w:rPr>
          <w:rFonts w:ascii="Times New Roman;serif" w:hAnsi="Times New Roman;serif"/>
          <w:b w:val="false"/>
          <w:color w:val="0000FF"/>
          <w:sz w:val="22"/>
        </w:rPr>
        <w:t>media.relations@ncrvoyix.com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5916</Words>
  <Characters>33224</Characters>
  <CharactersWithSpaces>38490</CharactersWithSpaces>
  <Paragraphs>1093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