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wp:posOffset>
            </wp:positionH>
            <wp:positionV relativeFrom="paragraph">
              <wp:posOffset>109855</wp:posOffset>
            </wp:positionV>
            <wp:extent cx="63474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7460" cy="8255"/>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76835</wp:posOffset>
            </wp:positionV>
            <wp:extent cx="6347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47460" cy="825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3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8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58" w:lineRule="exact"/>
        <w:rPr>
          <w:sz w:val="24"/>
          <w:szCs w:val="24"/>
          <w:color w:val="auto"/>
        </w:rPr>
      </w:pPr>
    </w:p>
    <w:p>
      <w:pPr>
        <w:ind w:left="900" w:right="2160" w:hanging="879"/>
        <w:spacing w:after="0" w:line="405" w:lineRule="auto"/>
        <w:tabs>
          <w:tab w:leader="none" w:pos="29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ind w:left="61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93" w:lineRule="exact"/>
        <w:rPr>
          <w:sz w:val="24"/>
          <w:szCs w:val="24"/>
          <w:color w:val="auto"/>
        </w:rPr>
      </w:pPr>
    </w:p>
    <w:p>
      <w:pPr>
        <w:ind w:left="300" w:right="2160" w:hanging="279"/>
        <w:spacing w:after="0" w:line="232" w:lineRule="auto"/>
        <w:tabs>
          <w:tab w:leader="none" w:pos="300" w:val="left"/>
        </w:tabs>
        <w:numPr>
          <w:ilvl w:val="0"/>
          <w:numId w:val="2"/>
        </w:numPr>
        <w:rPr>
          <w:rFonts w:ascii="Wingdings" w:cs="Wingdings" w:eastAsia="Wingdings" w:hAnsi="Wingdings"/>
          <w:sz w:val="35"/>
          <w:szCs w:val="35"/>
          <w:b w:val="1"/>
          <w:bCs w:val="1"/>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____________ to ____________</w:t>
      </w:r>
    </w:p>
    <w:p>
      <w:pPr>
        <w:spacing w:after="0" w:line="356" w:lineRule="exact"/>
        <w:rPr>
          <w:rFonts w:ascii="Wingdings" w:cs="Wingdings" w:eastAsia="Wingdings" w:hAnsi="Wingdings"/>
          <w:sz w:val="35"/>
          <w:szCs w:val="35"/>
          <w:b w:val="1"/>
          <w:bCs w:val="1"/>
          <w:color w:val="auto"/>
          <w:vertAlign w:val="subscript"/>
        </w:rPr>
      </w:pPr>
    </w:p>
    <w:p>
      <w:pPr>
        <w:ind w:left="280"/>
        <w:spacing w:after="0"/>
        <w:rPr>
          <w:rFonts w:ascii="Wingdings" w:cs="Wingdings" w:eastAsia="Wingdings" w:hAnsi="Wingdings"/>
          <w:sz w:val="35"/>
          <w:szCs w:val="35"/>
          <w:b w:val="1"/>
          <w:bCs w:val="1"/>
          <w:color w:val="auto"/>
          <w:vertAlign w:val="subscript"/>
        </w:rPr>
      </w:pPr>
      <w:r>
        <w:rPr>
          <w:rFonts w:ascii="Times New Roman" w:cs="Times New Roman" w:eastAsia="Times New Roman" w:hAnsi="Times New Roman"/>
          <w:sz w:val="17"/>
          <w:szCs w:val="17"/>
          <w:b w:val="1"/>
          <w:bCs w:val="1"/>
          <w:color w:val="auto"/>
        </w:rPr>
        <w:t>Commission File Number: 001-00395</w:t>
      </w:r>
    </w:p>
    <w:p>
      <w:pPr>
        <w:spacing w:after="0" w:line="9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NCR VOYIX CORPORATION</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44"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color w:val="auto"/>
        </w:rPr>
        <w:t>________________________</w:t>
      </w:r>
    </w:p>
    <w:p>
      <w:pPr>
        <w:sectPr>
          <w:pgSz w:w="11900" w:h="16838" w:orient="portrait"/>
          <w:cols w:equalWidth="0" w:num="1">
            <w:col w:w="11240"/>
          </w:cols>
          <w:pgMar w:left="320" w:top="221" w:right="339" w:bottom="45" w:gutter="0" w:footer="0" w:header="0"/>
        </w:sectPr>
      </w:pPr>
    </w:p>
    <w:p>
      <w:pPr>
        <w:spacing w:after="0" w:line="200" w:lineRule="exact"/>
        <w:rPr>
          <w:sz w:val="24"/>
          <w:szCs w:val="24"/>
          <w:color w:val="auto"/>
        </w:rPr>
      </w:pPr>
    </w:p>
    <w:p>
      <w:pPr>
        <w:spacing w:after="0" w:line="290"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31-0387920</w:t>
      </w:r>
    </w:p>
    <w:p>
      <w:pPr>
        <w:spacing w:after="0" w:line="8" w:lineRule="exact"/>
        <w:rPr>
          <w:sz w:val="24"/>
          <w:szCs w:val="24"/>
          <w:color w:val="auto"/>
        </w:rPr>
      </w:pPr>
    </w:p>
    <w:p>
      <w:pPr>
        <w:sectPr>
          <w:pgSz w:w="11900" w:h="16838" w:orient="portrait"/>
          <w:cols w:equalWidth="0" w:num="2">
            <w:col w:w="7340" w:space="720"/>
            <w:col w:w="3180"/>
          </w:cols>
          <w:pgMar w:left="320" w:top="221" w:right="339" w:bottom="45" w:gutter="0" w:footer="0" w:header="0"/>
          <w:type w:val="continuous"/>
        </w:sectPr>
      </w:pPr>
    </w:p>
    <w:p>
      <w:pPr>
        <w:ind w:left="20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04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74" w:lineRule="exact"/>
        <w:rPr>
          <w:sz w:val="24"/>
          <w:szCs w:val="24"/>
          <w:color w:val="auto"/>
        </w:rPr>
      </w:pPr>
    </w:p>
    <w:p>
      <w:pPr>
        <w:sectPr>
          <w:pgSz w:w="11900" w:h="16838" w:orient="portrait"/>
          <w:cols w:equalWidth="0" w:num="2">
            <w:col w:w="7220" w:space="720"/>
            <w:col w:w="3300"/>
          </w:cols>
          <w:pgMar w:left="320" w:top="221" w:right="339" w:bottom="45"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864 Spring Street NW</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Atlanta, GA 30308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p>
      <w:pPr>
        <w:sectPr>
          <w:pgSz w:w="11900" w:h="16838" w:orient="portrait"/>
          <w:cols w:equalWidth="0" w:num="1">
            <w:col w:w="11240"/>
          </w:cols>
          <w:pgMar w:left="320" w:top="221" w:right="339" w:bottom="45" w:gutter="0" w:footer="0" w:header="0"/>
          <w:type w:val="continuous"/>
        </w:sectPr>
      </w:pP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(800) 225-5627</w:t>
      </w:r>
    </w:p>
    <w:p>
      <w:pPr>
        <w:spacing w:after="0" w:line="200" w:lineRule="exact"/>
        <w:rPr>
          <w:sz w:val="24"/>
          <w:szCs w:val="24"/>
          <w:color w:val="auto"/>
        </w:rPr>
      </w:pPr>
    </w:p>
    <w:p>
      <w:pPr>
        <w:spacing w:after="0" w:line="358"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221" w:right="339" w:bottom="45" w:gutter="0" w:footer="0" w:header="0"/>
          <w:type w:val="continuous"/>
        </w:sectPr>
      </w:pPr>
    </w:p>
    <w:p>
      <w:pPr>
        <w:spacing w:after="0" w:line="29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182" w:lineRule="exact"/>
        <w:rPr>
          <w:sz w:val="24"/>
          <w:szCs w:val="24"/>
          <w:color w:val="auto"/>
        </w:rPr>
      </w:pPr>
    </w:p>
    <w:p>
      <w:pPr>
        <w:sectPr>
          <w:pgSz w:w="11900" w:h="16838" w:orient="portrait"/>
          <w:cols w:equalWidth="0" w:num="3">
            <w:col w:w="4080" w:space="720"/>
            <w:col w:w="1880" w:space="720"/>
            <w:col w:w="3840"/>
          </w:cols>
          <w:pgMar w:left="320" w:top="221" w:right="339" w:bottom="45"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VYX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168" w:lineRule="exact"/>
        <w:rPr>
          <w:sz w:val="24"/>
          <w:szCs w:val="24"/>
          <w:color w:val="auto"/>
        </w:rPr>
      </w:pPr>
    </w:p>
    <w:p>
      <w:pPr>
        <w:sectPr>
          <w:pgSz w:w="11900" w:h="16838" w:orient="portrait"/>
          <w:cols w:equalWidth="0" w:num="3">
            <w:col w:w="4580" w:space="720"/>
            <w:col w:w="2060" w:space="720"/>
            <w:col w:w="3160"/>
          </w:cols>
          <w:pgMar w:left="320" w:top="221" w:right="339" w:bottom="45" w:gutter="0" w:footer="0" w:header="0"/>
          <w:type w:val="continuous"/>
        </w:sectPr>
      </w:pPr>
    </w:p>
    <w:p>
      <w:pPr>
        <w:jc w:val="both"/>
        <w:ind w:firstLine="181"/>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3" w:lineRule="exact"/>
        <w:rPr>
          <w:sz w:val="24"/>
          <w:szCs w:val="24"/>
          <w:color w:val="auto"/>
        </w:rPr>
      </w:pPr>
    </w:p>
    <w:p>
      <w:pPr>
        <w:jc w:val="both"/>
        <w:ind w:firstLine="268"/>
        <w:spacing w:after="0" w:line="26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20"/>
        <w:spacing w:after="0" w:line="196" w:lineRule="exact"/>
        <w:tabs>
          <w:tab w:leader="none" w:pos="78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54" w:lineRule="exact"/>
        <w:rPr>
          <w:sz w:val="24"/>
          <w:szCs w:val="24"/>
          <w:color w:val="auto"/>
        </w:rPr>
      </w:pPr>
    </w:p>
    <w:p>
      <w:pPr>
        <w:jc w:val="both"/>
        <w:ind w:firstLine="257"/>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1" w:right="339" w:bottom="45"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14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192" w:lineRule="exact"/>
        <w:rPr>
          <w:sz w:val="24"/>
          <w:szCs w:val="24"/>
          <w:color w:val="auto"/>
        </w:rPr>
      </w:pPr>
    </w:p>
    <w:p>
      <w:pPr>
        <w:sectPr>
          <w:pgSz w:w="11900" w:h="16838" w:orient="portrait"/>
          <w:cols w:equalWidth="0" w:num="2">
            <w:col w:w="7980" w:space="720"/>
            <w:col w:w="2540"/>
          </w:cols>
          <w:pgMar w:left="320" w:top="221" w:right="339" w:bottom="45" w:gutter="0" w:footer="0" w:header="0"/>
          <w:type w:val="continuous"/>
        </w:sectPr>
      </w:pPr>
    </w:p>
    <w:p>
      <w:pPr>
        <w:spacing w:after="0" w:line="3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color w:val="auto"/>
        </w:rPr>
        <w:t xml:space="preserve">Non-accelerated filer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0" w:lineRule="exact"/>
        <w:rPr>
          <w:sz w:val="24"/>
          <w:szCs w:val="24"/>
          <w:color w:val="auto"/>
        </w:rPr>
      </w:pPr>
    </w:p>
    <w:p>
      <w:pPr>
        <w:sectPr>
          <w:pgSz w:w="11900" w:h="16838" w:orient="portrait"/>
          <w:cols w:equalWidth="0" w:num="2">
            <w:col w:w="7240" w:space="720"/>
            <w:col w:w="3280"/>
          </w:cols>
          <w:pgMar w:left="320" w:top="221" w:right="339" w:bottom="45" w:gutter="0" w:footer="0" w:header="0"/>
          <w:type w:val="continuous"/>
        </w:sectPr>
      </w:pPr>
    </w:p>
    <w:p>
      <w:pPr>
        <w:ind w:left="79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221" w:right="339" w:bottom="45" w:gutter="0" w:footer="0" w:header="0"/>
          <w:type w:val="continuous"/>
        </w:sectPr>
      </w:pPr>
    </w:p>
    <w:p>
      <w:pPr>
        <w:spacing w:after="0" w:line="206" w:lineRule="exact"/>
        <w:rPr>
          <w:sz w:val="24"/>
          <w:szCs w:val="24"/>
          <w:color w:val="auto"/>
        </w:rPr>
      </w:pPr>
    </w:p>
    <w:p>
      <w:pPr>
        <w:ind w:right="240" w:firstLine="173"/>
        <w:spacing w:after="0" w:line="292"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56" w:lineRule="exact"/>
        <w:rPr>
          <w:sz w:val="24"/>
          <w:szCs w:val="24"/>
          <w:color w:val="auto"/>
        </w:rPr>
      </w:pPr>
    </w:p>
    <w:p>
      <w:pPr>
        <w:ind w:left="620" w:right="1600"/>
        <w:spacing w:after="0" w:line="31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April 30, 2026, there were approximately 137,807,175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wp:posOffset>
            </wp:positionH>
            <wp:positionV relativeFrom="paragraph">
              <wp:posOffset>107315</wp:posOffset>
            </wp:positionV>
            <wp:extent cx="6347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47460" cy="8255"/>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74295</wp:posOffset>
            </wp:positionV>
            <wp:extent cx="6347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7460" cy="8255"/>
                    </a:xfrm>
                    <a:prstGeom prst="rect">
                      <a:avLst/>
                    </a:prstGeom>
                    <a:noFill/>
                  </pic:spPr>
                </pic:pic>
              </a:graphicData>
            </a:graphic>
          </wp:anchor>
        </w:drawing>
      </w:r>
    </w:p>
    <w:p>
      <w:pPr>
        <w:sectPr>
          <w:pgSz w:w="11900" w:h="16838" w:orient="portrait"/>
          <w:cols w:equalWidth="0" w:num="1">
            <w:col w:w="11240"/>
          </w:cols>
          <w:pgMar w:left="320" w:top="221" w:right="339" w:bottom="45"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290195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6"/>
              </w:rPr>
              <w:t>Description</w:t>
            </w:r>
          </w:p>
        </w:tc>
        <w:tc>
          <w:tcPr>
            <w:tcW w:w="9180" w:type="dxa"/>
            <w:vAlign w:val="bottom"/>
            <w:gridSpan w:val="14"/>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Page</w:t>
            </w:r>
          </w:p>
        </w:tc>
        <w:tc>
          <w:tcPr>
            <w:tcW w:w="0" w:type="dxa"/>
            <w:vAlign w:val="bottom"/>
          </w:tcPr>
          <w:p>
            <w:pPr>
              <w:spacing w:after="0"/>
              <w:rPr>
                <w:sz w:val="1"/>
                <w:szCs w:val="1"/>
                <w:color w:val="auto"/>
              </w:rPr>
            </w:pPr>
          </w:p>
        </w:tc>
      </w:tr>
      <w:tr>
        <w:trPr>
          <w:trHeight w:val="34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96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20" w:type="dxa"/>
            <w:vAlign w:val="bottom"/>
          </w:tcPr>
          <w:p>
            <w:pPr>
              <w:spacing w:after="0"/>
              <w:rPr>
                <w:sz w:val="24"/>
                <w:szCs w:val="24"/>
                <w:color w:val="auto"/>
              </w:rPr>
            </w:pPr>
          </w:p>
        </w:tc>
        <w:tc>
          <w:tcPr>
            <w:tcW w:w="77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(Unaudited) Three Months Ended March 31, 2026 and 2025</w:t>
            </w:r>
          </w:p>
        </w:tc>
        <w:tc>
          <w:tcPr>
            <w:tcW w:w="2180" w:type="dxa"/>
            <w:vAlign w:val="bottom"/>
            <w:gridSpan w:val="3"/>
          </w:tcPr>
          <w:p>
            <w:pPr>
              <w:spacing w:after="0"/>
              <w:rPr>
                <w:sz w:val="24"/>
                <w:szCs w:val="24"/>
                <w:color w:val="auto"/>
              </w:rPr>
            </w:pPr>
          </w:p>
        </w:tc>
        <w:tc>
          <w:tcPr>
            <w:tcW w:w="24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70"/>
              </w:rPr>
              <w:t>3</w:t>
            </w:r>
          </w:p>
        </w:tc>
        <w:tc>
          <w:tcPr>
            <w:tcW w:w="0" w:type="dxa"/>
            <w:vAlign w:val="bottom"/>
          </w:tcPr>
          <w:p>
            <w:pPr>
              <w:spacing w:after="0"/>
              <w:rPr>
                <w:sz w:val="1"/>
                <w:szCs w:val="1"/>
                <w:color w:val="auto"/>
              </w:rPr>
            </w:pPr>
          </w:p>
        </w:tc>
      </w:tr>
      <w:tr>
        <w:trPr>
          <w:trHeight w:val="343"/>
        </w:trPr>
        <w:tc>
          <w:tcPr>
            <w:tcW w:w="920" w:type="dxa"/>
            <w:vAlign w:val="bottom"/>
          </w:tcPr>
          <w:p>
            <w:pPr>
              <w:spacing w:after="0"/>
              <w:rPr>
                <w:sz w:val="24"/>
                <w:szCs w:val="24"/>
                <w:color w:val="auto"/>
              </w:rPr>
            </w:pPr>
          </w:p>
        </w:tc>
        <w:tc>
          <w:tcPr>
            <w:tcW w:w="96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(Loss) (Unaudited) Three Months Ended March 31, 2026 and 2025</w:t>
            </w:r>
          </w:p>
        </w:tc>
        <w:tc>
          <w:tcPr>
            <w:tcW w:w="34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70"/>
              </w:rPr>
              <w:t>4</w:t>
            </w:r>
          </w:p>
        </w:tc>
        <w:tc>
          <w:tcPr>
            <w:tcW w:w="0" w:type="dxa"/>
            <w:vAlign w:val="bottom"/>
          </w:tcPr>
          <w:p>
            <w:pPr>
              <w:spacing w:after="0"/>
              <w:rPr>
                <w:sz w:val="1"/>
                <w:szCs w:val="1"/>
                <w:color w:val="auto"/>
              </w:rPr>
            </w:pPr>
          </w:p>
        </w:tc>
      </w:tr>
      <w:tr>
        <w:trPr>
          <w:trHeight w:val="343"/>
        </w:trPr>
        <w:tc>
          <w:tcPr>
            <w:tcW w:w="920" w:type="dxa"/>
            <w:vAlign w:val="bottom"/>
          </w:tcPr>
          <w:p>
            <w:pPr>
              <w:spacing w:after="0"/>
              <w:rPr>
                <w:sz w:val="24"/>
                <w:szCs w:val="24"/>
                <w:color w:val="auto"/>
              </w:rPr>
            </w:pPr>
          </w:p>
        </w:tc>
        <w:tc>
          <w:tcPr>
            <w:tcW w:w="65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Condensed Consolidated Balance Sheets (Unaudited) March 31, 2026 and December 31, 2025</w:t>
            </w:r>
          </w:p>
        </w:tc>
        <w:tc>
          <w:tcPr>
            <w:tcW w:w="3420" w:type="dxa"/>
            <w:vAlign w:val="bottom"/>
            <w:gridSpan w:val="5"/>
          </w:tcPr>
          <w:p>
            <w:pPr>
              <w:spacing w:after="0"/>
              <w:rPr>
                <w:sz w:val="24"/>
                <w:szCs w:val="24"/>
                <w:color w:val="auto"/>
              </w:rPr>
            </w:pPr>
          </w:p>
        </w:tc>
        <w:tc>
          <w:tcPr>
            <w:tcW w:w="24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70"/>
              </w:rPr>
              <w:t>5</w:t>
            </w:r>
          </w:p>
        </w:tc>
        <w:tc>
          <w:tcPr>
            <w:tcW w:w="0" w:type="dxa"/>
            <w:vAlign w:val="bottom"/>
          </w:tcPr>
          <w:p>
            <w:pPr>
              <w:spacing w:after="0"/>
              <w:rPr>
                <w:sz w:val="1"/>
                <w:szCs w:val="1"/>
                <w:color w:val="auto"/>
              </w:rPr>
            </w:pPr>
          </w:p>
        </w:tc>
      </w:tr>
      <w:tr>
        <w:trPr>
          <w:trHeight w:val="343"/>
        </w:trPr>
        <w:tc>
          <w:tcPr>
            <w:tcW w:w="920" w:type="dxa"/>
            <w:vAlign w:val="bottom"/>
          </w:tcPr>
          <w:p>
            <w:pPr>
              <w:spacing w:after="0"/>
              <w:rPr>
                <w:sz w:val="24"/>
                <w:szCs w:val="24"/>
                <w:color w:val="auto"/>
              </w:rPr>
            </w:pPr>
          </w:p>
        </w:tc>
        <w:tc>
          <w:tcPr>
            <w:tcW w:w="77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 Three Months Ended March 31, 2026 and 2025</w:t>
            </w:r>
          </w:p>
        </w:tc>
        <w:tc>
          <w:tcPr>
            <w:tcW w:w="2180" w:type="dxa"/>
            <w:vAlign w:val="bottom"/>
            <w:gridSpan w:val="3"/>
          </w:tcPr>
          <w:p>
            <w:pPr>
              <w:spacing w:after="0"/>
              <w:rPr>
                <w:sz w:val="24"/>
                <w:szCs w:val="24"/>
                <w:color w:val="auto"/>
              </w:rPr>
            </w:pPr>
          </w:p>
        </w:tc>
        <w:tc>
          <w:tcPr>
            <w:tcW w:w="24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70"/>
              </w:rPr>
              <w:t>6</w:t>
            </w:r>
          </w:p>
        </w:tc>
        <w:tc>
          <w:tcPr>
            <w:tcW w:w="0" w:type="dxa"/>
            <w:vAlign w:val="bottom"/>
          </w:tcPr>
          <w:p>
            <w:pPr>
              <w:spacing w:after="0"/>
              <w:rPr>
                <w:sz w:val="1"/>
                <w:szCs w:val="1"/>
                <w:color w:val="auto"/>
              </w:rPr>
            </w:pPr>
          </w:p>
        </w:tc>
      </w:tr>
      <w:tr>
        <w:trPr>
          <w:trHeight w:val="343"/>
        </w:trPr>
        <w:tc>
          <w:tcPr>
            <w:tcW w:w="920" w:type="dxa"/>
            <w:vAlign w:val="bottom"/>
          </w:tcPr>
          <w:p>
            <w:pPr>
              <w:spacing w:after="0"/>
              <w:rPr>
                <w:sz w:val="24"/>
                <w:szCs w:val="24"/>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Stockholders’ Equity (Deficit) (Unaudited) Three Months Ended March 31, 2026 and</w:t>
            </w:r>
          </w:p>
        </w:tc>
        <w:tc>
          <w:tcPr>
            <w:tcW w:w="240" w:type="dxa"/>
            <w:vAlign w:val="bottom"/>
            <w:gridSpan w:val="2"/>
            <w:vMerge w:val="restart"/>
          </w:tcPr>
          <w:p>
            <w:pPr>
              <w:spacing w:after="0"/>
              <w:rPr>
                <w:sz w:val="24"/>
                <w:szCs w:val="2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70"/>
              </w:rPr>
              <w:t>7</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36" w:lineRule="exact"/>
              <w:rPr>
                <w:sz w:val="20"/>
                <w:szCs w:val="20"/>
                <w:color w:val="auto"/>
              </w:rPr>
            </w:pPr>
            <w:r>
              <w:rPr>
                <w:rFonts w:ascii="Times New Roman" w:cs="Times New Roman" w:eastAsia="Times New Roman" w:hAnsi="Times New Roman"/>
                <w:sz w:val="15"/>
                <w:szCs w:val="15"/>
                <w:color w:val="0000FF"/>
              </w:rPr>
              <w:t>2025</w:t>
            </w:r>
          </w:p>
        </w:tc>
        <w:tc>
          <w:tcPr>
            <w:tcW w:w="240" w:type="dxa"/>
            <w:vAlign w:val="bottom"/>
            <w:tcBorders>
              <w:top w:val="single" w:sz="8" w:color="0000FF"/>
              <w:bottom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8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0"/>
        </w:trPr>
        <w:tc>
          <w:tcPr>
            <w:tcW w:w="920" w:type="dxa"/>
            <w:vAlign w:val="bottom"/>
          </w:tcPr>
          <w:p>
            <w:pPr>
              <w:spacing w:after="0"/>
              <w:rPr>
                <w:sz w:val="24"/>
                <w:szCs w:val="24"/>
                <w:color w:val="auto"/>
              </w:rPr>
            </w:pPr>
          </w:p>
        </w:tc>
        <w:tc>
          <w:tcPr>
            <w:tcW w:w="62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3760" w:type="dxa"/>
            <w:vAlign w:val="bottom"/>
            <w:gridSpan w:val="6"/>
          </w:tcPr>
          <w:p>
            <w:pPr>
              <w:spacing w:after="0"/>
              <w:rPr>
                <w:sz w:val="24"/>
                <w:szCs w:val="24"/>
                <w:color w:val="auto"/>
              </w:rPr>
            </w:pPr>
          </w:p>
        </w:tc>
        <w:tc>
          <w:tcPr>
            <w:tcW w:w="24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70"/>
              </w:rPr>
              <w:t>8</w:t>
            </w:r>
          </w:p>
        </w:tc>
        <w:tc>
          <w:tcPr>
            <w:tcW w:w="0" w:type="dxa"/>
            <w:vAlign w:val="bottom"/>
          </w:tcPr>
          <w:p>
            <w:pPr>
              <w:spacing w:after="0"/>
              <w:rPr>
                <w:sz w:val="1"/>
                <w:szCs w:val="1"/>
                <w:color w:val="auto"/>
              </w:rPr>
            </w:pPr>
          </w:p>
        </w:tc>
      </w:tr>
      <w:tr>
        <w:trPr>
          <w:trHeight w:val="34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996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4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60" w:type="dxa"/>
            <w:vAlign w:val="bottom"/>
            <w:gridSpan w:val="3"/>
          </w:tcPr>
          <w:p>
            <w:pPr>
              <w:spacing w:after="0"/>
              <w:rPr>
                <w:sz w:val="24"/>
                <w:szCs w:val="24"/>
                <w:color w:val="auto"/>
              </w:rPr>
            </w:pPr>
          </w:p>
        </w:tc>
        <w:tc>
          <w:tcPr>
            <w:tcW w:w="3760" w:type="dxa"/>
            <w:vAlign w:val="bottom"/>
            <w:gridSpan w:val="6"/>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4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5820" w:type="dxa"/>
            <w:vAlign w:val="bottom"/>
            <w:gridSpan w:val="9"/>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7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088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920" w:type="dxa"/>
            <w:vAlign w:val="bottom"/>
          </w:tcPr>
          <w:p>
            <w:pPr>
              <w:spacing w:after="0"/>
              <w:rPr>
                <w:sz w:val="24"/>
                <w:szCs w:val="24"/>
                <w:color w:val="auto"/>
              </w:rPr>
            </w:pPr>
          </w:p>
        </w:tc>
        <w:tc>
          <w:tcPr>
            <w:tcW w:w="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6"/>
              </w:rPr>
              <w:t>Description</w:t>
            </w:r>
          </w:p>
        </w:tc>
        <w:tc>
          <w:tcPr>
            <w:tcW w:w="9180" w:type="dxa"/>
            <w:vAlign w:val="bottom"/>
            <w:gridSpan w:val="14"/>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Page</w:t>
            </w:r>
          </w:p>
        </w:tc>
        <w:tc>
          <w:tcPr>
            <w:tcW w:w="0" w:type="dxa"/>
            <w:vAlign w:val="bottom"/>
          </w:tcPr>
          <w:p>
            <w:pPr>
              <w:spacing w:after="0"/>
              <w:rPr>
                <w:sz w:val="1"/>
                <w:szCs w:val="1"/>
                <w:color w:val="auto"/>
              </w:rPr>
            </w:pPr>
          </w:p>
        </w:tc>
      </w:tr>
      <w:tr>
        <w:trPr>
          <w:trHeight w:val="34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96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20" w:type="dxa"/>
            <w:vAlign w:val="bottom"/>
            <w:tcBorders>
              <w:left w:val="single" w:sz="8" w:color="0000FF"/>
            </w:tcBorders>
            <w:gridSpan w:val="4"/>
          </w:tcPr>
          <w:p>
            <w:pPr>
              <w:spacing w:after="0" w:line="20" w:lineRule="exact"/>
              <w:rPr>
                <w:sz w:val="1"/>
                <w:szCs w:val="1"/>
                <w:color w:val="auto"/>
              </w:rPr>
            </w:pPr>
          </w:p>
        </w:tc>
        <w:tc>
          <w:tcPr>
            <w:tcW w:w="57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380" w:type="dxa"/>
            <w:vAlign w:val="bottom"/>
          </w:tcPr>
          <w:p>
            <w:pPr>
              <w:spacing w:after="0"/>
              <w:rPr>
                <w:sz w:val="24"/>
                <w:szCs w:val="24"/>
                <w:color w:val="auto"/>
              </w:rPr>
            </w:pPr>
          </w:p>
        </w:tc>
        <w:tc>
          <w:tcPr>
            <w:tcW w:w="8700" w:type="dxa"/>
            <w:vAlign w:val="bottom"/>
            <w:gridSpan w:val="12"/>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57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41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5780" w:type="dxa"/>
            <w:vAlign w:val="bottom"/>
            <w:gridSpan w:val="8"/>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920" w:type="dxa"/>
            <w:vAlign w:val="bottom"/>
            <w:tcBorders>
              <w:left w:val="single" w:sz="8" w:color="0000FF"/>
            </w:tcBorders>
            <w:gridSpan w:val="4"/>
            <w:shd w:val="clear" w:color="auto" w:fill="0000FF"/>
          </w:tcPr>
          <w:p>
            <w:pPr>
              <w:spacing w:after="0" w:line="20" w:lineRule="exact"/>
              <w:rPr>
                <w:sz w:val="1"/>
                <w:szCs w:val="1"/>
                <w:color w:val="auto"/>
              </w:rPr>
            </w:pPr>
          </w:p>
        </w:tc>
        <w:tc>
          <w:tcPr>
            <w:tcW w:w="57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41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5780" w:type="dxa"/>
            <w:vAlign w:val="bottom"/>
            <w:gridSpan w:val="8"/>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70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680" w:type="dxa"/>
            <w:vAlign w:val="bottom"/>
            <w:gridSpan w:val="4"/>
          </w:tcPr>
          <w:p>
            <w:pPr>
              <w:spacing w:after="0"/>
              <w:rPr>
                <w:sz w:val="24"/>
                <w:szCs w:val="24"/>
                <w:color w:val="auto"/>
              </w:rPr>
            </w:pPr>
          </w:p>
        </w:tc>
        <w:tc>
          <w:tcPr>
            <w:tcW w:w="8700" w:type="dxa"/>
            <w:vAlign w:val="bottom"/>
            <w:gridSpan w:val="12"/>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20" w:type="dxa"/>
            <w:vAlign w:val="bottom"/>
            <w:gridSpan w:val="1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9220" w:type="dxa"/>
            <w:vAlign w:val="bottom"/>
            <w:gridSpan w:val="15"/>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9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FINANCIAL STATEMENTS</w:t>
      </w:r>
    </w:p>
    <w:p>
      <w:pPr>
        <w:spacing w:after="0" w:line="3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16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420" w:type="dxa"/>
            <w:vAlign w:val="bottom"/>
          </w:tcPr>
          <w:p>
            <w:pPr>
              <w:spacing w:after="0"/>
              <w:rPr>
                <w:sz w:val="18"/>
                <w:szCs w:val="18"/>
                <w:color w:val="auto"/>
              </w:rPr>
            </w:pPr>
          </w:p>
        </w:tc>
        <w:tc>
          <w:tcPr>
            <w:tcW w:w="13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2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606</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0" w:type="dxa"/>
            <w:vAlign w:val="bottom"/>
          </w:tcPr>
          <w:p>
            <w:pPr>
              <w:spacing w:after="0"/>
              <w:rPr>
                <w:sz w:val="1"/>
                <w:szCs w:val="1"/>
                <w:color w:val="auto"/>
              </w:rPr>
            </w:pP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products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2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2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625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continuing operations before income taxes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continuing operations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operations, net of tax</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attributable to NCR Voyix</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6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Amounts attributable to NCR Voyix common stockholders: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continuing operations</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A convertible preferred stock dividends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Income (loss) from continuing operations attributable to NCR Voyix common stockholders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2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operations, net of tax attributable to NCR Voyix common stockholders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income (loss) attributable to NCR Voyix common stockholders</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6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Income (loss) per share attributable to NCR Voyix common stockholders: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per common share from continuing operations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(0.04)</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60" w:type="dxa"/>
            <w:vAlign w:val="bottom"/>
            <w:vMerge w:val="continue"/>
          </w:tcPr>
          <w:p>
            <w:pPr>
              <w:spacing w:after="0"/>
              <w:rPr>
                <w:sz w:val="16"/>
                <w:szCs w:val="16"/>
                <w:color w:val="auto"/>
              </w:rPr>
            </w:pPr>
          </w:p>
        </w:tc>
        <w:tc>
          <w:tcPr>
            <w:tcW w:w="420" w:type="dxa"/>
            <w:vAlign w:val="bottom"/>
            <w:tcBorders>
              <w:bottom w:val="single" w:sz="8" w:color="auto"/>
            </w:tcBorders>
          </w:tcPr>
          <w:p>
            <w:pPr>
              <w:jc w:val="right"/>
              <w:ind w:right="234"/>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(0.04)</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14"/>
              <w:spacing w:after="0" w:line="193"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(0.18)</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6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Net income (loss) per common share</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(0.06)</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(0.06)</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common shares outstanding</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6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139.0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0" w:type="dxa"/>
            <w:vAlign w:val="bottom"/>
          </w:tcPr>
          <w:p>
            <w:pPr>
              <w:spacing w:after="0"/>
              <w:rPr>
                <w:sz w:val="1"/>
                <w:szCs w:val="1"/>
                <w:color w:val="auto"/>
              </w:rPr>
            </w:pPr>
          </w:p>
        </w:tc>
      </w:tr>
      <w:tr>
        <w:trPr>
          <w:trHeight w:val="228"/>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139.0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3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(Loss) (Unaudited)</w:t>
      </w:r>
    </w:p>
    <w:p>
      <w:pPr>
        <w:spacing w:after="0" w:line="200" w:lineRule="exact"/>
        <w:rPr>
          <w:sz w:val="20"/>
          <w:szCs w:val="20"/>
          <w:color w:val="auto"/>
        </w:rPr>
      </w:pPr>
    </w:p>
    <w:p>
      <w:pPr>
        <w:spacing w:after="0" w:line="254" w:lineRule="exact"/>
        <w:rPr>
          <w:sz w:val="20"/>
          <w:szCs w:val="20"/>
          <w:color w:val="auto"/>
        </w:rPr>
      </w:pPr>
    </w:p>
    <w:tbl>
      <w:tblPr>
        <w:tblLayout w:type="fixed"/>
        <w:tblInd w:w="500" w:type="dxa"/>
        <w:tblCellMar>
          <w:top w:w="0" w:type="dxa"/>
          <w:left w:w="0" w:type="dxa"/>
          <w:bottom w:w="0" w:type="dxa"/>
          <w:right w:w="0" w:type="dxa"/>
        </w:tblCellMar>
      </w:tblPr>
      <w:tr>
        <w:trPr>
          <w:trHeight w:val="183"/>
        </w:trPr>
        <w:tc>
          <w:tcPr>
            <w:tcW w:w="7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80" w:type="dxa"/>
            <w:vAlign w:val="bottom"/>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00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0"/>
        </w:trPr>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Currency translation adjustments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Currency translation gains (loss)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3"/>
        </w:trPr>
        <w:tc>
          <w:tcPr>
            <w:tcW w:w="7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Comprehensive income (loss) attributable to NCR Voyix common stockholders</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60"/>
          </w:cols>
          <w:pgMar w:left="320" w:top="118" w:right="8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3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4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14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232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06"/>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allowances of $19 and $21 as of March 31, 2026 and December 31, 2025, respectively</w:t>
            </w:r>
          </w:p>
        </w:tc>
        <w:tc>
          <w:tcPr>
            <w:tcW w:w="24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457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159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06"/>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Restricted cash, current</w:t>
            </w:r>
          </w:p>
        </w:tc>
        <w:tc>
          <w:tcPr>
            <w:tcW w:w="24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06"/>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1,174</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199"/>
        </w:trPr>
        <w:tc>
          <w:tcPr>
            <w:tcW w:w="78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171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1,519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0" w:type="dxa"/>
            <w:vAlign w:val="bottom"/>
          </w:tcPr>
          <w:p>
            <w:pPr>
              <w:spacing w:after="0"/>
              <w:rPr>
                <w:sz w:val="1"/>
                <w:szCs w:val="1"/>
                <w:color w:val="auto"/>
              </w:rPr>
            </w:pPr>
          </w:p>
        </w:tc>
      </w:tr>
      <w:tr>
        <w:trPr>
          <w:trHeight w:val="20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Intangibles, net</w:t>
            </w:r>
          </w:p>
        </w:tc>
        <w:tc>
          <w:tcPr>
            <w:tcW w:w="24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0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pension cost</w:t>
            </w:r>
          </w:p>
        </w:tc>
        <w:tc>
          <w:tcPr>
            <w:tcW w:w="24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195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6"/>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535</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3,923</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8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371</w:t>
            </w:r>
          </w:p>
        </w:tc>
        <w:tc>
          <w:tcPr>
            <w:tcW w:w="14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Payroll and benefits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6"/>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223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Settlement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6"/>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409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9"/>
        </w:trPr>
        <w:tc>
          <w:tcPr>
            <w:tcW w:w="7840" w:type="dxa"/>
            <w:vAlign w:val="bottom"/>
            <w:tcBorders>
              <w:bottom w:val="single" w:sz="8" w:color="CCEEFF"/>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1,110</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1,100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20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and indemnity plan liabilities</w:t>
            </w:r>
          </w:p>
        </w:tc>
        <w:tc>
          <w:tcPr>
            <w:tcW w:w="24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Postretirement and postemployment benefits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accruals</w:t>
            </w:r>
          </w:p>
        </w:tc>
        <w:tc>
          <w:tcPr>
            <w:tcW w:w="24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06"/>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146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2,788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0" w:type="dxa"/>
            <w:vAlign w:val="bottom"/>
          </w:tcPr>
          <w:p>
            <w:pPr>
              <w:spacing w:after="0"/>
              <w:rPr>
                <w:sz w:val="1"/>
                <w:szCs w:val="1"/>
                <w:color w:val="auto"/>
              </w:rPr>
            </w:pPr>
          </w:p>
        </w:tc>
      </w:tr>
      <w:tr>
        <w:trPr>
          <w:trHeight w:val="18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9)</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78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w w:val="97"/>
              </w:rPr>
              <w:t>Series A convertible preferred stock: par value $0.01 per share, 3.0 shares authorized, 0.2 shares issued and outstanding as of</w:t>
            </w: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w w:val="99"/>
              </w:rPr>
              <w:t>March 31, 2026 and December 31, 2025; redemption amount and liquidation preference of $207 as of March 31, 2026 and</w:t>
            </w:r>
          </w:p>
        </w:tc>
        <w:tc>
          <w:tcPr>
            <w:tcW w:w="24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207</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0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2025</w:t>
            </w:r>
          </w:p>
        </w:tc>
        <w:tc>
          <w:tcPr>
            <w:tcW w:w="24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NCR Voyix stockholders’ equity (deficit)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340"/>
              <w:spacing w:after="0" w:line="155" w:lineRule="exact"/>
              <w:rPr>
                <w:sz w:val="20"/>
                <w:szCs w:val="20"/>
                <w:color w:val="auto"/>
              </w:rPr>
            </w:pPr>
            <w:r>
              <w:rPr>
                <w:rFonts w:ascii="Times New Roman" w:cs="Times New Roman" w:eastAsia="Times New Roman" w:hAnsi="Times New Roman"/>
                <w:sz w:val="16"/>
                <w:szCs w:val="16"/>
                <w:color w:val="auto"/>
                <w:w w:val="99"/>
              </w:rPr>
              <w:t>Preferred stock: par value $0.01 per share, 100.0 shares authorized, no shares issued and outstanding as of March 31,</w:t>
            </w:r>
          </w:p>
        </w:tc>
        <w:tc>
          <w:tcPr>
            <w:tcW w:w="240" w:type="dxa"/>
            <w:vAlign w:val="bottom"/>
          </w:tcPr>
          <w:p>
            <w:pPr>
              <w:spacing w:after="0"/>
              <w:rPr>
                <w:sz w:val="13"/>
                <w:szCs w:val="13"/>
                <w:color w:val="auto"/>
              </w:rPr>
            </w:pPr>
          </w:p>
        </w:tc>
        <w:tc>
          <w:tcPr>
            <w:tcW w:w="1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78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2026 and December 31, 2025</w:t>
            </w:r>
          </w:p>
        </w:tc>
        <w:tc>
          <w:tcPr>
            <w:tcW w:w="24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81"/>
        </w:trPr>
        <w:tc>
          <w:tcPr>
            <w:tcW w:w="7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7840" w:type="dxa"/>
            <w:vAlign w:val="bottom"/>
            <w:shd w:val="clear" w:color="auto" w:fill="CCEEFF"/>
          </w:tcPr>
          <w:p>
            <w:pPr>
              <w:ind w:left="340"/>
              <w:spacing w:after="0" w:line="158" w:lineRule="exact"/>
              <w:rPr>
                <w:sz w:val="20"/>
                <w:szCs w:val="20"/>
                <w:color w:val="auto"/>
              </w:rPr>
            </w:pPr>
            <w:r>
              <w:rPr>
                <w:rFonts w:ascii="Times New Roman" w:cs="Times New Roman" w:eastAsia="Times New Roman" w:hAnsi="Times New Roman"/>
                <w:sz w:val="16"/>
                <w:szCs w:val="16"/>
                <w:color w:val="auto"/>
                <w:w w:val="97"/>
              </w:rPr>
              <w:t>Common stock: par value $0.01 per share, 500.0 shares authorized, 138.5 and 138.1 shares issued and outstanding as of</w:t>
            </w:r>
          </w:p>
        </w:tc>
        <w:tc>
          <w:tcPr>
            <w:tcW w:w="24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March 31, 2026 and December 31, 2025, respectively</w:t>
            </w:r>
          </w:p>
        </w:tc>
        <w:tc>
          <w:tcPr>
            <w:tcW w:w="24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Paid-in capital</w:t>
            </w:r>
          </w:p>
        </w:tc>
        <w:tc>
          <w:tcPr>
            <w:tcW w:w="24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824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 (deficit)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206"/>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NCR Voyix stockholders’ equity (deficit)</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928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0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 in subsidiaries</w:t>
            </w:r>
          </w:p>
        </w:tc>
        <w:tc>
          <w:tcPr>
            <w:tcW w:w="24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 (deficit)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928</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199"/>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 (deficit)</w:t>
            </w: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3,923</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NCR Voyix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40" w:type="dxa"/>
            <w:vAlign w:val="bottom"/>
            <w:gridSpan w:val="4"/>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80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80" w:type="dxa"/>
            <w:vAlign w:val="bottom"/>
          </w:tcPr>
          <w:p>
            <w:pPr>
              <w:spacing w:after="0"/>
              <w:rPr>
                <w:sz w:val="19"/>
                <w:szCs w:val="19"/>
                <w:color w:val="auto"/>
              </w:rPr>
            </w:pPr>
          </w:p>
        </w:tc>
        <w:tc>
          <w:tcPr>
            <w:tcW w:w="3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other assets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(gain) on disposal of property, plant and equipment and other assets,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Receivables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78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Current payables and accrued expenses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Contract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78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Employee benefit plans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Collections on purchased trade receivables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Collections on non-operating receivables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 (purchase) of intangible assets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on revolving credit facilities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on revolving credit facilities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dividend paid for Series A preferred shares dividends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withholding payments on behalf of employees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Principal payments for finance lease obligations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w:t>
            </w:r>
          </w:p>
        </w:tc>
        <w:tc>
          <w:tcPr>
            <w:tcW w:w="4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243</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3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 (Deficit) (Unaudited)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NCR Voyix Stockholders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Non-Redeemable</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394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Interests in</w:t>
            </w:r>
          </w:p>
        </w:tc>
        <w:tc>
          <w:tcPr>
            <w:tcW w:w="160" w:type="dxa"/>
            <w:vAlign w:val="bottom"/>
          </w:tcPr>
          <w:p>
            <w:pPr>
              <w:spacing w:after="0"/>
              <w:rPr>
                <w:sz w:val="12"/>
                <w:szCs w:val="12"/>
                <w:color w:val="auto"/>
              </w:rPr>
            </w:pPr>
          </w:p>
        </w:tc>
        <w:tc>
          <w:tcPr>
            <w:tcW w:w="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9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948</w:t>
            </w:r>
          </w:p>
        </w:tc>
        <w:tc>
          <w:tcPr>
            <w:tcW w:w="0" w:type="dxa"/>
            <w:vAlign w:val="bottom"/>
          </w:tcPr>
          <w:p>
            <w:pPr>
              <w:spacing w:after="0"/>
              <w:rPr>
                <w:sz w:val="1"/>
                <w:szCs w:val="1"/>
                <w:color w:val="auto"/>
              </w:rPr>
            </w:pPr>
          </w:p>
        </w:tc>
      </w:tr>
      <w:tr>
        <w:trPr>
          <w:trHeight w:val="18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39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4"/>
        </w:trPr>
        <w:tc>
          <w:tcPr>
            <w:tcW w:w="39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8"/>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Employee stock purchase and stock compensation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1"/>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A convertible preferred stock dividends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8"/>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Repurchase of NCR Voyix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9"/>
        </w:trPr>
        <w:tc>
          <w:tcPr>
            <w:tcW w:w="3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NCR Voyix Stockholders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Non-Redeemable</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394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Interests in</w:t>
            </w:r>
          </w:p>
        </w:tc>
        <w:tc>
          <w:tcPr>
            <w:tcW w:w="160" w:type="dxa"/>
            <w:vAlign w:val="bottom"/>
          </w:tcPr>
          <w:p>
            <w:pPr>
              <w:spacing w:after="0"/>
              <w:rPr>
                <w:sz w:val="12"/>
                <w:szCs w:val="12"/>
                <w:color w:val="auto"/>
              </w:rPr>
            </w:pPr>
          </w:p>
        </w:tc>
        <w:tc>
          <w:tcPr>
            <w:tcW w:w="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9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931</w:t>
            </w:r>
          </w:p>
        </w:tc>
        <w:tc>
          <w:tcPr>
            <w:tcW w:w="0" w:type="dxa"/>
            <w:vAlign w:val="bottom"/>
          </w:tcPr>
          <w:p>
            <w:pPr>
              <w:spacing w:after="0"/>
              <w:rPr>
                <w:sz w:val="1"/>
                <w:szCs w:val="1"/>
                <w:color w:val="auto"/>
              </w:rPr>
            </w:pPr>
          </w:p>
        </w:tc>
      </w:tr>
      <w:tr>
        <w:trPr>
          <w:trHeight w:val="18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8"/>
        </w:trPr>
        <w:tc>
          <w:tcPr>
            <w:tcW w:w="39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4"/>
        </w:trPr>
        <w:tc>
          <w:tcPr>
            <w:tcW w:w="39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8"/>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Employee stock purchase and stock compensation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1"/>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A convertible preferred stock dividends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8"/>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Spin-Off of NCR Atleos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NCR Voyix common stock</w:t>
            </w:r>
          </w:p>
        </w:tc>
        <w:tc>
          <w:tcPr>
            <w:tcW w:w="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7"/>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1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32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Index to Financial Statements and Supplemental Data</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 Basis of Presentation and Summary of Significant Accounting Policies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2. Discontinued Operations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3. Goodwill and Purchased Intangible Assets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4. Segment Information and Concentrations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5. Debt Obligations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6. Income Taxes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7. Stock Compensation Plans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8. Employee Benefit Plans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9. Commitments and Contingencies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10. Series A Convertible Preferred Stock</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11. Earnings Per Share</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12. Derivatives and Hedging Instruments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13. Fair Value of Assets and Liabilities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14. Accumulated Other Comprehensive Income (Loss) (AOCI)</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15. Supplemental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9" w:name="page10"/>
    <w:bookmarkEnd w:id="9"/>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BASIS OF PRESENTATION AND SUMMARY OF SIGNIFICANT ACCOUNTING POLICIES</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by NCR Voyix Corporation (“NCR Voyix”, the “Company”, “we” or “us”) without audit pursuant to the rules and regulations of the U.S. Securities and Exchange Commission (“SEC”) and, in the opinion of management, include all adjustments (consisting of normal, recurring adjustments, unless otherwise disclosed) necessary for a fair statement of the condensed consolidated results of operations, financial position, and cash flows for each period presented. The consolidated results for the interim periods are not necessarily indicative of results to be expected for the full year. The 2025 year-end Condensed Consolidated Balance Sheet was derived from audited financial statements, but does not include all disclosures required by accounting principles generally accepted in the United States (GAAP). These financial statements should be read in conjunction with the Company’s Annual Report on Form 10-K for the year ended December 31, 2025.</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Spin-off of NCR Atleos </w:t>
      </w:r>
      <w:r>
        <w:rPr>
          <w:rFonts w:ascii="Times New Roman" w:cs="Times New Roman" w:eastAsia="Times New Roman" w:hAnsi="Times New Roman"/>
          <w:sz w:val="17"/>
          <w:szCs w:val="17"/>
          <w:color w:val="auto"/>
        </w:rPr>
        <w:t>On October 16, 2023, we completed the spin-off of our ATM-focused business, including our self-service banking, payments &amp; network,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telecommunications and technology businesses, into an independent publicly traded company, NCR Atleos Corporation and its consolidated subsidiaries (collectively hereinafter “NCR Atleos”). The spin-off of NCR Atleos (the “Spin-Off”) was effectuated through a pro rata distribution of all outstanding shares of NCR Atleos common stock to holders of our common stock as of the close of business on October 2, 2023 (the “record date”). We distributed one share of NCR Atleos common stock for every two common shares of our outstanding common stock as of the record date. Shareholders received cash in lieu of fractional shares of Atleos common stock. The Spin-Off is expected to qualify as a tax-free distribution for U.S. federal income tax purposes. The Company retains no ownership interest in NCR Atleos. The accounting requirements for reporting the Spin-Off of NCR Atleos as a discontinued operation were met when the separation was completed. Accordingly, the financial results for NCR Atleos are presented as net income (loss) from discontinued operations, net of tax on the Condensed Consolidated Statements of Operations. Refer to Note 2, “Discontinued Operations” for additional information.</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entered into various agreements with NCR Atleos to effectuate the Spin-Off, and to provide a framework for the relationship between the Company and NCR Atleos after the Spin-Off. Such agreements include the separation and distribution agreement, as well as the following ongoing agreements: a tax matters agreement, employee matters agreement, patent and technology cross-license agreement, trademark license and use agreement, master services agreement and various other transaction agreements. While many of the performance obligations of the Company and NCR Atleos have been satisfied or have otherwise expired, we continue to provide certain limited services to NCR Atleos and receive certain limited services from NCR Atleos pursuant to the terms of the master services agreement.</w:t>
      </w:r>
    </w:p>
    <w:p>
      <w:pPr>
        <w:spacing w:after="0" w:line="200" w:lineRule="exact"/>
        <w:rPr>
          <w:sz w:val="20"/>
          <w:szCs w:val="20"/>
          <w:color w:val="auto"/>
        </w:rPr>
      </w:pP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Sale of Digital Banking </w:t>
      </w:r>
      <w:r>
        <w:rPr>
          <w:rFonts w:ascii="Times New Roman" w:cs="Times New Roman" w:eastAsia="Times New Roman" w:hAnsi="Times New Roman"/>
          <w:sz w:val="17"/>
          <w:szCs w:val="17"/>
          <w:color w:val="auto"/>
        </w:rPr>
        <w:t>On September 30, 2024, the Company completed the sale of its Digital Banking segment businesses (the “Digital Banking Sale”) to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affiliate of The Veritas Capital Fund VIII, L.P. (the “Buyer”). The purchase price for the transaction was $2.45 billion in cash, subject to a post-closing adjustment, as well as contingent consideration of up to an additional $100 million in cash upon the achievement of a specified return on the Buyer’s invested capital at the time of any future sale. The Company records contingent consideration at fair value based on the consideration expected to be transferred, which was estimated to be zero as of March 31, 2026. The accounting requirements for reporting the Digital Banking Sale as a discontinued operation were met when the definitive agreement was signed. In connection with the Digital Banking Sale, the Company and the Buyer entered into certain agreements, including a transition services agreement, providing for the performance of certain services by the Company for the benefit of the Buyer for a period of time after the Digital Banking Sale.</w:t>
      </w:r>
    </w:p>
    <w:p>
      <w:pPr>
        <w:spacing w:after="0" w:line="200" w:lineRule="exact"/>
        <w:rPr>
          <w:sz w:val="20"/>
          <w:szCs w:val="20"/>
          <w:color w:val="auto"/>
        </w:rPr>
      </w:pPr>
    </w:p>
    <w:p>
      <w:pPr>
        <w:spacing w:after="0" w:line="210" w:lineRule="exact"/>
        <w:rPr>
          <w:sz w:val="20"/>
          <w:szCs w:val="20"/>
          <w:color w:val="auto"/>
        </w:rPr>
      </w:pPr>
    </w:p>
    <w:p>
      <w:pPr>
        <w:jc w:val="both"/>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Transition of Hardware Business to ODM Model </w:t>
      </w:r>
      <w:r>
        <w:rPr>
          <w:rFonts w:ascii="Times New Roman" w:cs="Times New Roman" w:eastAsia="Times New Roman" w:hAnsi="Times New Roman"/>
          <w:sz w:val="17"/>
          <w:szCs w:val="17"/>
          <w:color w:val="auto"/>
        </w:rPr>
        <w:t>In August 2024, the Company announced its entry into a commercial agreement with Ennoconn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(“Ennoconn”) to transition its self-checkout and point-of-sale hardware businesses to an outsourced design and manufacturing model, including the sale of certain assets relating to these businesses (the “Hardware Business Transition”). Under the terms of the agreement, Ennoconn designs, manufactures, warrants, supplies, and ships self-checkout and point-of sale hardware directly to the Company’s customers and the Company sells hardware to its customers as a sales agent for Ennoconn and continues to provide its point-of sale and self-checkout software as well as key support and maintenance services. During the three months ended March 31, 2026, the Company sold inventory to Ennoconn as part of the Hardware Business Transition and recorded a loss of $12 million in Other income (expense), net in the Condensed Consolidated Statements of Operations. Under ASC 610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20, the inventory sale resulted in the recognition of a receivable within Prepaid and other current assets in the Condensed Consolidated Balance Sheets, with subsequent cash collections reflected as investing cash inflows in the Condensed Consolidated Statements of Cash Flows. Beginning on April 1, 2026, the Company began recording commission revenue from point-of-sale and self-checkout hardware sales as an agent for Ennoconn on a net basis, excluding the costs paid to Ennoconn.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Use of Estimates </w:t>
      </w:r>
      <w:r>
        <w:rPr>
          <w:rFonts w:ascii="Times New Roman" w:cs="Times New Roman" w:eastAsia="Times New Roman" w:hAnsi="Times New Roman"/>
          <w:sz w:val="17"/>
          <w:szCs w:val="17"/>
          <w:color w:val="auto"/>
        </w:rPr>
        <w:t>The preparation of financial statements in accordance with GAAP requires management to make estimates and judgments that affect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reported amounts of assets and liabilities, the disclosure of contingent assets and liabilities at the date of the financial statements, and revenue and expenses during the period reported.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Although our estimates contemplate current and expected future conditions, as applicable, it is reasonably possible that actual conditions could differ from our expectations, which could materially affect our results of operations and financial position. In particular, a number of estimates have been and will continue to be affected by macroeconomic pressures and geopolitical challenges. The ultimate impact on our overall financial condition and operating results will depend on supply chain challenges and cost escalations including materials, interest, labor and freight, and any additional governmental and public actions taken in response. As a result, our accounting estimates and assumptions may change over time as a consequence of the effects of these external factors. Such changes could result in future impairments of goodwill, intangible assets, long-lived assets, incremental credit losses on accounts receivable and decreases in the carrying amount of our tax assets.</w:t>
      </w:r>
    </w:p>
    <w:p>
      <w:pPr>
        <w:spacing w:after="0" w:line="200" w:lineRule="exact"/>
        <w:rPr>
          <w:sz w:val="20"/>
          <w:szCs w:val="20"/>
          <w:color w:val="auto"/>
        </w:rPr>
      </w:pP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Evaluation of Subsequent Events </w:t>
      </w:r>
      <w:r>
        <w:rPr>
          <w:rFonts w:ascii="Times New Roman" w:cs="Times New Roman" w:eastAsia="Times New Roman" w:hAnsi="Times New Roman"/>
          <w:sz w:val="17"/>
          <w:szCs w:val="17"/>
          <w:color w:val="auto"/>
        </w:rPr>
        <w:t>The Company evaluated subsequent events through the date that our Condensed Consolidated Financial Statements were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issued. Other than the items discussed within the Notes to the Consolidated Financial Statements, no matters were identified that required adjustment to the Condensed Consolidated Financial Statements or additional disclosure.</w:t>
      </w:r>
    </w:p>
    <w:p>
      <w:pPr>
        <w:spacing w:after="0" w:line="18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color w:val="auto"/>
        </w:rPr>
        <w:t xml:space="preserve">Reclassifications </w:t>
      </w:r>
      <w:r>
        <w:rPr>
          <w:rFonts w:ascii="Times New Roman" w:cs="Times New Roman" w:eastAsia="Times New Roman" w:hAnsi="Times New Roman"/>
          <w:sz w:val="17"/>
          <w:szCs w:val="17"/>
          <w:color w:val="auto"/>
        </w:rPr>
        <w:t>Certain prior-period amounts have been reclassified in the accompanying Condensed Consolidated Financial Statements and Notes thereto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order to conform to the current period presentation. Reclassifications had no effect on prior year net income or stockholders’ equity.</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Cyber ransomware incident </w:t>
      </w:r>
      <w:r>
        <w:rPr>
          <w:rFonts w:ascii="Times New Roman" w:cs="Times New Roman" w:eastAsia="Times New Roman" w:hAnsi="Times New Roman"/>
          <w:sz w:val="17"/>
          <w:szCs w:val="17"/>
          <w:color w:val="auto"/>
        </w:rPr>
        <w:t>On April 13, 2023, the Company determined that a single data center outage impacting certain of its commerce customers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caused by a cyber ransomware incident. Upon such determination, the Company immediately started contacting customers, enacted its cybersecurity protocol and engaged outside experts to contain the incident and begin the recovery process. The Company concluded that this incident impacted operations for some customers only with respect to specific Aloha cloud-based services and Counterpoint. Our investigation also concluded that no financial reporting systems were impacted. As of March 31, 2026, the Company has incurred a cumulative $47 million of expenses related to the cyber ransomware incident and has recovered $37 million under our insurance policies. We are still pursuing insurance recoveries in connection with this matter. We may incur additional costs relating to this incident in the future, including expenses to respond to this matter, payment of damages or other costs to customers or others. At this time we do not believe additional costs incurred as a result of the incident will ultimately have a material adverse effect on our business, results of operations or financial condition; however, we remain subject to risks and uncertainties as a result of the incident.</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ACH Disbursements </w:t>
      </w:r>
      <w:r>
        <w:rPr>
          <w:rFonts w:ascii="Times New Roman" w:cs="Times New Roman" w:eastAsia="Times New Roman" w:hAnsi="Times New Roman"/>
          <w:sz w:val="17"/>
          <w:szCs w:val="17"/>
          <w:color w:val="auto"/>
        </w:rPr>
        <w:t>In February 2024, the Company identified fraudulent automated clearing house (“ACH”) disbursements from a Company bank account.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cumulative amount of these disbursements totaled $34 million. As of March 31, 2026, the Company has recovered approximately $16 million of fraudulent disbursements from the Company’s banks and is pursuing insurance recoveries in connection with this matter.</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Repurchases of Common Stock </w:t>
      </w:r>
      <w:r>
        <w:rPr>
          <w:rFonts w:ascii="Times New Roman" w:cs="Times New Roman" w:eastAsia="Times New Roman" w:hAnsi="Times New Roman"/>
          <w:sz w:val="17"/>
          <w:szCs w:val="17"/>
          <w:color w:val="auto"/>
        </w:rPr>
        <w:t>In May, 2025, the Board approved an amended and restated share repurchase program (the “Repurchase Program”), with no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expiration from the date of authorization, that provided for a total aggregate repurchase authority of $200 million, to repurchase shares of the Company’s common stock and Series A preferred stock. Taking into account prior repurchases under the Repurchase Program, on February 12, 2026, the Board amended the Repurchase Program to replenish and add an incremental $178 million of repurchase authority under the program, which brought the total remaining aggregate repurchase authority under the program at the time to $300 million. During the three months ended March 31, 2026, the Company repurchased $9 million of common stock under the Repurchase Program.</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Cash, Cash Equivalents, and Restricted Cash </w:t>
      </w:r>
      <w:r>
        <w:rPr>
          <w:rFonts w:ascii="Times New Roman" w:cs="Times New Roman" w:eastAsia="Times New Roman" w:hAnsi="Times New Roman"/>
          <w:sz w:val="17"/>
          <w:szCs w:val="17"/>
          <w:color w:val="auto"/>
        </w:rPr>
        <w:t>The reconciliation of cash, cash equivalents and restricted cash in the Condensed Consolidated Statements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Flows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5"/>
                <w:szCs w:val="15"/>
                <w:color w:val="auto"/>
              </w:rPr>
            </w:pPr>
          </w:p>
        </w:tc>
      </w:tr>
      <w:tr>
        <w:trPr>
          <w:trHeight w:val="23"/>
        </w:trPr>
        <w:tc>
          <w:tcPr>
            <w:tcW w:w="50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Balance Sheet Location</w:t>
            </w:r>
          </w:p>
        </w:tc>
        <w:tc>
          <w:tcPr>
            <w:tcW w:w="320" w:type="dxa"/>
            <w:vAlign w:val="bottom"/>
          </w:tcPr>
          <w:p>
            <w:pPr>
              <w:spacing w:after="0"/>
              <w:rPr>
                <w:sz w:val="18"/>
                <w:szCs w:val="18"/>
                <w:color w:val="auto"/>
              </w:rPr>
            </w:pPr>
          </w:p>
        </w:tc>
        <w:tc>
          <w:tcPr>
            <w:tcW w:w="9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06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3"/>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r>
      <w:tr>
        <w:trPr>
          <w:trHeight w:val="220"/>
        </w:trPr>
        <w:tc>
          <w:tcPr>
            <w:tcW w:w="5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 term restricted cash</w:t>
            </w:r>
          </w:p>
        </w:tc>
        <w:tc>
          <w:tcPr>
            <w:tcW w:w="3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Restricted cash, current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Long term restricted cash</w:t>
            </w:r>
          </w:p>
        </w:tc>
        <w:tc>
          <w:tcPr>
            <w:tcW w:w="3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Other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5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Cash included in settlement processing assets</w:t>
            </w:r>
          </w:p>
        </w:tc>
        <w:tc>
          <w:tcPr>
            <w:tcW w:w="344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Restricted cash, current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3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cash equivalents and restricted cash</w:t>
            </w:r>
          </w:p>
        </w:tc>
        <w:tc>
          <w:tcPr>
            <w:tcW w:w="3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246</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Supplemental Cash Flow Information </w:t>
      </w:r>
      <w:r>
        <w:rPr>
          <w:rFonts w:ascii="Times New Roman" w:cs="Times New Roman" w:eastAsia="Times New Roman" w:hAnsi="Times New Roman"/>
          <w:sz w:val="17"/>
          <w:szCs w:val="17"/>
          <w:color w:val="auto"/>
        </w:rPr>
        <w:t>During the three months ended March 31, 2026, the Company sold $101 million of inventory to Ennoconn as part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Hardware Business Transition, recorded receivables of $89 million and recorded a loss of $12 million from the sale. Cash collected on the receivables during the three months ended March 31, 2026 was $17 million and is reflected within “Collections on non-operating receivables” in the Condensed Consolidated Statements of Cash Flows.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Contract Assets and Liabilities </w:t>
      </w:r>
      <w:r>
        <w:rPr>
          <w:rFonts w:ascii="Times New Roman" w:cs="Times New Roman" w:eastAsia="Times New Roman" w:hAnsi="Times New Roman"/>
          <w:sz w:val="17"/>
          <w:szCs w:val="17"/>
          <w:color w:val="auto"/>
        </w:rPr>
        <w:t>The following table presents the net contract liability balances as of March 31, 2026 and December 31, 2025.</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Location in the Condensed</w:t>
            </w:r>
          </w:p>
        </w:tc>
        <w:tc>
          <w:tcPr>
            <w:tcW w:w="220" w:type="dxa"/>
            <w:vAlign w:val="bottom"/>
          </w:tcPr>
          <w:p>
            <w:pPr>
              <w:spacing w:after="0"/>
              <w:rPr>
                <w:sz w:val="13"/>
                <w:szCs w:val="13"/>
                <w:color w:val="auto"/>
              </w:rPr>
            </w:pP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3"/>
                <w:szCs w:val="13"/>
                <w:color w:val="auto"/>
              </w:rPr>
            </w:pPr>
          </w:p>
        </w:tc>
        <w:tc>
          <w:tcPr>
            <w:tcW w:w="14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88"/>
        </w:trPr>
        <w:tc>
          <w:tcPr>
            <w:tcW w:w="5320" w:type="dxa"/>
            <w:vAlign w:val="bottom"/>
            <w:vMerge w:val="continue"/>
          </w:tcPr>
          <w:p>
            <w:pPr>
              <w:spacing w:after="0"/>
              <w:rPr>
                <w:sz w:val="16"/>
                <w:szCs w:val="16"/>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Consolidated Balance Sheet</w:t>
            </w: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contract liabilities</w:t>
            </w: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Contract liabilities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0" w:type="dxa"/>
            <w:vAlign w:val="bottom"/>
          </w:tcPr>
          <w:p>
            <w:pPr>
              <w:spacing w:after="0"/>
              <w:rPr>
                <w:sz w:val="1"/>
                <w:szCs w:val="1"/>
                <w:color w:val="auto"/>
              </w:rPr>
            </w:pPr>
          </w:p>
        </w:tc>
      </w:tr>
      <w:tr>
        <w:trPr>
          <w:trHeight w:val="228"/>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 portion of contract liabilities</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During the three months ended March 31, 2026, the Company recognized $110 million in revenue that was included in contract liabilities as of December 31, 2025.</w:t>
      </w:r>
    </w:p>
    <w:p>
      <w:pPr>
        <w:spacing w:after="0" w:line="200" w:lineRule="exact"/>
        <w:rPr>
          <w:sz w:val="20"/>
          <w:szCs w:val="20"/>
          <w:color w:val="auto"/>
        </w:rPr>
      </w:pPr>
    </w:p>
    <w:p>
      <w:pPr>
        <w:spacing w:after="0" w:line="2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Remaining Performance Obligations </w:t>
      </w:r>
      <w:r>
        <w:rPr>
          <w:rFonts w:ascii="Times New Roman" w:cs="Times New Roman" w:eastAsia="Times New Roman" w:hAnsi="Times New Roman"/>
          <w:sz w:val="17"/>
          <w:szCs w:val="17"/>
          <w:color w:val="auto"/>
        </w:rPr>
        <w:t>Remaining performance obligations represent the revenue that has not yet been recognized, which includes deferred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revenue and non-cancellable amounts that will be invoiced and recognized in future periods. As of March 31, 2026, the aggregate amount of the remaining performance obligations was approximately $1.0 billion. The Company expects to recognize revenue on more than three-quarters of the remaining performance obligations over the next 12 months, with the remainder recognized thereafter.</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has made three elections that affect the value of remaining performance obligations described above. We do not disclose remaining performance obligations for contracts where variable consideration is directly allocated based on usage or when the original expected duration is one year or less. Additionally, we do not disclose remaining performance obligations for contracts where we recognize revenue from the satisfaction of the performance obligation in accordance with the ‘right to invoice’ practical expedient.</w:t>
      </w:r>
    </w:p>
    <w:p>
      <w:pPr>
        <w:spacing w:after="0" w:line="19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Capitalized Software </w:t>
      </w:r>
      <w:r>
        <w:rPr>
          <w:rFonts w:ascii="Times New Roman" w:cs="Times New Roman" w:eastAsia="Times New Roman" w:hAnsi="Times New Roman"/>
          <w:sz w:val="17"/>
          <w:szCs w:val="17"/>
          <w:color w:val="auto"/>
        </w:rPr>
        <w:t>Capitalized development costs for internal-use software and software that will be sold, leased or otherwise marketed were $306 million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$302 million as of March 31, 2026 and December 31, 2025, respectively, presented within Other assets on the Condensed Consolidated Balance Sheets. Capital expenditures related to capitalized software were $33 million and $31 million during the three months ended March 31, 2026 and 2025,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Pronouncements Issued But Not Yet Adopted</w:t>
      </w: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2025-11, </w:t>
      </w:r>
      <w:r>
        <w:rPr>
          <w:rFonts w:ascii="Times New Roman" w:cs="Times New Roman" w:eastAsia="Times New Roman" w:hAnsi="Times New Roman"/>
          <w:sz w:val="17"/>
          <w:szCs w:val="17"/>
          <w:i w:val="1"/>
          <w:iCs w:val="1"/>
          <w:color w:val="auto"/>
        </w:rPr>
        <w:t>Interim Reporting (Topic 270): Narrow Scope Improvements.</w:t>
      </w:r>
      <w:r>
        <w:rPr>
          <w:rFonts w:ascii="Times New Roman" w:cs="Times New Roman" w:eastAsia="Times New Roman" w:hAnsi="Times New Roman"/>
          <w:sz w:val="17"/>
          <w:szCs w:val="17"/>
          <w:color w:val="auto"/>
        </w:rPr>
        <w:t xml:space="preserve"> The update improves the guidance in Topic 270, </w:t>
      </w:r>
      <w:r>
        <w:rPr>
          <w:rFonts w:ascii="Times New Roman" w:cs="Times New Roman" w:eastAsia="Times New Roman" w:hAnsi="Times New Roman"/>
          <w:sz w:val="17"/>
          <w:szCs w:val="17"/>
          <w:i w:val="1"/>
          <w:iCs w:val="1"/>
          <w:color w:val="auto"/>
        </w:rPr>
        <w:t>Interim Reporting</w:t>
      </w:r>
      <w:r>
        <w:rPr>
          <w:rFonts w:ascii="Times New Roman" w:cs="Times New Roman" w:eastAsia="Times New Roman" w:hAnsi="Times New Roman"/>
          <w:sz w:val="17"/>
          <w:szCs w:val="17"/>
          <w:color w:val="auto"/>
        </w:rPr>
        <w:t>, by improving the navigability of the required interim disclosures and clarifying when that guidance is applicable. The amendments in ASU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2025-11 are effective for interim reporting periods within annual reporting periods beginning after December 15, 2027, with early adoption permitted. The amendments can be applied either prospectively or retrospectively to any or all prior periods presented in the financial statements. The Company is currently evaluating the impact that the adoption of this guidance may have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 - Goodwill and Other - Internal-Use Software (Topic 350): Targeted Improvements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Accounting for Internal-Use Software. </w:t>
      </w:r>
      <w:r>
        <w:rPr>
          <w:rFonts w:ascii="Times New Roman" w:cs="Times New Roman" w:eastAsia="Times New Roman" w:hAnsi="Times New Roman"/>
          <w:sz w:val="17"/>
          <w:szCs w:val="17"/>
          <w:color w:val="auto"/>
        </w:rPr>
        <w:t>This update revises the recognition guidance for internal-use software by eliminating the previous model based on software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stages and introducing a principles-based approach. Under the new guidance, capitalization begins when the Company has authorized and committed to funding the project, and it is probable that the software will be completed and used for its intended purpose. This ASU is effective for interim periods and fiscal years beginning after December 15, 2027. The amendment may be applied on a prospective, retrospective or modified retrospective basis. The Company is currently evaluating the provisions of the amendments and the impact on its future consolidated financial statements.</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 (Topic 220):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Disaggregation of Income Statement Expenses </w:t>
      </w:r>
      <w:r>
        <w:rPr>
          <w:rFonts w:ascii="Times New Roman" w:cs="Times New Roman" w:eastAsia="Times New Roman" w:hAnsi="Times New Roman"/>
          <w:sz w:val="17"/>
          <w:szCs w:val="17"/>
          <w:color w:val="auto"/>
        </w:rPr>
        <w:t>and ASU 2025-01,</w:t>
      </w:r>
      <w:r>
        <w:rPr>
          <w:rFonts w:ascii="Times New Roman" w:cs="Times New Roman" w:eastAsia="Times New Roman" w:hAnsi="Times New Roman"/>
          <w:sz w:val="17"/>
          <w:szCs w:val="17"/>
          <w:i w:val="1"/>
          <w:iCs w:val="1"/>
          <w:color w:val="auto"/>
        </w:rPr>
        <w:t xml:space="preserve"> Income Statement - Reporting Comprehensive Income - Expense Disaggregation Disclosures (Topic 220): Clarifying the Effective Date</w:t>
      </w:r>
      <w:r>
        <w:rPr>
          <w:rFonts w:ascii="Times New Roman" w:cs="Times New Roman" w:eastAsia="Times New Roman" w:hAnsi="Times New Roman"/>
          <w:sz w:val="17"/>
          <w:szCs w:val="17"/>
          <w:color w:val="auto"/>
        </w:rPr>
        <w:t>. This guidance requires additional disclosure of certain amounts included in the expense captions presented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 of Operations as well as disclosures about selling expenses. The ASU is effective on a prospective basis, with the option for retrospective application, for annual periods beginning after December 15, 2026 and interim reporting periods within annual reporting periods beginning after December 15, 2027. The Company plans to adopt ASU 2025-01 and conform to the applicable disclosure when it becomes effective for the Annual Report on Form 10-K for the year ending December 31, 2026. Other than the new disclosure requirements, the Company does not expect that the adoption of this guidance will have a significant impact on its consolidated financial statements.</w:t>
      </w: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Although there are other new accounting pronouncements issued by the FASB and not yet adopted by or effective for the Company, the Company does not believe any of these accounting pronouncements will have a material impact on its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DISCONTINUED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Spin-Off of NCR Atleos</w:t>
      </w:r>
    </w:p>
    <w:p>
      <w:pPr>
        <w:spacing w:after="0" w:line="3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October 16, 2023, the Company completed the Spin-Off of NCR Atleos into an independent publicly traded company. Refer to Note 1, “Basis of Presentation and Summary of Significant Accounting Policies” for additional information regarding the Spin-Off. The historical results of NCR Atleos have been presented as discontinued operations. The Company’s presentation of discontinued operations excludes general corporate overhead costs that did not meet the requirements to be presented as discontinued operations. As of March 31, 2025, all historical results of NCR Atleos have been presented as discontinued operations. Income (loss) from discontinued operations, net of tax, related to the Spin-Off of NCR Atleos was zero income or loss from discontinued operations for the three months ended March 31, 2025. No net cash was provided by or used in operating activities for discontinued operations related to the Spin-Off of NCR Atleos for the three months ended March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Japan Bank Technology Solutions Sale</w:t>
      </w:r>
    </w:p>
    <w:p>
      <w:pPr>
        <w:spacing w:after="0" w:line="24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On March 16, 2026, the Company signed a definitive agreement to sell its bank technology solutions business in Japan. The sale of the Japan bank technology solutions business is a continuation of the Company’s strategic shift to exit the banking industry and focus on the core retail and restaurant segments. The purchase price for the transaction is expected to be $32 million in cash, subject to a post-closing adjustment, and is expected to close by the end of 2026.</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accounting requirements for reporting the Japan bank technology solutions business sale as a discontinued operation were met when the definitive agreement was signed. Accordingly, the financial results for the Japan bank technology solutions business for the three months ended March 31, 2026 and 2025 are presented as net income (loss) from discontinued operations, net of tax on the Condensed Consolidated Statements of Operations. The Company’s presentation of discontinued operations excludes general corporate overhead costs that did not meet the requirements to be presented as discontinued operations. Income (loss) from discontinued operations, net of tax, related to the Japan bank technology solutions business was a loss from discontinued operations, net of tax of $2 million and income from discontinued operations, net of tax of $1 million for the three months ended March 31, 2026 and 2025, respectively. Net liabilities of discontinued operations related to the Japan bank technology solutions business were $2 million and $3 million as of March 31, 2026 and December 31, 2025, respectively. Net cash provided by or used in operating activities of discontinued operations related to the Japan bank technology solutions business was $1 million of net cash used in operating activities and $2 million of net cash provided by operating activities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Matters</w:t>
      </w:r>
    </w:p>
    <w:p>
      <w:pPr>
        <w:spacing w:after="0" w:line="2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costs and insurance recoveries relating to certain environmental obligations associated with discontinued operations, including those relating to the Fox River and Kalamazoo River matters, are presented in Income (loss) from discontinued operations, net of tax, in the Consolidated Statements of Operations. Income (loss) from discontinued operations, net of tax, related to environmental matters was a loss of $1 million for the three months ended March 31, 2026 and income of $3 million for the three months ended March 31, 2025. Net cash provided by or used in operating activities of discontinued operations related to environmental obligations was $6 million of net cash used in operating activities for the three months ended March 31, 2026 and $7 million of net cash used in operating activities for the three months ended March 31, 2025. Refer to Note 9, “Commitments and Contingencies” for further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GOODWILL AND PURCHASED INTANGIBLE ASSETS</w:t>
      </w:r>
    </w:p>
    <w:p>
      <w:pPr>
        <w:spacing w:after="0" w:line="24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Goodwill by Segment </w:t>
      </w:r>
      <w:r>
        <w:rPr>
          <w:rFonts w:ascii="Times New Roman" w:cs="Times New Roman" w:eastAsia="Times New Roman" w:hAnsi="Times New Roman"/>
          <w:sz w:val="17"/>
          <w:szCs w:val="17"/>
          <w:color w:val="auto"/>
        </w:rPr>
        <w:t>The carrying amounts of goodwill by segment as of March 31, 2026 and December 31, 2025 are included in the table below. Foreign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currency fluctuations are included within other adjustments.</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0"/>
                <w:szCs w:val="10"/>
                <w:color w:val="auto"/>
              </w:rPr>
            </w:pPr>
          </w:p>
        </w:tc>
        <w:tc>
          <w:tcPr>
            <w:tcW w:w="80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80" w:type="dxa"/>
            <w:vAlign w:val="bottom"/>
          </w:tcPr>
          <w:p>
            <w:pPr>
              <w:spacing w:after="0"/>
              <w:rPr>
                <w:sz w:val="10"/>
                <w:szCs w:val="10"/>
                <w:color w:val="auto"/>
              </w:rPr>
            </w:pPr>
          </w:p>
        </w:tc>
        <w:tc>
          <w:tcPr>
            <w:tcW w:w="1000" w:type="dxa"/>
            <w:vAlign w:val="bottom"/>
          </w:tcPr>
          <w:p>
            <w:pPr>
              <w:jc w:val="right"/>
              <w:ind w:right="101"/>
              <w:spacing w:after="0" w:line="12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0"/>
                <w:szCs w:val="10"/>
                <w:color w:val="auto"/>
              </w:rPr>
            </w:pPr>
          </w:p>
        </w:tc>
        <w:tc>
          <w:tcPr>
            <w:tcW w:w="76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80" w:type="dxa"/>
            <w:vAlign w:val="bottom"/>
          </w:tcPr>
          <w:p>
            <w:pPr>
              <w:spacing w:after="0"/>
              <w:rPr>
                <w:sz w:val="10"/>
                <w:szCs w:val="10"/>
                <w:color w:val="auto"/>
              </w:rPr>
            </w:pPr>
          </w:p>
        </w:tc>
        <w:tc>
          <w:tcPr>
            <w:tcW w:w="1020" w:type="dxa"/>
            <w:vAlign w:val="bottom"/>
          </w:tcPr>
          <w:p>
            <w:pPr>
              <w:jc w:val="right"/>
              <w:ind w:right="121"/>
              <w:spacing w:after="0" w:line="12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68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1,049</w:t>
            </w:r>
          </w:p>
        </w:tc>
        <w:tc>
          <w:tcPr>
            <w:tcW w:w="0" w:type="dxa"/>
            <w:vAlign w:val="bottom"/>
          </w:tcPr>
          <w:p>
            <w:pPr>
              <w:spacing w:after="0"/>
              <w:rPr>
                <w:sz w:val="1"/>
                <w:szCs w:val="1"/>
                <w:color w:val="auto"/>
              </w:rPr>
            </w:pPr>
          </w:p>
        </w:tc>
      </w:tr>
      <w:tr>
        <w:trPr>
          <w:trHeight w:val="220"/>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Restaurants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470</w:t>
            </w:r>
          </w:p>
        </w:tc>
        <w:tc>
          <w:tcPr>
            <w:tcW w:w="0" w:type="dxa"/>
            <w:vAlign w:val="bottom"/>
          </w:tcPr>
          <w:p>
            <w:pPr>
              <w:spacing w:after="0"/>
              <w:rPr>
                <w:sz w:val="1"/>
                <w:szCs w:val="1"/>
                <w:color w:val="auto"/>
              </w:rPr>
            </w:pPr>
          </w:p>
        </w:tc>
      </w:tr>
      <w:tr>
        <w:trPr>
          <w:trHeight w:val="238"/>
        </w:trPr>
        <w:tc>
          <w:tcPr>
            <w:tcW w:w="2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goodwill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1,576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1,519</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Identifiable Intangible Assets </w:t>
      </w:r>
      <w:r>
        <w:rPr>
          <w:rFonts w:ascii="Times New Roman" w:cs="Times New Roman" w:eastAsia="Times New Roman" w:hAnsi="Times New Roman"/>
          <w:sz w:val="17"/>
          <w:szCs w:val="17"/>
          <w:color w:val="auto"/>
        </w:rPr>
        <w:t>The Company’s purchased intangible assets, reported in Intangibles, net in the Condensed Consolidated Balance Sheets, were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specifically identified when acquired, and are deemed to have finite lives. The gross carrying amount and accumulated amortization for the Company’s identifiable intangible assets were as set forth in the table below.</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34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5"/>
                <w:szCs w:val="15"/>
                <w:color w:val="auto"/>
              </w:rPr>
            </w:pPr>
          </w:p>
        </w:tc>
        <w:tc>
          <w:tcPr>
            <w:tcW w:w="2640" w:type="dxa"/>
            <w:vAlign w:val="bottom"/>
            <w:gridSpan w:val="4"/>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3460" w:type="dxa"/>
            <w:vAlign w:val="bottom"/>
          </w:tcPr>
          <w:p>
            <w:pPr>
              <w:spacing w:after="0" w:line="20" w:lineRule="exact"/>
              <w:rPr>
                <w:sz w:val="1"/>
                <w:szCs w:val="1"/>
                <w:color w:val="auto"/>
              </w:rPr>
            </w:pPr>
          </w:p>
        </w:tc>
        <w:tc>
          <w:tcPr>
            <w:tcW w:w="2100" w:type="dxa"/>
            <w:vAlign w:val="bottom"/>
            <w:vMerge w:val="restart"/>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346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20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200" w:type="dxa"/>
            <w:vAlign w:val="bottom"/>
          </w:tcPr>
          <w:p>
            <w:pPr>
              <w:spacing w:after="0"/>
              <w:rPr>
                <w:sz w:val="13"/>
                <w:szCs w:val="13"/>
                <w:color w:val="auto"/>
              </w:rPr>
            </w:pPr>
          </w:p>
        </w:tc>
        <w:tc>
          <w:tcPr>
            <w:tcW w:w="120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3"/>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00" w:type="dxa"/>
            <w:vAlign w:val="bottom"/>
          </w:tcPr>
          <w:p>
            <w:pPr>
              <w:jc w:val="center"/>
              <w:ind w:left="482"/>
              <w:spacing w:after="0" w:line="143" w:lineRule="exact"/>
              <w:rPr>
                <w:sz w:val="20"/>
                <w:szCs w:val="20"/>
                <w:color w:val="auto"/>
              </w:rPr>
            </w:pPr>
            <w:r>
              <w:rPr>
                <w:rFonts w:ascii="Times New Roman" w:cs="Times New Roman" w:eastAsia="Times New Roman" w:hAnsi="Times New Roman"/>
                <w:sz w:val="14"/>
                <w:szCs w:val="14"/>
                <w:b w:val="1"/>
                <w:bCs w:val="1"/>
                <w:color w:val="auto"/>
                <w:w w:val="95"/>
              </w:rPr>
              <w:t>Period</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460" w:type="dxa"/>
            <w:vAlign w:val="bottom"/>
            <w:vMerge w:val="continue"/>
          </w:tcPr>
          <w:p>
            <w:pPr>
              <w:spacing w:after="0"/>
              <w:rPr>
                <w:sz w:val="16"/>
                <w:szCs w:val="16"/>
                <w:color w:val="auto"/>
              </w:rPr>
            </w:pPr>
          </w:p>
        </w:tc>
        <w:tc>
          <w:tcPr>
            <w:tcW w:w="210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6"/>
                <w:szCs w:val="16"/>
                <w:color w:val="auto"/>
              </w:rPr>
            </w:pP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5"/>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Identifiable intangible assets</w:t>
            </w:r>
          </w:p>
        </w:tc>
        <w:tc>
          <w:tcPr>
            <w:tcW w:w="2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Reseller &amp; customer relationships</w:t>
            </w:r>
          </w:p>
        </w:tc>
        <w:tc>
          <w:tcPr>
            <w:tcW w:w="2100" w:type="dxa"/>
            <w:vAlign w:val="bottom"/>
          </w:tcPr>
          <w:p>
            <w:pPr>
              <w:jc w:val="center"/>
              <w:ind w:left="462"/>
              <w:spacing w:after="0"/>
              <w:rPr>
                <w:sz w:val="20"/>
                <w:szCs w:val="20"/>
                <w:color w:val="auto"/>
              </w:rPr>
            </w:pPr>
            <w:r>
              <w:rPr>
                <w:rFonts w:ascii="Times New Roman" w:cs="Times New Roman" w:eastAsia="Times New Roman" w:hAnsi="Times New Roman"/>
                <w:sz w:val="17"/>
                <w:szCs w:val="17"/>
                <w:color w:val="auto"/>
              </w:rPr>
              <w:t>1 - 20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22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Intellectual property</w:t>
            </w:r>
          </w:p>
        </w:tc>
        <w:tc>
          <w:tcPr>
            <w:tcW w:w="2100" w:type="dxa"/>
            <w:vAlign w:val="bottom"/>
            <w:shd w:val="clear" w:color="auto" w:fill="CCEEFF"/>
          </w:tcPr>
          <w:p>
            <w:pPr>
              <w:jc w:val="center"/>
              <w:ind w:left="462"/>
              <w:spacing w:after="0"/>
              <w:rPr>
                <w:sz w:val="20"/>
                <w:szCs w:val="20"/>
                <w:color w:val="auto"/>
              </w:rPr>
            </w:pPr>
            <w:r>
              <w:rPr>
                <w:rFonts w:ascii="Times New Roman" w:cs="Times New Roman" w:eastAsia="Times New Roman" w:hAnsi="Times New Roman"/>
                <w:sz w:val="17"/>
                <w:szCs w:val="17"/>
                <w:color w:val="auto"/>
              </w:rPr>
              <w:t>2 - 8</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0" w:type="dxa"/>
            <w:vAlign w:val="bottom"/>
          </w:tcPr>
          <w:p>
            <w:pPr>
              <w:spacing w:after="0"/>
              <w:rPr>
                <w:sz w:val="1"/>
                <w:szCs w:val="1"/>
                <w:color w:val="auto"/>
              </w:rPr>
            </w:pPr>
          </w:p>
        </w:tc>
      </w:tr>
      <w:tr>
        <w:trPr>
          <w:trHeight w:val="220"/>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Tradenames</w:t>
            </w:r>
          </w:p>
        </w:tc>
        <w:tc>
          <w:tcPr>
            <w:tcW w:w="2100" w:type="dxa"/>
            <w:vAlign w:val="bottom"/>
            <w:tcBorders>
              <w:bottom w:val="single" w:sz="8" w:color="CCEEFF"/>
            </w:tcBorders>
          </w:tcPr>
          <w:p>
            <w:pPr>
              <w:jc w:val="center"/>
              <w:ind w:left="462"/>
              <w:spacing w:after="0"/>
              <w:rPr>
                <w:sz w:val="20"/>
                <w:szCs w:val="20"/>
                <w:color w:val="auto"/>
              </w:rPr>
            </w:pPr>
            <w:r>
              <w:rPr>
                <w:rFonts w:ascii="Times New Roman" w:cs="Times New Roman" w:eastAsia="Times New Roman" w:hAnsi="Times New Roman"/>
                <w:sz w:val="17"/>
                <w:szCs w:val="17"/>
                <w:color w:val="auto"/>
              </w:rPr>
              <w:t>1 - 10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identifiable intangible assets</w:t>
            </w:r>
          </w:p>
        </w:tc>
        <w:tc>
          <w:tcPr>
            <w:tcW w:w="2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 related to identifiable intangible assets for the following periods is: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0" w:type="dxa"/>
            <w:vAlign w:val="bottom"/>
            <w:gridSpan w:val="4"/>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62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estimated aggregate amortization expense for identifiable intangible assets for the following periods is: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2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360" w:type="dxa"/>
            <w:vAlign w:val="bottom"/>
            <w:tcBorders>
              <w:bottom w:val="single" w:sz="8" w:color="CCEEFF"/>
            </w:tcBorders>
            <w:vMerge w:val="continue"/>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6"/>
              </w:rPr>
              <w:t>Remainder of 2026</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Borders>
              <w:top w:val="single" w:sz="8" w:color="auto"/>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2029</w:t>
            </w:r>
          </w:p>
        </w:tc>
        <w:tc>
          <w:tcPr>
            <w:tcW w:w="3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2030</w:t>
            </w:r>
          </w:p>
        </w:tc>
        <w:tc>
          <w:tcPr>
            <w:tcW w:w="3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2031</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SEGMENT INFORMATION AND CONCENTRATIONS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Subsequent to the Digital Banking Sale and the Spin-Off, as described in Note 1, “Basis of Presentation and Summary of Significant Accounting Policies”,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manages and reports the following two segments:</w:t>
      </w:r>
    </w:p>
    <w:p>
      <w:pPr>
        <w:spacing w:after="0" w:line="225" w:lineRule="exact"/>
        <w:rPr>
          <w:sz w:val="20"/>
          <w:szCs w:val="20"/>
          <w:color w:val="auto"/>
        </w:rPr>
      </w:pPr>
    </w:p>
    <w:p>
      <w:pPr>
        <w:jc w:val="both"/>
        <w:ind w:left="620" w:hanging="305"/>
        <w:spacing w:after="0" w:line="264" w:lineRule="auto"/>
        <w:tabs>
          <w:tab w:leader="none" w:pos="616"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Retail </w:t>
      </w:r>
      <w:r>
        <w:rPr>
          <w:rFonts w:ascii="Times New Roman" w:cs="Times New Roman" w:eastAsia="Times New Roman" w:hAnsi="Times New Roman"/>
          <w:sz w:val="17"/>
          <w:szCs w:val="17"/>
          <w:color w:val="auto"/>
        </w:rPr>
        <w:t>- Our Retail segment primarily serves enterprise and mid-market retailers in the convenience, fuel &amp; retail; grocery, drug &amp; mass merchandise;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department &amp; specialty retail industries. Our retail solutions provide end-to-end connectivity to a customer’s operations, including, but not limited to the following operational activities, point-of-sale (“POS”), inventory management, fraud and loss prevention, loyalty and consumer engagement. Additionally, these solutions include open application program interface (“API”) connectivity to retail software platforms and applications, hardware terminals, self-service kiosks, including self-checkout (“SCO”), payment processing and merchant acquiring solutions and barcode scanners.</w:t>
      </w:r>
    </w:p>
    <w:p>
      <w:pPr>
        <w:spacing w:after="0" w:line="195" w:lineRule="exact"/>
        <w:rPr>
          <w:rFonts w:ascii="Times New Roman" w:cs="Times New Roman" w:eastAsia="Times New Roman" w:hAnsi="Times New Roman"/>
          <w:sz w:val="17"/>
          <w:szCs w:val="17"/>
          <w:i w:val="1"/>
          <w:iCs w:val="1"/>
          <w:color w:val="auto"/>
        </w:rPr>
      </w:pPr>
    </w:p>
    <w:p>
      <w:pPr>
        <w:jc w:val="both"/>
        <w:ind w:left="620" w:hanging="305"/>
        <w:spacing w:after="0" w:line="26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Restaurants </w:t>
      </w:r>
      <w:r>
        <w:rPr>
          <w:rFonts w:ascii="Times New Roman" w:cs="Times New Roman" w:eastAsia="Times New Roman" w:hAnsi="Times New Roman"/>
          <w:sz w:val="17"/>
          <w:szCs w:val="17"/>
          <w:color w:val="auto"/>
        </w:rPr>
        <w:t>- Our Restaurants segment is focused on serving restaurants and food service establishments including quick-service, table-service and fast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casual restaurants of all sizes. Our restaurant solutions include, among others, POS hardware and software solutions, payment processing and merchant acquiring services, installation, maintenance, and managed and professional services. These solutions are designed to help streamline order and transaction processing, increase consumer engagement, increase kitchen productivity and reduce operating costs.</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Corporate and Other includes income and expenses related to corporate functions that are not specifically attributable to any of our two individual reportable segments along with certain non-strategic businesses that are considered immaterial operating segment(s), as well as commercial agreements with NCR Atleos. As disclosed in Note 2, “Discontinued Operations”, the Japan bank technology solutions business sale qualified as a discontinued operation during the three months ended March 31, 2026, and all revenue and expenses historically reported within Corporate and Other are presented in net income (loss) from discontinued operations, net of tax on the Condensed Consolidated Statements of Operations for all periods presented.</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These segments represent components of the Company for which separate financial information is available that is utilized on a regular basis by the chief operating decision maker (“CODM”), the CEO. The CODM considers the budget-to-actual and forecast-to-actual variances for revenue and segment Adjusted EBITDA on a periodic basis in assessing segment performance and in allocating the Company’s resources. Adjusted EBITDA is defined as GAAP net income (loss) from continuing operations attributable to NCR Voyix plus interest expense, net; plus income tax expense (benefit); plus depreciation and amortization (excluding acquisition-related amortization of intangibles); plus stock-based compensation expense; plus pension mark-to-market adjustments and other special items, including amortization of acquisition-related intangibles, acquisition-related costs, loss (gain) on disposal of businesses, loss (gain) on extinguishment of debt, separation-related costs, cyber ransomware incident recovery costs net of insurance recoveries, fraudulent ACH disbursements costs net of recoveries, foreign currency devaluation, transformation and restructuring charges (which includes integration, severance and other exit and disposal costs), strategic initiative costs and litigation costs, among others. The special items are considered non-operational or non-recurring in nature, so are excluded from the Adjusted EBITDA metric utilized by our CODM in evaluating segment performance and are separately delineated to reconcile back to total reported GAAP net income (loss) from continuing operations attributable to the Company.</w:t>
      </w:r>
    </w:p>
    <w:p>
      <w:pPr>
        <w:spacing w:after="0" w:line="20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Assets are not allocated to segments, and thus are not included in the assessment of segment performance. Consequently, we do not disclose total assets by reportable segment. The accounting policies used to determine the results of the operating segments are the same as those utilized for the condensed consolidated financial statements as a whole. Intersegment sales and transfers are not material.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summarized financial information for the Company’s reportable segments for the three months ended March 31, 2026:</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83"/>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5"/>
                <w:szCs w:val="15"/>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tcPr>
          <w:p>
            <w:pPr>
              <w:spacing w:after="0"/>
              <w:rPr>
                <w:sz w:val="15"/>
                <w:szCs w:val="15"/>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Restaurants</w:t>
            </w:r>
          </w:p>
        </w:tc>
        <w:tc>
          <w:tcPr>
            <w:tcW w:w="380" w:type="dxa"/>
            <w:vAlign w:val="bottom"/>
          </w:tcPr>
          <w:p>
            <w:pPr>
              <w:spacing w:after="0"/>
              <w:rPr>
                <w:sz w:val="15"/>
                <w:szCs w:val="15"/>
                <w:color w:val="auto"/>
              </w:rPr>
            </w:pPr>
          </w:p>
        </w:tc>
        <w:tc>
          <w:tcPr>
            <w:tcW w:w="12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Revenue by Segment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606</w:t>
            </w:r>
          </w:p>
        </w:tc>
        <w:tc>
          <w:tcPr>
            <w:tcW w:w="0" w:type="dxa"/>
            <w:vAlign w:val="bottom"/>
          </w:tcPr>
          <w:p>
            <w:pPr>
              <w:spacing w:after="0"/>
              <w:rPr>
                <w:sz w:val="1"/>
                <w:szCs w:val="1"/>
                <w:color w:val="auto"/>
              </w:rPr>
            </w:pPr>
          </w:p>
        </w:tc>
      </w:tr>
      <w:tr>
        <w:trPr>
          <w:trHeight w:val="220"/>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606</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295</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95</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04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b w:val="1"/>
                <w:bCs w:val="1"/>
                <w:color w:val="auto"/>
              </w:rPr>
              <w:t>Other segment items</w:t>
            </w:r>
            <w:r>
              <w:rPr>
                <w:rFonts w:ascii="Times New Roman" w:cs="Times New Roman" w:eastAsia="Times New Roman" w:hAnsi="Times New Roman"/>
                <w:sz w:val="22"/>
                <w:szCs w:val="22"/>
                <w:b w:val="1"/>
                <w:bCs w:val="1"/>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Segment Adjusted EBITDA</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summarized financial information for the Company’s reportable segments for the three months ended March 31, 2025:</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83"/>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5"/>
                <w:szCs w:val="15"/>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tcPr>
          <w:p>
            <w:pPr>
              <w:spacing w:after="0"/>
              <w:rPr>
                <w:sz w:val="15"/>
                <w:szCs w:val="15"/>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Restaurants</w:t>
            </w:r>
          </w:p>
        </w:tc>
        <w:tc>
          <w:tcPr>
            <w:tcW w:w="380" w:type="dxa"/>
            <w:vAlign w:val="bottom"/>
          </w:tcPr>
          <w:p>
            <w:pPr>
              <w:spacing w:after="0"/>
              <w:rPr>
                <w:sz w:val="15"/>
                <w:szCs w:val="15"/>
                <w:color w:val="auto"/>
              </w:rPr>
            </w:pPr>
          </w:p>
        </w:tc>
        <w:tc>
          <w:tcPr>
            <w:tcW w:w="12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by Segment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0" w:type="dxa"/>
            <w:vAlign w:val="bottom"/>
          </w:tcPr>
          <w:p>
            <w:pPr>
              <w:spacing w:after="0"/>
              <w:rPr>
                <w:sz w:val="1"/>
                <w:szCs w:val="1"/>
                <w:color w:val="auto"/>
              </w:rPr>
            </w:pPr>
          </w:p>
        </w:tc>
      </w:tr>
      <w:tr>
        <w:trPr>
          <w:trHeight w:val="220"/>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04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Other segment items primarily includes selling, general and administrative expenses and research and development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Segment Adjusted EBITDA to Net income (loss) from continuing operations attributable to NCR Voyix:</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76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Segment Adjusted EBITDA</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220"/>
        </w:trPr>
        <w:tc>
          <w:tcPr>
            <w:tcW w:w="7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and other income and expenses not allocated to reportable segments</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20"/>
        </w:trPr>
        <w:tc>
          <w:tcPr>
            <w:tcW w:w="7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Acquisition-related amortization of intangibles</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0"/>
        </w:trPr>
        <w:tc>
          <w:tcPr>
            <w:tcW w:w="7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4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0"/>
        </w:trPr>
        <w:tc>
          <w:tcPr>
            <w:tcW w:w="7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20"/>
              <w:spacing w:after="0" w:line="221" w:lineRule="exact"/>
              <w:rPr>
                <w:sz w:val="20"/>
                <w:szCs w:val="20"/>
                <w:color w:val="auto"/>
              </w:rPr>
            </w:pPr>
            <w:r>
              <w:rPr>
                <w:rFonts w:ascii="Times New Roman" w:cs="Times New Roman" w:eastAsia="Times New Roman" w:hAnsi="Times New Roman"/>
                <w:sz w:val="17"/>
                <w:szCs w:val="17"/>
                <w:color w:val="auto"/>
              </w:rPr>
              <w:t>Transformation and restructuring costs</w:t>
            </w:r>
            <w:r>
              <w:rPr>
                <w:rFonts w:ascii="Times New Roman" w:cs="Times New Roman" w:eastAsia="Times New Roman" w:hAnsi="Times New Roman"/>
                <w:sz w:val="22"/>
                <w:szCs w:val="22"/>
                <w:color w:val="auto"/>
                <w:vertAlign w:val="superscript"/>
              </w:rPr>
              <w:t>(1)</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7620" w:type="dxa"/>
            <w:vAlign w:val="bottom"/>
          </w:tcPr>
          <w:p>
            <w:pPr>
              <w:ind w:left="220"/>
              <w:spacing w:after="0" w:line="221" w:lineRule="exact"/>
              <w:rPr>
                <w:sz w:val="20"/>
                <w:szCs w:val="20"/>
                <w:color w:val="auto"/>
              </w:rPr>
            </w:pPr>
            <w:r>
              <w:rPr>
                <w:rFonts w:ascii="Times New Roman" w:cs="Times New Roman" w:eastAsia="Times New Roman" w:hAnsi="Times New Roman"/>
                <w:sz w:val="17"/>
                <w:szCs w:val="17"/>
                <w:color w:val="auto"/>
              </w:rPr>
              <w:t>Strategic initiatives</w:t>
            </w:r>
            <w:r>
              <w:rPr>
                <w:rFonts w:ascii="Times New Roman" w:cs="Times New Roman" w:eastAsia="Times New Roman" w:hAnsi="Times New Roman"/>
                <w:sz w:val="22"/>
                <w:szCs w:val="22"/>
                <w:color w:val="auto"/>
                <w:vertAlign w:val="superscript"/>
              </w:rPr>
              <w:t>(2)</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20"/>
              <w:spacing w:after="0" w:line="221" w:lineRule="exact"/>
              <w:rPr>
                <w:sz w:val="20"/>
                <w:szCs w:val="20"/>
                <w:color w:val="auto"/>
              </w:rPr>
            </w:pPr>
            <w:r>
              <w:rPr>
                <w:rFonts w:ascii="Times New Roman" w:cs="Times New Roman" w:eastAsia="Times New Roman" w:hAnsi="Times New Roman"/>
                <w:sz w:val="17"/>
                <w:szCs w:val="17"/>
                <w:color w:val="auto"/>
              </w:rPr>
              <w:t>Litigation costs</w:t>
            </w:r>
            <w:r>
              <w:rPr>
                <w:rFonts w:ascii="Times New Roman" w:cs="Times New Roman" w:eastAsia="Times New Roman" w:hAnsi="Times New Roman"/>
                <w:sz w:val="22"/>
                <w:szCs w:val="22"/>
                <w:color w:val="auto"/>
                <w:vertAlign w:val="superscript"/>
              </w:rPr>
              <w:t>(3)</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from continuing operations attributable to NCR Voyix</w:t>
            </w: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Represents integration, severance, and other exit and disposal costs which are considered non-operational in nature.</w:t>
      </w:r>
    </w:p>
    <w:p>
      <w:pPr>
        <w:jc w:val="both"/>
        <w:spacing w:after="0" w:line="214" w:lineRule="auto"/>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Represents professional fees related to strategic initiatives which are considered non-operational in nature, as well as certain costs incurred related to the Hardware Business Transition.</w:t>
      </w:r>
    </w:p>
    <w:p>
      <w:pPr>
        <w:spacing w:after="0"/>
        <w:rPr>
          <w:sz w:val="20"/>
          <w:szCs w:val="20"/>
          <w:color w:val="auto"/>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Represents costs related to a certain litigation matter, net of expected indemnity recoveries from NCR Atleos, as discussed in Note 9, “Commitments and Contingencies”.</w:t>
      </w:r>
    </w:p>
    <w:p>
      <w:pPr>
        <w:spacing w:after="0" w:line="17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7"/>
          <w:szCs w:val="17"/>
          <w:color w:val="auto"/>
        </w:rPr>
        <w:t>Revenue is attributed to the geographic area to which the product is delivered or in which the service is provided. The following table presents revenue by geographic area for the Company: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62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0" w:type="dxa"/>
            <w:vAlign w:val="bottom"/>
          </w:tcPr>
          <w:p>
            <w:pPr>
              <w:spacing w:after="0"/>
              <w:rPr>
                <w:sz w:val="1"/>
                <w:szCs w:val="1"/>
                <w:color w:val="auto"/>
              </w:rPr>
            </w:pPr>
          </w:p>
        </w:tc>
      </w:tr>
      <w:tr>
        <w:trPr>
          <w:trHeight w:val="220"/>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Americas (excluding United States)</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 Middle East and Africa</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2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3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606</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recurring revenue and all other products and services revenue that is recognized at a point in time for the Company: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gridSpan w:val="4"/>
          </w:tcPr>
          <w:p>
            <w:pPr>
              <w:jc w:val="right"/>
              <w:ind w:right="81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62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Recurring revenue</w:t>
            </w:r>
            <w:r>
              <w:rPr>
                <w:rFonts w:ascii="Times New Roman" w:cs="Times New Roman" w:eastAsia="Times New Roman" w:hAnsi="Times New Roman"/>
                <w:sz w:val="22"/>
                <w:szCs w:val="22"/>
                <w:color w:val="auto"/>
                <w:vertAlign w:val="superscript"/>
              </w:rPr>
              <w:t>(1)</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419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0" w:type="dxa"/>
            <w:vAlign w:val="bottom"/>
          </w:tcPr>
          <w:p>
            <w:pPr>
              <w:spacing w:after="0"/>
              <w:rPr>
                <w:sz w:val="1"/>
                <w:szCs w:val="1"/>
                <w:color w:val="auto"/>
              </w:rPr>
            </w:pPr>
          </w:p>
        </w:tc>
      </w:tr>
      <w:tr>
        <w:trPr>
          <w:trHeight w:val="22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 other products and services</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187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0" w:type="dxa"/>
            <w:vAlign w:val="bottom"/>
          </w:tcPr>
          <w:p>
            <w:pPr>
              <w:spacing w:after="0"/>
              <w:rPr>
                <w:sz w:val="1"/>
                <w:szCs w:val="1"/>
                <w:color w:val="auto"/>
              </w:rPr>
            </w:pPr>
          </w:p>
        </w:tc>
      </w:tr>
      <w:tr>
        <w:trPr>
          <w:trHeight w:val="23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606</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540" w:hanging="225"/>
        <w:spacing w:after="0" w:line="298" w:lineRule="auto"/>
        <w:tabs>
          <w:tab w:leader="none" w:pos="450" w:val="left"/>
        </w:tabs>
        <w:numPr>
          <w:ilvl w:val="1"/>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Recurring revenue includes all revenue streams from contracts where there is a predictable revenue pattern that will occur at regular intervals with a relatively high degree of certainty. This includes hardware and software maintenance revenue, cloud revenue, payment processing revenue, and certain professional services arrangements, as well as term-based software license arrangements that include customer termination rights.</w:t>
      </w:r>
    </w:p>
    <w:p>
      <w:pPr>
        <w:spacing w:after="0" w:line="170" w:lineRule="exact"/>
        <w:rPr>
          <w:rFonts w:ascii="Times New Roman" w:cs="Times New Roman" w:eastAsia="Times New Roman" w:hAnsi="Times New Roman"/>
          <w:sz w:val="17"/>
          <w:szCs w:val="17"/>
          <w:color w:val="auto"/>
          <w:vertAlign w:val="superscript"/>
        </w:rPr>
      </w:pPr>
    </w:p>
    <w:p>
      <w:pPr>
        <w:ind w:left="180" w:hanging="176"/>
        <w:spacing w:after="0"/>
        <w:tabs>
          <w:tab w:leader="none" w:pos="18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 OBLIGATIONS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short-term borrowings and long-term debt:</w:t>
      </w:r>
    </w:p>
    <w:p>
      <w:pPr>
        <w:spacing w:after="0" w:line="136"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4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1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96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4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100" w:type="dxa"/>
            <w:vAlign w:val="bottom"/>
          </w:tcPr>
          <w:p>
            <w:pPr>
              <w:spacing w:after="0"/>
              <w:rPr>
                <w:sz w:val="10"/>
                <w:szCs w:val="10"/>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89"/>
        </w:trPr>
        <w:tc>
          <w:tcPr>
            <w:tcW w:w="44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9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0" w:type="dxa"/>
            <w:vAlign w:val="bottom"/>
          </w:tcPr>
          <w:p>
            <w:pPr>
              <w:spacing w:after="0"/>
              <w:rPr>
                <w:sz w:val="1"/>
                <w:szCs w:val="1"/>
                <w:color w:val="auto"/>
              </w:rPr>
            </w:pPr>
          </w:p>
        </w:tc>
      </w:tr>
      <w:tr>
        <w:trPr>
          <w:trHeight w:val="206"/>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Borrowings</w:t>
            </w:r>
          </w:p>
        </w:tc>
        <w:tc>
          <w:tcPr>
            <w:tcW w:w="9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20" w:type="dxa"/>
            <w:vAlign w:val="bottom"/>
            <w:tcBorders>
              <w:bottom w:val="single" w:sz="8" w:color="CCEEFF"/>
            </w:tcBorders>
          </w:tcPr>
          <w:p>
            <w:pPr>
              <w:spacing w:after="0" w:line="221" w:lineRule="exact"/>
              <w:rPr>
                <w:sz w:val="20"/>
                <w:szCs w:val="20"/>
                <w:color w:val="auto"/>
              </w:rPr>
            </w:pPr>
            <w:r>
              <w:rPr>
                <w:rFonts w:ascii="Times New Roman" w:cs="Times New Roman" w:eastAsia="Times New Roman" w:hAnsi="Times New Roman"/>
                <w:sz w:val="17"/>
                <w:szCs w:val="17"/>
                <w:color w:val="auto"/>
              </w:rPr>
              <w:t>Current portion of Senior Secured Credit Facility</w:t>
            </w:r>
            <w:r>
              <w:rPr>
                <w:rFonts w:ascii="Times New Roman" w:cs="Times New Roman" w:eastAsia="Times New Roman" w:hAnsi="Times New Roman"/>
                <w:sz w:val="22"/>
                <w:szCs w:val="22"/>
                <w:color w:val="auto"/>
                <w:vertAlign w:val="superscript"/>
              </w:rPr>
              <w:t>(1)</w:t>
            </w:r>
          </w:p>
        </w:tc>
        <w:tc>
          <w:tcPr>
            <w:tcW w:w="96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short-term borrowings</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4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Debt</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Secured Credit Facility:</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tcPr>
          <w:p>
            <w:pPr>
              <w:ind w:left="260"/>
              <w:spacing w:after="0" w:line="221" w:lineRule="exact"/>
              <w:rPr>
                <w:sz w:val="20"/>
                <w:szCs w:val="20"/>
                <w:color w:val="auto"/>
              </w:rPr>
            </w:pPr>
            <w:r>
              <w:rPr>
                <w:rFonts w:ascii="Times New Roman" w:cs="Times New Roman" w:eastAsia="Times New Roman" w:hAnsi="Times New Roman"/>
                <w:sz w:val="17"/>
                <w:szCs w:val="17"/>
                <w:color w:val="auto"/>
              </w:rPr>
              <w:t>Term loan facility</w:t>
            </w:r>
            <w:r>
              <w:rPr>
                <w:rFonts w:ascii="Times New Roman" w:cs="Times New Roman" w:eastAsia="Times New Roman" w:hAnsi="Times New Roman"/>
                <w:sz w:val="22"/>
                <w:szCs w:val="22"/>
                <w:color w:val="auto"/>
                <w:vertAlign w:val="superscript"/>
              </w:rPr>
              <w:t>(1)</w:t>
            </w: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60"/>
              <w:spacing w:after="0" w:line="221" w:lineRule="exact"/>
              <w:rPr>
                <w:sz w:val="20"/>
                <w:szCs w:val="20"/>
                <w:color w:val="auto"/>
              </w:rPr>
            </w:pPr>
            <w:r>
              <w:rPr>
                <w:rFonts w:ascii="Times New Roman" w:cs="Times New Roman" w:eastAsia="Times New Roman" w:hAnsi="Times New Roman"/>
                <w:sz w:val="17"/>
                <w:szCs w:val="17"/>
                <w:color w:val="auto"/>
              </w:rPr>
              <w:t>Revolving credit facility</w:t>
            </w:r>
            <w:r>
              <w:rPr>
                <w:rFonts w:ascii="Times New Roman" w:cs="Times New Roman" w:eastAsia="Times New Roman" w:hAnsi="Times New Roman"/>
                <w:sz w:val="22"/>
                <w:szCs w:val="22"/>
                <w:color w:val="auto"/>
                <w:vertAlign w:val="superscript"/>
              </w:rPr>
              <w:t>(1)</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Senior notes:</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5.000% Senior Notes due 2028</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5.125% Senior Notes due 2029</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403</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5.250% Senior Notes due 2030</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Deferred financing fees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long-term debt</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1,100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Interest rates are weighted-average interest rates as of March 31, 2026 and December 31, 2025.</w:t>
      </w:r>
    </w:p>
    <w:p>
      <w:pPr>
        <w:spacing w:after="0" w:line="2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Senior Secured Credit Facility </w:t>
      </w:r>
      <w:r>
        <w:rPr>
          <w:rFonts w:ascii="Times New Roman" w:cs="Times New Roman" w:eastAsia="Times New Roman" w:hAnsi="Times New Roman"/>
          <w:sz w:val="17"/>
          <w:szCs w:val="17"/>
          <w:color w:val="auto"/>
        </w:rPr>
        <w:t>On October 16, 2023, the Company entered into a senior secured credit agreement, with certain subsidiaries of the Company party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thereto as foreign borrowers, the lenders party thereto and Bank of America, N.A., as administrative agent (in such capacity, the “Administrative Agent”). This credit agreement provides for senior secured credit facilities in an aggregate principal amount of $700 million, comprised of (i) a five-year multicurrency revolving credit facility in the aggregate principal amount of $500 million (including (a) a letter of credit sub-facility in an aggregate principal amount of up to $75 million and (b) a sub-facility in an aggregate principal amount of up to $200 million for borrowings and letters of credit in certain agreed foreign currencies) (the “Revolving Credit Facility,” and the loans thereunder, the “Revolving Loans”) and (ii) a five-year term loan “A” facility in an aggregate principal amount of $200 million (the “Term Loan A Facility,” and the loans thereunder, the “Term A Loans” and, the Term Loan A Facility, together with the Revolving Credit Facility, the “Senior Secured Credit Facilities”).</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Revolving Loans bear interest based on SOFR (or an alternative reference rate for amounts denominated in a currency other than Dollars), or, at the Company’s option, in the case of amounts denominated in Dollars, at a base reference rate equal to the highest of (a) the federal funds rate plus 0.50%, (b) the rate of interest last quoted by the Administrative Agent as its “prime rate” and (c) the one-month SOFR rate plus 1.00% (the “Base Rate”), plus, as applicable, a margin ranging from 2.25% to 3.25% per annum for SOFR-based Revolving Loans and ranging from 1.25% to 2.25% per annum for Base Rate-based Revolving Loans, in each case, depending on the Company’s consolidated leverage ratio. The Revolving Credit Facility is not subject to amortization and will mature on the fifth anniversary of the Closing Date.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obligations under the Revolving Credit Facility are guaranteed by certain of the Company’s material subsidiaries (the “Guarantors”). The obligations under the Revolving Credit Facility and the above described guarantee are secured by a first priority lien and security interest in certain equity interests owned by the Company and the Guarantors in certain of their respective domestic and foreign subsidiaries, and a first priority lien and security interest in substantially all of the assets of the Company and the Guarantors, subject to certain exclusions.</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Revolving Credit Facility contains customary representations and warranties, affirmative covenants and negative covenants. The negative covenants limit the Company’s and its subsidiaries’ ability, subject to customary exceptions and permitted baskets, to, among other things, incur indebtedness, create liens on the Company’s or its subsidiaries’ assets, engage in fundamental changes, make investments, sell or otherwise dispose of assets, engage in sale-leaseback transactions, make restricted payments, repay subordinated indebtedness, engage in certain transactions with affiliates and enter into agreements restricting the ability of the Company’s subsidiaries to make distributions to the Company or incur liens on their assets.</w:t>
      </w:r>
    </w:p>
    <w:p>
      <w:pPr>
        <w:spacing w:after="0" w:line="19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Revolving Credit Facility also contains a financial covenant that does not permit the Company to allow its consolidated leverage ratio to exceed (i) in the case of any fiscal quarter ending on or following September 30, 2024 and prior to September 30, 2025, 4.50 to 1.00 and (ii) in the case of any fiscal quarter ending on or following September 30, 2025, 4.25 to 1.00, in each case subject, to (x) increases of 0.25 in connection with the consummation of any material acquisition and applicable to the fiscal quarter in which such acquisition is consummated and the three consecutive fiscal quarters thereafter, and (y) a maximum cap of 5.00 to 1.00.</w:t>
      </w:r>
    </w:p>
    <w:p>
      <w:pPr>
        <w:spacing w:after="0" w:line="200" w:lineRule="exact"/>
        <w:rPr>
          <w:sz w:val="20"/>
          <w:szCs w:val="20"/>
          <w:color w:val="auto"/>
        </w:rPr>
      </w:pP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Revolving Credit Facility also includes provisions for events of default which are customary for similar financings. Upon the occurrence of an event of default, the lenders may, among other things, terminate the loan commitments, accelerate all loans and require cash collateral deposits in respect of outstanding letters of credit. If the Company is unable to pay or repay the amounts due, the lenders could, among other things, proceed against the collateral granted to them to secure such indebtedness.</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Senior Unsecured Notes </w:t>
      </w:r>
      <w:r>
        <w:rPr>
          <w:rFonts w:ascii="Times New Roman" w:cs="Times New Roman" w:eastAsia="Times New Roman" w:hAnsi="Times New Roman"/>
          <w:sz w:val="17"/>
          <w:szCs w:val="17"/>
          <w:color w:val="auto"/>
        </w:rPr>
        <w:t>On August 20, 2020, the Company issued $650 million aggregate principal amount of 5.000% senior unsecured notes due in 2028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“5.000% Notes”) and $450 million aggregate principal amount of 5.250% senior unsecured notes due in 2030 (the “5.250% Notes”). Interest is payable on each of the 5.000% and 5.250% Notes semi-annually and in arrears on April 1 and October 1. The 5.000% and 5.250% Notes were sold at 100% of the principal amount and will mature on October 1, 2028 and October 1, 2030, respectively.</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Company has the option to redeem the 5.000% Notes, in whole or in part, at any time, at a redemption price of 101.250% and 100% during the 12-month periods commencing on October 1, 2024 and 2025 and thereafter, respectively, plus accrued and unpaid interest to the redemption date.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Prior to October 1, 2025 with respect to the 5.250% Notes, the Company could have redeemed some or all of such series of Notes by paying a redemption price equal to 100% of the principal amount of the Notes to be redeemed plus the Applicable Premium, as defined in the indenture governing the applicable series of notes, plus accrued and unpaid interest to, but excluding, the redemption date (subject to the right of holders of record of the Notes on the relevant record date to receive interest due on the relevant interest payment date).</w:t>
      </w:r>
    </w:p>
    <w:p>
      <w:pPr>
        <w:spacing w:after="0" w:line="19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has the option to redeem the 5.250% Notes, in whole or in part, at any time on or after October 1, 2025, at a redemption price of 102.625%, 101.750%, 100.875%, and 100% during the 12-month periods commencing on October 1, 2025, 2026, 2027 and 2028 and thereafter, respectively, plus accrued and unpaid interest to the redemption date.</w:t>
      </w:r>
    </w:p>
    <w:p>
      <w:pPr>
        <w:spacing w:after="0" w:line="18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On April 6, 2021, the Company issued $1.2 billion aggregate principal amount of 5.125% senior unsecured notes due 2029 (the “5.125% Notes”). Interest is payable on the 5.125% Notes semi-annually and in arrears on April 15 and October 15 of each year. The 5.125% Notes will mature on April 15, 2029.</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has the option to redeem the 5.125% Notes, in whole or in part, on or after April 15, 2024, at a redemption price of 102.563%, 101.281% and 100% during the 12-month periods commencing on or after April 15, 2024, 2025 and 2026 and thereafter, respectively, plus accrued and unpaid interest to the redemption date.</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On September 30, 2024, a portion of the proceeds from the Digital Banking Sale were used to settle the Company’s previously announced tender offers to purchase up to $1.2 billion aggregate purchase price, excluding accrued and unpaid interest, of the Company’s senior unsecured notes, subject to prioritized acceptance levels and proration. Pursuant to the terms of the tender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offers and the final settlement, the Company purchased approximately $398 million aggregate principal amount of the 5.250% Notes and $797 million aggregate principal amount of the 5.125% Notes.</w:t>
      </w:r>
    </w:p>
    <w:p>
      <w:pPr>
        <w:spacing w:after="0" w:line="173"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7"/>
          <w:szCs w:val="17"/>
          <w:color w:val="auto"/>
        </w:rPr>
        <w:t>The senior unsecured notes are the Company’s senior unsecured obligations and are jointly and severally unconditionally guaranteed on a senior unsecured basis by the Company’s domestic material subsidiaries, subject to certain limitations, that guarantee the Company’s Senior Secured Credit Facilities pursuant to supplemental indentures governing each applicable series of senior unsecured notes. The indentures governing the senior unsecured notes contain customary events of default, including, among other things, payment default, exchange default, failure to provide certain notices thereunder and certain provisions related to bankruptcy events. The indentures also include customary covenants typical of high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yield indentures, including negative covenants that, subject to customary exceptions and permitted baskets, limit the Company’s and its restricted subsidiaries’ ability to incur additional indebtedness, create liens, sell or otherwise dispose of assets, engage in certain fundamental corporate changes or changes to lines of business, make certain investments or material acquisitions, engage in sale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leaseback or hedging transactions, repurchase common stock, pay dividends or make similar distributions of capital stock, repay certain indebtedness, engage in certain affiliate transactions and enter into agreements that restrict the ability of subsidiaries to create liens, pay dividends or make loan repayments. If the senior unsecured notes are assigned an “investment grade” rating by Moody’s or S&amp;P and no default has occurred or is continuing, certain covenants will be terminated.</w:t>
      </w:r>
    </w:p>
    <w:p>
      <w:pPr>
        <w:spacing w:after="0" w:line="200" w:lineRule="exact"/>
        <w:rPr>
          <w:sz w:val="20"/>
          <w:szCs w:val="20"/>
          <w:color w:val="auto"/>
        </w:rPr>
      </w:pP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Fair Value of Debt </w:t>
      </w:r>
      <w:r>
        <w:rPr>
          <w:rFonts w:ascii="Times New Roman" w:cs="Times New Roman" w:eastAsia="Times New Roman" w:hAnsi="Times New Roman"/>
          <w:sz w:val="17"/>
          <w:szCs w:val="17"/>
          <w:color w:val="auto"/>
        </w:rPr>
        <w:t>The Company utilized Level 2 inputs, as defined in the fair value hierarchy, to measure the fair value of the long-term debt, which, as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March 31, 2026 and December 31, 2025 was $1.06 billion and $1.09 billion, respectively. Management’s fair value estimates were based on quoted prices for recent trades of the Company’s long-term debt, quoted prices for similar instruments, and inquiries with certain investment communities.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INCOME TAXES</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Income tax provisions for interim (quarterly) periods are based on an estimated annual effective income tax rate calculated separately from the effect of significant, infrequent, or unusual items. Income tax benefit from continuing operations was $39 million for the three months ended March 31, 2026, compared to income tax benefit of $7 million for the three months ended March 31, 2025. The increase in the income tax benefit was primarily driven by changes to the estimated full-year valuation allowance and withholding taxes, changes in the geographic earnings mix, and a higher loss from continuing operations before taxes for the three months ended March 31, 2026, compared to the prior year.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STOCK COMPENSATION PLANS</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of March 31, 2026, the Company’s stock-based compensation consisted of restricted stock units and employee stock purchase plan. Stock-based compensation expense for the following periods were: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62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1340" w:type="dxa"/>
            <w:vAlign w:val="bottom"/>
            <w:shd w:val="clear" w:color="auto" w:fill="CCEEFF"/>
          </w:tcPr>
          <w:p>
            <w:pPr>
              <w:jc w:val="center"/>
              <w:ind w:left="1019"/>
              <w:spacing w:after="0"/>
              <w:rPr>
                <w:sz w:val="20"/>
                <w:szCs w:val="20"/>
                <w:color w:val="auto"/>
              </w:rPr>
            </w:pPr>
            <w:r>
              <w:rPr>
                <w:rFonts w:ascii="Times New Roman" w:cs="Times New Roman" w:eastAsia="Times New Roman" w:hAnsi="Times New Roman"/>
                <w:sz w:val="17"/>
                <w:szCs w:val="17"/>
                <w:b w:val="1"/>
                <w:bCs w:val="1"/>
                <w:color w:val="auto"/>
                <w:w w:val="93"/>
              </w:rPr>
              <w:t>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1019"/>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1019"/>
              <w:spacing w:after="0"/>
              <w:rPr>
                <w:sz w:val="20"/>
                <w:szCs w:val="20"/>
                <w:color w:val="auto"/>
              </w:rPr>
            </w:pPr>
            <w:r>
              <w:rPr>
                <w:rFonts w:ascii="Times New Roman" w:cs="Times New Roman" w:eastAsia="Times New Roman" w:hAnsi="Times New Roman"/>
                <w:sz w:val="17"/>
                <w:szCs w:val="17"/>
                <w:b w:val="1"/>
                <w:bCs w:val="1"/>
                <w:color w:val="auto"/>
                <w:w w:val="93"/>
              </w:rPr>
              <w:t>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 expense (benefit)</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979"/>
              <w:spacing w:after="0"/>
              <w:rPr>
                <w:sz w:val="20"/>
                <w:szCs w:val="20"/>
                <w:color w:val="auto"/>
              </w:rPr>
            </w:pPr>
            <w:r>
              <w:rPr>
                <w:rFonts w:ascii="Times New Roman" w:cs="Times New Roman" w:eastAsia="Times New Roman" w:hAnsi="Times New Roman"/>
                <w:sz w:val="17"/>
                <w:szCs w:val="17"/>
                <w:b w:val="1"/>
                <w:bCs w:val="1"/>
                <w:color w:val="auto"/>
              </w:rPr>
              <w:t>(1)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 (net of tax)</w:t>
            </w: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1340" w:type="dxa"/>
            <w:vAlign w:val="bottom"/>
            <w:tcBorders>
              <w:bottom w:val="single" w:sz="8" w:color="auto"/>
            </w:tcBorders>
            <w:shd w:val="clear" w:color="auto" w:fill="CCEEFF"/>
          </w:tcPr>
          <w:p>
            <w:pPr>
              <w:jc w:val="center"/>
              <w:ind w:left="1019"/>
              <w:spacing w:after="0"/>
              <w:rPr>
                <w:sz w:val="20"/>
                <w:szCs w:val="20"/>
                <w:color w:val="auto"/>
              </w:rPr>
            </w:pPr>
            <w:r>
              <w:rPr>
                <w:rFonts w:ascii="Times New Roman" w:cs="Times New Roman" w:eastAsia="Times New Roman" w:hAnsi="Times New Roman"/>
                <w:sz w:val="17"/>
                <w:szCs w:val="17"/>
                <w:b w:val="1"/>
                <w:bCs w:val="1"/>
                <w:color w:val="auto"/>
                <w:w w:val="93"/>
              </w:rPr>
              <w:t>7</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Stock-based compensation expense is recognized in the Condensed Consolidated Financial Statements based upon fair value.</w:t>
      </w:r>
    </w:p>
    <w:p>
      <w:pPr>
        <w:spacing w:after="0" w:line="24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On March 2, 2026, the Company granted market-based restricted stock units vesting on March 2, 2029. The fair value of the awards was determined based on the grant date fair value and will be recognized over the requisite service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details the significant assumptions used in determining the fair value of the market-based restricted stock units granted on March 2, 2026:</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5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r>
      <w:tr>
        <w:trPr>
          <w:trHeight w:val="220"/>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5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3.46 %</w:t>
            </w:r>
          </w:p>
        </w:tc>
      </w:tr>
      <w:tr>
        <w:trPr>
          <w:trHeight w:val="22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5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44.25 %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 year U.S. Treasury yield curve in effect at the time of the grant.</w:t>
      </w:r>
    </w:p>
    <w:p>
      <w:pPr>
        <w:spacing w:after="0" w:line="18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of March 31, 2026, the total unrecognized compensation cost of $95 million related to unvested restricted stock grants is expected to be recognized over a weighted average period of approximately 2.5 years under the endpoint method. As of March 31, 2026, all stock option grants have vested.</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Employee Stock Purchase Plan </w:t>
      </w:r>
      <w:r>
        <w:rPr>
          <w:rFonts w:ascii="Times New Roman" w:cs="Times New Roman" w:eastAsia="Times New Roman" w:hAnsi="Times New Roman"/>
          <w:sz w:val="17"/>
          <w:szCs w:val="17"/>
          <w:color w:val="auto"/>
        </w:rPr>
        <w:t>The Company’s Employee Stock Purchase Plan (“ESPP”) provides employees a 15% discount on stock purchases using a three-month look-back feature where the discount is applied to the stock price that represents the lower of the Company’s closing stock price on either the first day or the last day of each calendar quarter. Participants can contribute between 1% and 10% of their compensation.</w:t>
      </w:r>
    </w:p>
    <w:p>
      <w:pPr>
        <w:spacing w:after="0" w:line="18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For the three months ended March 31, 2026, employees purchased 0.5 million shares, at a discounted price of $5.38. For the three months ended March 31, 2025, employees purchased 0.4 million shares, at a discounted price of $8.29.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EMPLOYEE BENEFIT PLANS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Employer Contributions</w:t>
      </w:r>
    </w:p>
    <w:p>
      <w:pPr>
        <w:spacing w:after="0" w:line="2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Pension </w:t>
      </w:r>
      <w:r>
        <w:rPr>
          <w:rFonts w:ascii="Times New Roman" w:cs="Times New Roman" w:eastAsia="Times New Roman" w:hAnsi="Times New Roman"/>
          <w:sz w:val="17"/>
          <w:szCs w:val="17"/>
          <w:color w:val="auto"/>
        </w:rPr>
        <w:t>For the three months ended March 31, 2026, the Company contributed $3 million to its international pension plans. The Company anticipates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contributing an additional $9 million to its international pension plans for a total of $12 million in 2026. Following the Spin-Off, NCR Atleos assumed the U.S. and certain international pension plan assets and liabilities, along with the associated deferred costs in accumulated other comprehensive loss, which were previously sponsored by the Company. Pursuant to the terms of the Spin-Off transaction documents, the Company is required to contribute 50% of the annual costs of the U.S. pension plan to NCR Atleos to the extent NCR Atleos contributes more than $40 million on an annual basis beginning with the plan year ending December 31, 2024.</w:t>
      </w:r>
    </w:p>
    <w:p>
      <w:pPr>
        <w:spacing w:after="0" w:line="200" w:lineRule="exact"/>
        <w:rPr>
          <w:sz w:val="20"/>
          <w:szCs w:val="20"/>
          <w:color w:val="auto"/>
        </w:rPr>
      </w:pPr>
    </w:p>
    <w:p>
      <w:pPr>
        <w:spacing w:after="0" w:line="20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Postemployment </w:t>
      </w:r>
      <w:r>
        <w:rPr>
          <w:rFonts w:ascii="Times New Roman" w:cs="Times New Roman" w:eastAsia="Times New Roman" w:hAnsi="Times New Roman"/>
          <w:sz w:val="17"/>
          <w:szCs w:val="17"/>
          <w:color w:val="auto"/>
        </w:rPr>
        <w:t>For the three months ended March 31, 2026, the Company contributed $11 million to its postemployment plan. The Company anticipates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contributing an additional $10 million to its postemployment plan for a total of $21 million in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COMMITMENTS AND CONTINGENCIES</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the normal course of business, the Company is subject to various proceedings, lawsuits, claims and other matters, including, for example, those that relate to the environment and health and safety, labor and employment, employee benefits, import/export compliance, patents or other intellectual property, data privacy and security, product liability, commercial disputes and regulatory compliance, among others. Additionally, the Company is subject to diverse and complex laws and regulations, including those relating to corporate governance, public disclosure and reporting, environmental safety and the discharge of materials into the environment, product safety, import and export compliance, data privacy and security, antitrust and competition, government contracting, anti-corruption, and labor and human resources, which are rapidly changing and subject to many possible changes in the future. Compliance with these laws and regulations, as well as changes in accounting standards, taxation requirements, and federal securities laws among others, may create a substantial burden on, and substantially increase costs to the Company or could have an impact on the Company’s future operating results. The Company has reflected all liabilities when a loss is considered probable and reasonably estimable in the Condensed Consolidated Financial Statements. We do not believe there is a reasonable possibility that losses exceeding amounts already recognized have been incurred, but there can be no assurances that the amounts required to satisfy alleged liabilities from such matters will not impact future operating results. Other than as stated below, the Company does not currently expect to incur material costs related to such matters. However, there can be no assurances that the actual amounts required to satisfy alleged liabilities from various lawsuits, claims, legal proceedings and other matters, including, but not limited to the Kalamazoo River environmental matter and other matters discussed above and below, and to comply with applicable laws and regulations, will not exceed the amounts reflected in the Company’s Condensed Consolidated Financial Statements or will not have a material adverse effect on our consolidated results of operations, capital expenditures, competitive position, financial condition or cash flows.</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Other Litigation </w:t>
      </w:r>
      <w:r>
        <w:rPr>
          <w:rFonts w:ascii="Times New Roman" w:cs="Times New Roman" w:eastAsia="Times New Roman" w:hAnsi="Times New Roman"/>
          <w:sz w:val="17"/>
          <w:szCs w:val="17"/>
          <w:color w:val="auto"/>
        </w:rPr>
        <w:t>In November 2015, several participants and beneficiaries in five “nonqualified” deferred compensation retirement plans sponsored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(collectively, the “Plans”) filed a putative class action lawsuit against the Company and other named defendants. The plaintiffs alleged, among other things, that the Company breached the terms of the Plan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agreements when, upon termination of the Plans, the Company paid lump sum payments based on mortality tables and actuarial calculations. In September 2017, the court certified a class.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February 6, 2024, the court entered summary judgment in favor of the plaintiffs, finding that the Company breached the terms of the Plans when it paid the lump sums in lieu of actuarially equivalent replacement life annuities and ordered that the Company provide class members the amount reflecting the difference between the lump sums they received and the cost of the replacement life annuities. The court further ordered the parties to brief as to what the appropriate relief should have been based on the benefits due to each Plan participant (the “Requested Relief Order”). On April 16, 2024, the Company filed its position on the Requested Relief Order.</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June 10, 2024, the Court ruled against the Company’s position to the Requested Relief Order, entered a final judgment against the Company, and ordered the Company to calculate the “benefits due” to the Plan participants, including pre-judgment interest, based on the sum that would have been sufficient to allow each participant to purchase a replacement annuity using discount rates prescribed by the Pension Benefit Guaranty Corporation in effect as of the February 25, 2013 termination date.</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July 2, 2024, the Company filed a notice of appeal and a $45 million supersedeas bond to stay execution pending appeal. The appellate court heard oral arguments on August 12, 2025, and on August 26, 2025, the appellate court affirmed the decision of the district court. The Company’s petition for rehearing en banc was denied. In February 2026, the matter was remanded back to the district court for further proceedings to finalize the amount owed to plaintiffs. Prior to resolution by the court, in April 2026, the parties reached a settlement to resolve all issues associated with damages owed to plan participants, interest, and attorney’s fees, for a payment of $48 million. In exchange the Company will receive a class-wide release of claims. The settlement will need to be approved by the court before it is finalized. This settlement is subject to an indemnity obligation by NCR Atleos to contribute 50% of the settlement amount. The Company also intends to seek reimbursement of the settlement amount from its insurance carriers to the extent of its coverage under applicable fiduciary liability insurance policies, however there can be no guarantee as to the extent of any insurance recovery. As of March 31, 2026, the Company has recorded an accrual of $48 million, as well as a receivable from NCR Atleos for $24 million, in connection with this matter.</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Environmental Matters </w:t>
      </w:r>
      <w:r>
        <w:rPr>
          <w:rFonts w:ascii="Times New Roman" w:cs="Times New Roman" w:eastAsia="Times New Roman" w:hAnsi="Times New Roman"/>
          <w:sz w:val="17"/>
          <w:szCs w:val="17"/>
          <w:color w:val="auto"/>
        </w:rPr>
        <w:t>The Company’s facilities and operations are subject to a wide range of environmental protection laws, and the Company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investigatory and remedial activities underway at a number of facilities that it currently owns or operates, or formerly owned or operated, to comply, or to determine compliance, with such laws. Also, the Company has been identified, either by a government agency or by a private party seeking contribution to site clean-up costs, as a potentially responsible party (“PRP”) at a number of sites pursuant to various state and federal laws, including the Federal Water Pollution Control Act, the Comprehensive Environmental Response, Compensation and Liability Act (“CERCLA”) and comparable state statutes. Following the Spin-Off, the Company retains the responsibility to manage the identified environmental liabilities and remediations, subject, however, to an indemnity obligation by NCR Atleos to contribute 50% of the costs of certain environmental liabilities after an annual $15 million funding threshold is met. Other than the Kalamazoo River and Fox River matters discussed below, we currently do not anticipate material expenses and liabilities from these environmental matters.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Fox River </w:t>
      </w:r>
      <w:r>
        <w:rPr>
          <w:rFonts w:ascii="Times New Roman" w:cs="Times New Roman" w:eastAsia="Times New Roman" w:hAnsi="Times New Roman"/>
          <w:sz w:val="17"/>
          <w:szCs w:val="17"/>
          <w:color w:val="auto"/>
        </w:rPr>
        <w:t>The Company was one of eight entities that was formally notified by governmental and other entities that it was a PRP for environmental claims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CERCLA and other statutes) arising out of the presence of polychlorinated biphenyls (“PCBs”) in sediments in the lower Fox River and in the Bay of Green Bay in Wisconsin. The Company was identified as a PRP because of alleged PCB discharges from two carbonless copy paper manufacturing facilities it previously owned, which were located along the Fox River, and carbonless copy paper “broke” the Company allegedly sold to other mills as raw material. In 2017, the Company entered into a Consent Decree with the federal and state governments for the clean-up of the Fox River, which was approved on August 22, 2017 by the federal district court in Wisconsin presiding over this matter. The Consent Decree resolved the Company’s disputes with the enforcement agencies as well as the other PRPs.</w:t>
      </w:r>
    </w:p>
    <w:p>
      <w:pPr>
        <w:spacing w:after="0" w:line="19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All litigation relating to the contribution and enforcement of remediation obligations on the Fox River has been concluded. On October 3, 2022, the Environmental Protection Agency issued the Company a Certificate of Completion certifying that all of the Company’s remedial obligations under the Consent Decree have been completed.</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cost of the Fox River remediation has been shared with three parties (a previous party, API, fully satisfied its obligations in 2016 and is now bankrupt): B.A.T. Industries p.l.c. (“BAT”) as co-obligor, and AT&amp;T Corp. (“AT&amp;T”) and Nokia (as the successor to Lucent Technologies and Alcatel-Lucent USA) as indemnitors. Under a 1998 Cost Sharing Agreement and subsequent 2005 arbitration award (collectively, the “Cost Sharing Agreement”), from 2008 through 2014, BAT paid 60% of the cost of the Fox River clean-up and natural resource damages. Pursuant to a September 30, 2014 funding agreement (the “Funding Agreement”), BAT funded 50% of the Company’s Fox River remediation costs from October 1, 2014 forward. The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Funding Agreement also provides the Company contractual avenues for a future payment of, via direct and third-party sources, (1) the difference between BAT’s 60% obligation under the Cost Sharing Agreement on the one hand and their ongoing (since September 2014) 50% payments under the Funding Agreement on the other, and (2) the difference between the amount the Company received under the Funding Agreement and the amount owed to it under the Cost Sharing Agreement for the period from April 2012 through September 2014 (collectively, the “Funding Agreement Receivable”). Pursuant to a 2015 Letter Agreement, the Company’s contractual avenue for direct payment by BAT was effectively stayed pending completion of other unrelated lawsuits by BAT against third-parties. As of March 31, 2026 and December 31, 2025, the Funding Agreement Receivable was approximately $54 million and was included in Other assets in the Consolidated Balance Sheets. The timing of collection of sums related to the receivable is uncertain and is subject and pursuant to the terms of the Funding Agreement and related agreements. This receivable is not taken into account in calculating the Company’s Fox River remaining reserve.</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under a 1996 Divestiture Agreement, the Company, AT&amp;T and Nokia have mutual several (not joint) responsibility for indemnifying each other for certain environmental matters, including the Fox River and the Kalamazoo River discussed below, after defined dollar expenditures are met. AT&amp;T and Nokia have been reimbursing the Company for certain portions of the amounts paid by the Company for the Fox River matter over the defined threshold for Fox River subject to certain offsets for insurance recoveries and net tax benefits (the “Divestiture Agreement Offsets”), if any. The Divestiture Agreement governs certain aspects of AT&amp;T’s divestiture of the Company and of what was then known as Lucent Technologies. Those companies have generally made the payments requested of them by the Company on an ongoing basis. The Company, AT&amp;T and Nokia are currently discussing a final reconciliation of the Divestiture Agreement Offsets, but the timing for a final reconciliation is uncertain.</w:t>
      </w: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final reconciliation of the Funding Agreement Receivable and the Divestiture Agreement Offsets could result in additional expenditures and liabilities for the Company that could be material. As of March 31, 2026, we have no remaining liability for environmental remedial obligations for the Fox River matter. As of March 31, 2026 and December 31, 2025, the liability subject to final reconciliation with indemnitors under the Divestiture Agreement was approximately $23 million.</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Kalamazoo River </w:t>
      </w:r>
      <w:r>
        <w:rPr>
          <w:rFonts w:ascii="Times New Roman" w:cs="Times New Roman" w:eastAsia="Times New Roman" w:hAnsi="Times New Roman"/>
          <w:sz w:val="17"/>
          <w:szCs w:val="17"/>
          <w:color w:val="auto"/>
        </w:rPr>
        <w:t>In November 2010, The United States Environmental Protection Agency (“USEPA”) issued a “general notice letter” to the Company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 to the Allied Paper, Inc./Portage Creek/Kalamazoo River Superfund Site (“Kalamazoo River site”) in Michigan. USEPA asserted that the site is contaminated by various substances, primarily PCBs, as a result of discharges by various paper mills located along the river. USEPA did not claim that the Company made direct discharges into the Kalamazoo River, and the Company never had facilities at or near the Kalamazoo River site, but USEPA indicated that “NCR may be liable under Section 107 of CERCLA ... as an arranger, who by contract or agreement, arranged for the disposal, treatment and/or transportation of hazardous substances at the Site.” USEPA stated that it “may issue special notice letters to [NCR] and other PRPs for future RI/FS [remedial investigation / feasibility studies] and RD/RA [remedial design / remedial action] negotiations.”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December 2010, the Company, along with two other defendants, was sued in federal court by three Georgia-Pacific (“GP”) affiliate corporations in a private-party contribution and cost recovery action for alleged pollution at the Kalamazoo River site. On September 26, 2013, the court issued a decision that held the Company was liable as an “arranger” as of at least March 1969. (PCB-containing carbonless copy paper was produced from approximately 1954 to April 1971, and the majority of contamination at the Kalamazoo River site had occurred prior to 1969). In a ruling following a second trial on the allocation of liability issued on March 29, 2018, the court fixed the past cost amount at approximately $50 million (plus interest to be determined) and the Company and GP were each assigned a 40% share of those costs, and the other two companies were assigned 15% and 5% as their allocations. The court entered final judgment in the case on June 19, 2018, in which it indicated that it would not allocate future costs, but would enter a declaratory judgment that the four companies together had responsibility for future costs, in amounts and shares to be determined.</w:t>
      </w:r>
    </w:p>
    <w:p>
      <w:pPr>
        <w:spacing w:after="0" w:line="19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July 2018, the Company appealed to the United States Court of Appeals for the Sixth Circuit both the 2013 court decision and the 2018 court decision on various legal grounds. The Company filed a bond to stay execution of the judgment pending appeal and execution of the judgment was stayed until the Company filed its dismissal of the appeal on December 31, 2020 pursuant to the Consent Decree noted below.</w:t>
      </w:r>
    </w:p>
    <w:p>
      <w:pPr>
        <w:spacing w:after="0" w:line="18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During the pendency of the Sixth Circuit stay, the Company negotiated a settlement of the Kalamazoo River matter with the USEPA and other government agencies having oversight over the river.</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On December 5, 2019, the Company entered into a Consent Decree with the USEPA and other government agencies having oversight over the Kalamazoo River and the District Court having jurisdiction over this matter approved the Consent Decree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later that month. The Consent Decree requires the Company to pay GP a 40% share of past costs, to pay the USEPA and state agencies their past and future administrative costs, and take responsibility for the remediation of a portion, but not all, of the Kalamazoo River. The Consent Decree further required the Company to dismiss the pending Sixth Circuit appeal. The Consent Decree provides the Company protection from other potentially responsible parties, including GP, seeking contribution for their costs associated with the clean-up anywhere on the Kalamazoo River, thereby resolving the allocation of future costs left unresolved by prior litigation.</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believes it has meritorious claims against BAT under the Cost Sharing Agreement, discussed above, for the Kalamazoo River remediation expenses as a so-called “future site.” To date, BAT disputes that the Kalamazoo River is a “future site.” In February 2023, the Company filed an action against BAT in the Southern District of New York seeking a declaration that the Kalamazoo River is indeed a “future site” under the Cost Sharing Agreement. In June 2023, BAT filed an answer asserting counterclaims in the proceedings. On September 14, 2024, the Court entered an opinion stating that the Kalamazoo River is a “future site” within the meaning of the Cost Sharing Agreement. The case remains pending with respect to BAT’s remaining counterclaims and affirmative defenses. In December 2022, the contractual threshold set forth in the 1996 Divestiture Agreement for the Kalamazoo River matter was met and as a result the Company also has indemnity or reimbursement claims against AT&amp;T and Nokia. AT&amp;T and Nokia are currently disputing the calculation of that threshold (not the indemnity obligation), and AT&amp;T has withheld certain of its indemnification payments in connection with the dispute. In February 2026, the Company filed an action for preliminary injunction against AT&amp;T in the Southern District of New York seeking an order to compel AT&amp;T’s compliance with the payment obligations under the 1996 Divestiture Agreement. That lawsuit remains pending. Separately, the Company commenced a parallel arbitration against AT&amp;T for the recovery of amounts owed.</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November 2023, the USEPA issued a conditional approval for a work plan to remediate one area of the Kalamazoo River (referred to by USEPA as Area 4) for which the Company has remediation responsibility. The conditional approval provided the Company with sufficient information to estimate the cost of the first phase of remediation for this area of the river and necessitated an increase in the Kalamazoo reserve. Subsequently, USEPA provided further clarification about the conditions with respect to completing the second phase of the work plan that could substantially increase the costs of remediation. The Company does not believe the scope of work for this second phase is its responsibility under the Consent Decree or the National Contingency Plan. In March 2024, the Company filed a Notice of Dispute with the USEPA objecting to the scope of work for Area 4 as being inconsistent with the National Contingency Plan and contrary to the requirements of the Consent Decree. In June 2024, the Company reached a tentative agreement with the USEPA that will satisfactorily address the Company’s cost concerns and in October 2024, the Company submitted a work plan to the USEPA for approval. In connection with the submittal of the work plan, an updated engineering estimate was developed, which necessitated an increase in the Kalamazoo reserve. On August 18, 2025, the USEPA approved the work plan “with modifications” and the Company responded to those modifications as requested by the USEPA. On November 3, 2025, the EPA reviewed the Company’s responses to the modifications and gave final approval to the work plan. In January 2026, a second updated engineering estimate was completed to address scope adjustments of the approved work plan and current market and river conditions. This updated engineering estimate necessitated another increase to the Kalamazoo reserve.</w:t>
      </w:r>
    </w:p>
    <w:p>
      <w:pPr>
        <w:spacing w:after="0" w:line="200" w:lineRule="exact"/>
        <w:rPr>
          <w:sz w:val="20"/>
          <w:szCs w:val="20"/>
          <w:color w:val="auto"/>
        </w:rPr>
      </w:pP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of March 31, 2026 and December 31, 2025, the total reserve for the Kalamazoo River was $110 million and $111 million, respectively. The reserve is reported on a basis that is net of expected contributions from the Company’s co-obligors and indemnitors, subject to when the applicable threshold is reached. While the Company believes its co-obligors’ and indemnitors’ obligations are as previously reported, the reserve may be adjusted from time to time to reflect changes in our estimates of remediation costs and recoverability from co-obligors and indemnitors with respect to the Kalamazoo River.</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many aspects of the costs of remediation will not be determined for several years (and thus the high end of a range of possible costs for many areas of the site cannot be quantified at this time), the Company has made what it considers to be reasonable estimates of the low end of a range for such costs where remedies are identified, and/or estimates of the costs of investigations and studies for areas of the Kalamazoo River where remedies have not yet been determined, and the reserve is informed by those estimates. The extent of the Company’s potential liability remains subject to many uncertainties, notwithstanding the Consent Decree noted above, particularly in as much as remedy decisions and cost estimates will not be generated until future time periods and as most of the work to be performed will take place through the 2030s. Under other assumptions and estimates for possible costs of remediation, which the Company does not at this point consider to be reasonably estimable or verifiable, it is possible that the reserve the Company has taken to discontinued operations with respect to the Kalamazoo River could more than approximately double the reflected reserve.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Environmental-Related Insurance Recoveries </w:t>
      </w:r>
      <w:r>
        <w:rPr>
          <w:rFonts w:ascii="Times New Roman" w:cs="Times New Roman" w:eastAsia="Times New Roman" w:hAnsi="Times New Roman"/>
          <w:sz w:val="17"/>
          <w:szCs w:val="17"/>
          <w:color w:val="auto"/>
        </w:rPr>
        <w:t>In connection with the Fox River, Kalamazoo River and other environmental sites, through March 31, 2026,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has received a combined gross total of approximately $212 million in settlements reached with various of its insurance carriers. Some of the settlements cover not only the Fox River but also other environmental sites; some are limited to either the Fox River or the Kalamazoo River site. Some of the settlements are directed to defense costs and some are directed to indemnity; some settlements cover both defense costs and indemnity. The Company does not anticipate that further material insurance recoveries specific to Kalamazoo River remediation costs will be available in the future.</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Environmental Remediation Estimates </w:t>
      </w:r>
      <w:r>
        <w:rPr>
          <w:rFonts w:ascii="Times New Roman" w:cs="Times New Roman" w:eastAsia="Times New Roman" w:hAnsi="Times New Roman"/>
          <w:sz w:val="17"/>
          <w:szCs w:val="17"/>
          <w:color w:val="auto"/>
        </w:rPr>
        <w:t>It is difficult to estimate the future financial impact of environmental laws, including potential liabilities.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records environmental provisions when it is probable that a liability has been incurred and the amount or range of the liability is reasonably estimable; in accordance with accounting guidance, where liabilities are not expected to be quantifiable or estimable for a period of years, the estimated costs of investigating those liabilities are recorded as a component of the reserve for that particular site. Provisions for estimated losses from environmental restoration and remediation are, depending on the site, based generally on internal and third-party environmental studies, estimates as to the number and participation level of other PRPs, the extent of contamination, estimated amounts for attorney and other fees, and the nature of required clean-up and restoration actions. Reserves are adjusted as further information develops or circumstances change. Management expects that the amounts reserved from time to time will be paid out over the period of investigation, negotiation, remediation and restoration for the applicable sites. The amounts recorded for environmental matters in the Company’s Consolidated Financial Statements are the estimated gross undiscounted amounts of such liabilities, without deductions for indemnity insurance, third-party indemnity claims or recoveries from other PRPs, except in the event certain criteria supporting the probability of receipt of payment from such third parties is met. For the Fox River and Kalamazoo River sites, as described above, assets relating to the AT&amp;T and Nokia indemnities and the BAT obligations recorded as payments are supported by contractual agreements, public filings, payment history, or other factors.</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Guarantees and Product Warranties </w:t>
      </w:r>
      <w:r>
        <w:rPr>
          <w:rFonts w:ascii="Times New Roman" w:cs="Times New Roman" w:eastAsia="Times New Roman" w:hAnsi="Times New Roman"/>
          <w:sz w:val="17"/>
          <w:szCs w:val="17"/>
          <w:color w:val="auto"/>
        </w:rPr>
        <w:t>In the ordinary course of business, the Company may issue performance guarantees on behalf of its subsidiaries to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its customers and other parties. Some of those guarantees may be backed by standby letters of credit, surety bonds, or similar instruments. In general, under the guarantees, the Company would be obligated to perform, or cause performance, over the term of the underlying contract in the event of an unexcused, uncured breach by its subsidiary, or some other specified triggering event, in each case as defined by the applicable guarantee. The Company believes the likelihood of having to perform under any such guarantee is remote. As of March 31, 2026 and December 31, 2025, the Company had no material obligations related to such guarantees, and therefore its Condensed Consolidated Financial Statements do not have any associated liability balance.</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provides its customers a standard manufacturer’s warranty and records, at the time of the sale, a corresponding estimated liability for potential warranty costs. Estimated future obligations due to warranty claims are based upon historical factors, such as labor rates, average repair time, travel time, number of service calls per machine and cost of replacement parts. When a sale is consummated, the total customer revenue is recognized, provided that all revenue recognition criteria are otherwise satisfied, and the associated warranty liability is recorded using pre-established warranty percentages for the respective product classes. Warranty reserve liabilities are presented in Other current liabilities and Other liabilities in the Consolidated Balance Sheets.</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From time to time, product design or quality corrections are accomplished through modification programs. When identified, associated costs of labor and parts for such programs are estimated and accrued as part of the warranty reserve.</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the Company provides its customers with certain indemnification rights, subject to certain limitations and exceptions. In some cases, the Company agrees to defend and indemnify its customers from third-party lawsuits alleging patent or other infringement of Company solutions based on its customers’ use of them. On limited occasions the Company will undertake to indemnify a customer for business, rather than contractual, reasons. From time to time, the Company also enters into agreements in connection with its acquisition and divestiture activities that include indemnification obligations by the Company. The fair value of these indemnification obligations is not readily determinable due to the conditional nature of the Company’s potential obligations, certain limitations to liability and indemnity exclusions that appear in certain of the Company’s agreements, and the specific facts and circumstances involved with each particular agreement. Historically, the Company has not recorded a liability in connection with these indemnifications. From time to time the Company has provided indemnification under these circumstances, none of which has resulted in material liabilities, and the Company expects these indemnities will continue to arise in the future.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color w:val="auto"/>
        </w:rPr>
        <w:t xml:space="preserve">Purchase Commitments </w:t>
      </w:r>
      <w:r>
        <w:rPr>
          <w:rFonts w:ascii="Times New Roman" w:cs="Times New Roman" w:eastAsia="Times New Roman" w:hAnsi="Times New Roman"/>
          <w:sz w:val="17"/>
          <w:szCs w:val="17"/>
          <w:color w:val="auto"/>
        </w:rPr>
        <w:t>The Company has purchase commitments for materials, supplies, services, and property, plant and equipment as part of the normal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course of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SERIES A CONVERTIBLE PREFERRED STOCK</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Holders of Series A Convertible Preferred Stock are entitled to a cumulative dividend at the rate of 5.5% per annum, payable quarterly in arrears. Beginning in the first quarter of 2020, dividends are payable in cash or in-kind at the option of the Company. If the Company does not declare and pay a dividend, the dividend rate will increase to 8.0% per annum until all accrued but unpaid dividends have been paid in full. During the three months ended March 31, 2026 and 2025, the Company paid cash dividends of $3 million and $4 million, respectively.</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Prior to the close of business on October 17, 2023, the Series A Convertible Preferred Stock was convertible at the option of the 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57.5601 shares of common stock per share of Series A Convertible Preferred Stock. As of March 31, 2026 and December 31, 2025, the maximum number of common shares that could be required to be issued upon conversion of the outstanding shares of Series A Convertible Preferred Stock was 11.9 million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EARNINGS PER SHARE</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Basic earnings per share (“EPS”) is calculated by dividing net income or loss attributable to NCR Voyix, less any dividends (declared or cumulative undeclared), deemed dividends, accretion or decretion, redemption or induced conversion on our Series A Convertible Preferred Stock, by the weighted average number of shares outstanding during the period.</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computing diluted EPS, we evaluate and reflect the maximum potential dilution, for each issue or series of issues of potential common shares in sequence from the most dilutive to the least dilutive. We adjust the numerator used in the basic EPS computation, subject to anti-dilution requirements, to add back the dividends (declared or cumulative undeclared) applicable to the Series A Convertible Preferred Stock. Such add-back would also include any adjustments to equity in the period to accrete the Series A Convertible Preferred Stock to its redemption price, or recorded upon a redemption or induced conversion. We adjust the denominator used in the basic EPS computation, subject to anti-dilution requirements, to include the dilution from potential shares resulting from the issuance of the Series A Convertible Preferred Stock, restricted stock units, and stock options.</w:t>
      </w:r>
    </w:p>
    <w:p>
      <w:pPr>
        <w:spacing w:after="0" w:line="19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holders of Series A Convertible Preferred Stock, unvested restricted stock units and stock options do not have non-forfeitable rights to common stock dividends or common stock dividend equivalents. Accordingly, the Series A Convertible Preferred Stock, unvested restricted stock units and stock options do not qualify as participating securities. See Note 7, “Stock Compensation Plans”, for share information on the Company’s stock compensation plans.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basic and diluted earnings (loss) per share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62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(loss) from continuing operations</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Series A convertible preferred stock dividends</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continuing operations attributable to NCR Voyix common stockholders</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(loss) from discontinued operations, net of tax attributable to NCR Voyix common stockholders</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attributable to NCR Voyix common stockholders</w:t>
            </w: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 and diluted weighted average number of shares outstanding</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139.0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0" w:type="dxa"/>
            <w:vAlign w:val="bottom"/>
          </w:tcPr>
          <w:p>
            <w:pPr>
              <w:spacing w:after="0"/>
              <w:rPr>
                <w:sz w:val="1"/>
                <w:szCs w:val="1"/>
                <w:color w:val="auto"/>
              </w:rPr>
            </w:pPr>
          </w:p>
        </w:tc>
      </w:tr>
      <w:tr>
        <w:trPr>
          <w:trHeight w:val="207"/>
        </w:trPr>
        <w:tc>
          <w:tcPr>
            <w:tcW w:w="7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earnings (loss) per share:</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From continuing operations</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(0.04)</w:t>
            </w:r>
          </w:p>
        </w:tc>
        <w:tc>
          <w:tcPr>
            <w:tcW w:w="8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From discontinued operations</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0" w:type="dxa"/>
            <w:vAlign w:val="bottom"/>
          </w:tcPr>
          <w:p>
            <w:pPr>
              <w:spacing w:after="0"/>
              <w:rPr>
                <w:sz w:val="1"/>
                <w:szCs w:val="1"/>
                <w:color w:val="auto"/>
              </w:rPr>
            </w:pPr>
          </w:p>
        </w:tc>
      </w:tr>
      <w:tr>
        <w:trPr>
          <w:trHeight w:val="213"/>
        </w:trPr>
        <w:tc>
          <w:tcPr>
            <w:tcW w:w="7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basic and diluted earnings per share</w:t>
            </w: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(0.06)</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the three months ended March 31, 2026, due to the net loss from continuing operations attributable to NCR Voyix common stockholders, potential common shares that would have caused dilution, such as the Series A Convertible Preferred Stock, restricted stock units and stock options, have been excluded from the diluted share count because their effect would have been anti-dilutive. The weighted average outstanding shares of common stock were not adjusted by 11.9 million for the as-if converted Series A Preferred Stock because their effect would have been anti-dilutive. Additionally, weighted average restricted stock units and stock options of 8.0 million were excluded from the diluted share count because their effect would have been anti-dilutive.</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the three months ended March 31, 2025, due to the net loss from continuing operations attributable to NCR Voyix common stockholders, shares related to the as-if converted Series A Convertible Preferred Stock of 15.9 million were excluded from the diluted share count because their effect would have been anti-dilutive. Additionally, weighted average restricted stock units and stock options of 11.5 million were excluded from the diluted share count because their effect would have been anti-dilutive.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DERIVATIVES AND HEDGING INSTRUMENTS</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Company is exposed to certain risks arising from both our business operations and economic conditions. We principally manage exposures to a wide variety of business and operational risk through management of core business activities.</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Interest Rate Risk </w:t>
      </w:r>
      <w:r>
        <w:rPr>
          <w:rFonts w:ascii="Times New Roman" w:cs="Times New Roman" w:eastAsia="Times New Roman" w:hAnsi="Times New Roman"/>
          <w:sz w:val="17"/>
          <w:szCs w:val="17"/>
          <w:color w:val="auto"/>
        </w:rPr>
        <w:t>We manage interest rate risk by managing the amount, sources, and duration of debt funding. The Company has historically used interest 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cap agreements or interest rate swap contracts (“Interest Rate Derivatives”) to manage differences in the amount, timing and duration of known or expected cash payments related to our floating rate-debt agreements.</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designates Interest Rate Derivative contracts as cash flow hedges of forecasted transactions when they are determined to be highly effective at inception. Payments and receipts related to Interest Rate Derivatives are included in cash flows from operating activities in the Condensed Consolidated Statements of Cash Flows.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Foreign Currency Exchange Risk </w:t>
      </w:r>
      <w:r>
        <w:rPr>
          <w:rFonts w:ascii="Times New Roman" w:cs="Times New Roman" w:eastAsia="Times New Roman" w:hAnsi="Times New Roman"/>
          <w:sz w:val="17"/>
          <w:szCs w:val="17"/>
          <w:color w:val="auto"/>
        </w:rPr>
        <w:t>A portion of our operations and revenue occur outside the United States and, as such, the Company has exposure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approximately 25 functional currencies. Our results can be significantly impacted, both positively and negatively, by changes in foreign currency exchange rates. The Company seeks to mitigate such impact by hedging its foreign currency transaction exposure using foreign currency forward and option contracts. We do not enter into hedges for speculative purposes. We recognize the gains and losses on these types of hedges in earnings as exchange rates change.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accounting guidance for derivatives and hedging requires companies to recognize all derivative instruments as either assets or liabilities at fair value in the Condensed Consolidated Balance Sheets. The Company designates foreign exchange contracts as cash flow hedges of forecasted transactions when they are determined to be highly effective at inception.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provide information on the location and amounts of derivative fair values in the Condensed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Fair Values of Derivative Instruments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12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1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14"/>
                <w:szCs w:val="14"/>
                <w:color w:val="auto"/>
              </w:rPr>
            </w:pPr>
          </w:p>
        </w:tc>
        <w:tc>
          <w:tcPr>
            <w:tcW w:w="5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14"/>
                <w:szCs w:val="14"/>
                <w:color w:val="auto"/>
              </w:rPr>
            </w:pPr>
          </w:p>
        </w:tc>
        <w:tc>
          <w:tcPr>
            <w:tcW w:w="5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9"/>
        </w:trPr>
        <w:tc>
          <w:tcPr>
            <w:tcW w:w="4120" w:type="dxa"/>
            <w:vAlign w:val="bottom"/>
            <w:vMerge w:val="continue"/>
          </w:tcPr>
          <w:p>
            <w:pPr>
              <w:spacing w:after="0"/>
              <w:rPr>
                <w:sz w:val="16"/>
                <w:szCs w:val="16"/>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4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5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5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6"/>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not designated as hedging instruments</w:t>
            </w: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1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Foreign exchange contracts</w:t>
            </w:r>
          </w:p>
        </w:tc>
        <w:tc>
          <w:tcPr>
            <w:tcW w:w="1920" w:type="dxa"/>
            <w:vAlign w:val="bottom"/>
            <w:gridSpan w:val="2"/>
          </w:tcPr>
          <w:p>
            <w:pPr>
              <w:jc w:val="center"/>
              <w:ind w:right="120"/>
              <w:spacing w:after="0" w:line="168" w:lineRule="exact"/>
              <w:rPr>
                <w:sz w:val="20"/>
                <w:szCs w:val="20"/>
                <w:color w:val="auto"/>
              </w:rPr>
            </w:pPr>
            <w:r>
              <w:rPr>
                <w:rFonts w:ascii="Times New Roman" w:cs="Times New Roman" w:eastAsia="Times New Roman" w:hAnsi="Times New Roman"/>
                <w:sz w:val="17"/>
                <w:szCs w:val="17"/>
                <w:color w:val="auto"/>
              </w:rPr>
              <w:t>Prepaid and other current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(2)</w:t>
            </w:r>
          </w:p>
        </w:tc>
        <w:tc>
          <w:tcPr>
            <w:tcW w:w="0" w:type="dxa"/>
            <w:vAlign w:val="bottom"/>
          </w:tcPr>
          <w:p>
            <w:pPr>
              <w:spacing w:after="0"/>
              <w:rPr>
                <w:sz w:val="1"/>
                <w:szCs w:val="1"/>
                <w:color w:val="auto"/>
              </w:rPr>
            </w:pPr>
          </w:p>
        </w:tc>
      </w:tr>
      <w:tr>
        <w:trPr>
          <w:trHeight w:val="233"/>
        </w:trPr>
        <w:tc>
          <w:tcPr>
            <w:tcW w:w="412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foreign exchange contracts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b w:val="1"/>
                <w:bCs w:val="1"/>
                <w:color w:val="auto"/>
              </w:rPr>
              <w:t>32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(2)</w:t>
            </w:r>
          </w:p>
        </w:tc>
        <w:tc>
          <w:tcPr>
            <w:tcW w:w="0" w:type="dxa"/>
            <w:vAlign w:val="bottom"/>
          </w:tcPr>
          <w:p>
            <w:pPr>
              <w:spacing w:after="0"/>
              <w:rPr>
                <w:sz w:val="1"/>
                <w:szCs w:val="1"/>
                <w:color w:val="auto"/>
              </w:rPr>
            </w:pPr>
          </w:p>
        </w:tc>
      </w:tr>
      <w:tr>
        <w:trPr>
          <w:trHeight w:val="149"/>
        </w:trPr>
        <w:tc>
          <w:tcPr>
            <w:tcW w:w="412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Total derivatives not designated as hedging</w:t>
            </w: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(2)</w:t>
            </w: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instruments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4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Fair Values of Derivative Instruments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12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1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14"/>
                <w:szCs w:val="14"/>
                <w:color w:val="auto"/>
              </w:rPr>
            </w:pPr>
          </w:p>
        </w:tc>
        <w:tc>
          <w:tcPr>
            <w:tcW w:w="5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14"/>
                <w:szCs w:val="14"/>
                <w:color w:val="auto"/>
              </w:rPr>
            </w:pPr>
          </w:p>
        </w:tc>
        <w:tc>
          <w:tcPr>
            <w:tcW w:w="5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9"/>
        </w:trPr>
        <w:tc>
          <w:tcPr>
            <w:tcW w:w="4120" w:type="dxa"/>
            <w:vAlign w:val="bottom"/>
            <w:vMerge w:val="continue"/>
          </w:tcPr>
          <w:p>
            <w:pPr>
              <w:spacing w:after="0"/>
              <w:rPr>
                <w:sz w:val="16"/>
                <w:szCs w:val="16"/>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4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5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5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6"/>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not designated as hedging instruments</w:t>
            </w: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1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Foreign exchange contracts</w:t>
            </w:r>
          </w:p>
        </w:tc>
        <w:tc>
          <w:tcPr>
            <w:tcW w:w="1920" w:type="dxa"/>
            <w:vAlign w:val="bottom"/>
            <w:gridSpan w:val="2"/>
          </w:tcPr>
          <w:p>
            <w:pPr>
              <w:jc w:val="center"/>
              <w:ind w:right="120"/>
              <w:spacing w:after="0" w:line="168" w:lineRule="exact"/>
              <w:rPr>
                <w:sz w:val="20"/>
                <w:szCs w:val="20"/>
                <w:color w:val="auto"/>
              </w:rPr>
            </w:pPr>
            <w:r>
              <w:rPr>
                <w:rFonts w:ascii="Times New Roman" w:cs="Times New Roman" w:eastAsia="Times New Roman" w:hAnsi="Times New Roman"/>
                <w:sz w:val="17"/>
                <w:szCs w:val="17"/>
                <w:color w:val="auto"/>
              </w:rPr>
              <w:t>Prepaid and other current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12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foreign exchange contracts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9"/>
        </w:trPr>
        <w:tc>
          <w:tcPr>
            <w:tcW w:w="412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Total derivatives not designated as hedging</w:t>
            </w: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instruments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ind w:right="500"/>
        <w:spacing w:after="0" w:line="292" w:lineRule="auto"/>
        <w:rPr>
          <w:sz w:val="20"/>
          <w:szCs w:val="20"/>
          <w:color w:val="auto"/>
        </w:rPr>
      </w:pPr>
      <w:r>
        <w:rPr>
          <w:rFonts w:ascii="Times New Roman" w:cs="Times New Roman" w:eastAsia="Times New Roman" w:hAnsi="Times New Roman"/>
          <w:sz w:val="17"/>
          <w:szCs w:val="17"/>
          <w:color w:val="auto"/>
        </w:rPr>
        <w:t>The effects of derivative instruments on the Condensed Consolidated Statements of Operations and Condensed Consolidated Statements of Comprehensive Income for the three months ended March 31, 2026 and 2025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80" w:type="dxa"/>
            <w:vAlign w:val="bottom"/>
            <w:gridSpan w:val="4"/>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Amount of Gain (Loss) Recognized in the Condensed</w:t>
            </w: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8"/>
              </w:rPr>
              <w:t>Consolidated Statement of Operations</w:t>
            </w:r>
          </w:p>
        </w:tc>
        <w:tc>
          <w:tcPr>
            <w:tcW w:w="0" w:type="dxa"/>
            <w:vAlign w:val="bottom"/>
          </w:tcPr>
          <w:p>
            <w:pPr>
              <w:spacing w:after="0"/>
              <w:rPr>
                <w:sz w:val="1"/>
                <w:szCs w:val="1"/>
                <w:color w:val="auto"/>
              </w:rPr>
            </w:pPr>
          </w:p>
        </w:tc>
      </w:tr>
      <w:tr>
        <w:trPr>
          <w:trHeight w:val="187"/>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17"/>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4120" w:type="dxa"/>
            <w:vAlign w:val="bottom"/>
            <w:gridSpan w:val="2"/>
          </w:tcPr>
          <w:p>
            <w:pPr>
              <w:jc w:val="center"/>
              <w:ind w:left="287"/>
              <w:spacing w:after="0" w:line="117" w:lineRule="exact"/>
              <w:rPr>
                <w:sz w:val="20"/>
                <w:szCs w:val="20"/>
                <w:color w:val="auto"/>
              </w:rPr>
            </w:pPr>
            <w:r>
              <w:rPr>
                <w:rFonts w:ascii="Times New Roman" w:cs="Times New Roman" w:eastAsia="Times New Roman" w:hAnsi="Times New Roman"/>
                <w:sz w:val="13"/>
                <w:szCs w:val="13"/>
                <w:b w:val="1"/>
                <w:bCs w:val="1"/>
                <w:color w:val="auto"/>
              </w:rPr>
              <w:t>Location of Gain (Loss) Recognized in the Condensed</w:t>
            </w:r>
          </w:p>
        </w:tc>
        <w:tc>
          <w:tcPr>
            <w:tcW w:w="160" w:type="dxa"/>
            <w:vAlign w:val="bottom"/>
          </w:tcPr>
          <w:p>
            <w:pPr>
              <w:spacing w:after="0"/>
              <w:rPr>
                <w:sz w:val="10"/>
                <w:szCs w:val="10"/>
                <w:color w:val="auto"/>
              </w:rPr>
            </w:pPr>
          </w:p>
        </w:tc>
        <w:tc>
          <w:tcPr>
            <w:tcW w:w="1540" w:type="dxa"/>
            <w:vAlign w:val="bottom"/>
            <w:vMerge w:val="restart"/>
          </w:tcPr>
          <w:p>
            <w:pPr>
              <w:jc w:val="right"/>
              <w:ind w:right="62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vMerge w:val="restart"/>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3580" w:type="dxa"/>
            <w:vAlign w:val="bottom"/>
            <w:tcBorders>
              <w:bottom w:val="single" w:sz="8" w:color="CCEEFF"/>
            </w:tcBorders>
            <w:vMerge w:val="continue"/>
          </w:tcPr>
          <w:p>
            <w:pPr>
              <w:spacing w:after="0"/>
              <w:rPr>
                <w:sz w:val="16"/>
                <w:szCs w:val="16"/>
                <w:color w:val="auto"/>
              </w:rPr>
            </w:pPr>
          </w:p>
        </w:tc>
        <w:tc>
          <w:tcPr>
            <w:tcW w:w="4120" w:type="dxa"/>
            <w:vAlign w:val="bottom"/>
            <w:tcBorders>
              <w:bottom w:val="single" w:sz="8" w:color="CCEEFF"/>
            </w:tcBorders>
            <w:gridSpan w:val="2"/>
          </w:tcPr>
          <w:p>
            <w:pPr>
              <w:jc w:val="center"/>
              <w:ind w:left="307"/>
              <w:spacing w:after="0"/>
              <w:rPr>
                <w:sz w:val="20"/>
                <w:szCs w:val="20"/>
                <w:color w:val="auto"/>
              </w:rPr>
            </w:pPr>
            <w:r>
              <w:rPr>
                <w:rFonts w:ascii="Times New Roman" w:cs="Times New Roman" w:eastAsia="Times New Roman" w:hAnsi="Times New Roman"/>
                <w:sz w:val="14"/>
                <w:szCs w:val="14"/>
                <w:b w:val="1"/>
                <w:bCs w:val="1"/>
                <w:color w:val="auto"/>
                <w:w w:val="98"/>
              </w:rPr>
              <w:t>Consolidated Statement of Operations</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41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is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Condensed Consolidated Balance Sheets. Exposure to credit risk is managed through credit approvals, credit limits, selecting major international financial institutions as counterparties to hedging transactions and monitoring procedures. The Company’s business often involves large transactions with customers, and if one or more of those customers were to default on its obligations under applicable contractual arrangements, the Company could be exposed to potentially significant losses. However, management believes that the reserves for potential losses are adequate. As of March 31, 2026 and December 31, 2025, we did not have any major concentration of credit risk related to financial instruments.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FAIR VALUE OF ASSETS AND LIABILITIES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w:t>
      </w:r>
    </w:p>
    <w:p>
      <w:pPr>
        <w:spacing w:after="0" w:line="9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Assets and liabilities recorded at fair value on a recurring basis as of March 31, 2026 are set forth in the table as follows. Assets and liabilities recorded at fair value on a recurring basis as of December 31, 2025 were zero.</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jc w:val="right"/>
              <w:ind w:right="787"/>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4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jc w:val="center"/>
              <w:ind w:left="205"/>
              <w:spacing w:after="0" w:line="124"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vMerge w:val="restart"/>
          </w:tcPr>
          <w:p>
            <w:pPr>
              <w:jc w:val="center"/>
              <w:ind w:left="207"/>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1"/>
        </w:trPr>
        <w:tc>
          <w:tcPr>
            <w:tcW w:w="4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left="185"/>
              <w:spacing w:after="0" w:line="141"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left="185"/>
              <w:spacing w:after="0" w:line="143"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ind w:left="207"/>
              <w:spacing w:after="0" w:line="143" w:lineRule="exact"/>
              <w:rPr>
                <w:sz w:val="20"/>
                <w:szCs w:val="20"/>
                <w:color w:val="auto"/>
              </w:rPr>
            </w:pPr>
            <w:r>
              <w:rPr>
                <w:rFonts w:ascii="Times New Roman" w:cs="Times New Roman" w:eastAsia="Times New Roman" w:hAnsi="Times New Roman"/>
                <w:sz w:val="14"/>
                <w:szCs w:val="14"/>
                <w:b w:val="1"/>
                <w:bCs w:val="1"/>
                <w:color w:val="auto"/>
                <w:w w:val="97"/>
              </w:rPr>
              <w:t>Observable Inputs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4"/>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Unobservable Inputs</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ind w:left="185"/>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ind w:left="207"/>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0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0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Foreign exchange contracts</w:t>
            </w:r>
            <w:r>
              <w:rPr>
                <w:rFonts w:ascii="Times New Roman" w:cs="Times New Roman" w:eastAsia="Times New Roman" w:hAnsi="Times New Roman"/>
                <w:sz w:val="22"/>
                <w:szCs w:val="22"/>
                <w:color w:val="auto"/>
                <w:vertAlign w:val="superscript"/>
              </w:rPr>
              <w:t>(1)</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20" w:type="dxa"/>
            <w:vAlign w:val="bottom"/>
          </w:tcPr>
          <w:p>
            <w:pPr>
              <w:spacing w:after="0"/>
              <w:rPr>
                <w:sz w:val="19"/>
                <w:szCs w:val="19"/>
                <w:color w:val="auto"/>
              </w:rPr>
            </w:pPr>
          </w:p>
        </w:tc>
        <w:tc>
          <w:tcPr>
            <w:tcW w:w="1460" w:type="dxa"/>
            <w:vAlign w:val="bottom"/>
          </w:tcPr>
          <w:p>
            <w:pPr>
              <w:jc w:val="right"/>
              <w:ind w:right="128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00" w:type="dxa"/>
            <w:vAlign w:val="bottom"/>
            <w:gridSpan w:val="3"/>
          </w:tcPr>
          <w:p>
            <w:pPr>
              <w:jc w:val="right"/>
              <w:ind w:right="1467"/>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80" w:type="dxa"/>
            <w:vAlign w:val="bottom"/>
          </w:tcPr>
          <w:p>
            <w:pPr>
              <w:ind w:left="134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8"/>
        </w:trPr>
        <w:tc>
          <w:tcPr>
            <w:tcW w:w="43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ind w:right="128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ind w:right="146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80" w:type="dxa"/>
            <w:vAlign w:val="bottom"/>
            <w:tcBorders>
              <w:top w:val="single" w:sz="8" w:color="auto"/>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3"/>
          <w:szCs w:val="13"/>
          <w:color w:val="auto"/>
        </w:rPr>
        <w:t>Included in Other current liabilities in the Condensed Consolidated Balance Sheets.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Foreign Exchange Contracts </w:t>
      </w:r>
      <w:r>
        <w:rPr>
          <w:rFonts w:ascii="Times New Roman" w:cs="Times New Roman" w:eastAsia="Times New Roman" w:hAnsi="Times New Roman"/>
          <w:sz w:val="17"/>
          <w:szCs w:val="17"/>
          <w:color w:val="auto"/>
        </w:rPr>
        <w:t>As a result of our global operating activities, we are exposed to risks from changes in foreign currency exchange rates, which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adversely affect our financial condition. To manage our exposures and mitigate the impact of currency fluctuations on our financial results, we hedge our primary transactional exposures through the use of foreign exchange forward and option contracts. The foreign exchange contracts are valued using the market approach based on observable market transactions of forward rates and are classified within Level 2 of the valuation hierarchy.</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incorporate credit valuation adjustments to appropriately reflect both our own nonperformance risk and the respective counterparty’s nonperformance risk in the fair value measurements. In adjusting the fair value of our derivative contracts for the effect of nonperformance risk, we consider the impact of netting and any applicable credit enhancements. We measure the credit risk of our derivative financial instruments that are subject to master netting agreements on a net basis by counterparty portfolio.</w:t>
      </w:r>
    </w:p>
    <w:p>
      <w:pPr>
        <w:spacing w:after="0" w:line="1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Although we have determined that the majority of the inputs used to value our derivatives fall within Level 2 of the fair value hierarchy, the credit valuation adjustments utilize Level 3 inputs to evaluate the likelihood of both our own default and counterparty default. As of March 31, 2026, we determined that the credit valuation adjustments are not significant to the overall valuation of our derivatives and therefore, the valuations are classified in Level 2 of the fair value hierarchy.</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Measured at Fair Value on a Non-recurring Basis</w:t>
      </w:r>
    </w:p>
    <w:p>
      <w:pPr>
        <w:spacing w:after="0" w:line="2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From time to time, certain assets are measured at fair value on a nonrecurring basis using significant unobservable inputs (Level 3). The Company reviews the carrying values of investments when events and circumstances warrant and considers all available evidence in evaluating when declines in fair value are other-than-temporary declines. There were no material impairment charges or non-recurring fair value adjustments recorded during the three months ended March 31, 2026 and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ACCUMULATED OTHER COMPREHENSIVE INCOME (LOSS)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Accumulated Other Comprehensive Income (Loss) (“AOCI”) by Component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3"/>
                <w:szCs w:val="13"/>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Changes in Employee</w:t>
            </w:r>
          </w:p>
        </w:tc>
        <w:tc>
          <w:tcPr>
            <w:tcW w:w="120" w:type="dxa"/>
            <w:vAlign w:val="bottom"/>
          </w:tcPr>
          <w:p>
            <w:pPr>
              <w:spacing w:after="0"/>
              <w:rPr>
                <w:sz w:val="13"/>
                <w:szCs w:val="13"/>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w:t>
            </w:r>
          </w:p>
        </w:tc>
        <w:tc>
          <w:tcPr>
            <w:tcW w:w="102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w w:val="98"/>
              </w:rPr>
              <w:t>Benefit Plans</w:t>
            </w: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Effective Cash Flow Hedges</w:t>
            </w: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(445)</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7"/>
                <w:szCs w:val="17"/>
                <w:b w:val="1"/>
                <w:bCs w:val="1"/>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(439)</w:t>
            </w:r>
          </w:p>
        </w:tc>
        <w:tc>
          <w:tcPr>
            <w:tcW w:w="0" w:type="dxa"/>
            <w:vAlign w:val="bottom"/>
          </w:tcPr>
          <w:p>
            <w:pPr>
              <w:spacing w:after="0"/>
              <w:rPr>
                <w:sz w:val="1"/>
                <w:szCs w:val="1"/>
                <w:color w:val="auto"/>
              </w:rPr>
            </w:pPr>
          </w:p>
        </w:tc>
      </w:tr>
      <w:tr>
        <w:trPr>
          <w:trHeight w:val="220"/>
        </w:trPr>
        <w:tc>
          <w:tcPr>
            <w:tcW w:w="5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current period other comprehensive (loss)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92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(454)</w:t>
            </w:r>
          </w:p>
        </w:tc>
        <w:tc>
          <w:tcPr>
            <w:tcW w:w="1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7"/>
                <w:szCs w:val="17"/>
                <w:b w:val="1"/>
                <w:bCs w:val="1"/>
                <w:color w:val="auto"/>
              </w:rPr>
              <w:t>—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Reclassifications Out of AOCI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reclassifications out of AOCI during the three months ended March 31, 2026 or 2025.</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SUPPLEMENTAL FINANCIAL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accounts receivable are summarized as follows: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5"/>
                <w:szCs w:val="15"/>
                <w:color w:val="auto"/>
              </w:rPr>
            </w:pPr>
          </w:p>
        </w:tc>
        <w:tc>
          <w:tcPr>
            <w:tcW w:w="15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0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Accounts receivable</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426</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w:t>
            </w: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 gross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accounts receivable, net</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allowance for credit losses as of March 31, 2026 and December 31, 2025 was $19 million and $21 million, respectively. We continue to evaluate our reserves in light of the age and quality of our outstanding accounts receivable as well as risks to specific industries or countries and adjust the reserves accordingly. The impact to our allowance for credit losses was zero and expense of $1 million for the three months ended March 31, 2026 and March 31, 2025, respectively. The Company recorded write-offs against the reserve of $2 million and $1 million for the three months ended March 31, 2026 and March 31, 2025,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inventory are summarized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5"/>
                <w:szCs w:val="15"/>
                <w:color w:val="auto"/>
              </w:rPr>
            </w:pPr>
          </w:p>
        </w:tc>
        <w:tc>
          <w:tcPr>
            <w:tcW w:w="14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Inventories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 and raw materials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parts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inventories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MD&amp;A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p>
      <w:pPr>
        <w:spacing w:after="0" w:line="1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the Condensed Consolidated Financial Statements and notes thereto included under Item 1. Financial Statements of this Quarterly Report and our Consolidated Financial Statements and notes thereto and related Management’s Discussion and Analysis of Financial Condition and Results of Operations included in our Annual Report on Form 10-K for the year ended December 31, 2025 (the “2025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discussion within MD&amp;A is organized as follows:</w:t>
      </w:r>
    </w:p>
    <w:p>
      <w:pPr>
        <w:spacing w:after="0" w:line="230" w:lineRule="exact"/>
        <w:rPr>
          <w:sz w:val="20"/>
          <w:szCs w:val="20"/>
          <w:color w:val="auto"/>
        </w:rPr>
      </w:pPr>
    </w:p>
    <w:p>
      <w:pPr>
        <w:ind w:left="620" w:hanging="305"/>
        <w:spacing w:after="0" w:line="294"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This section contains background information on our company, summary of significant themes and events during the quarter as well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strategic initiatives and trends in order to provide context for management’s discussion and analysis of our financial condition and results of operations.</w:t>
      </w:r>
    </w:p>
    <w:p>
      <w:pPr>
        <w:spacing w:after="0" w:line="169" w:lineRule="exact"/>
        <w:rPr>
          <w:rFonts w:ascii="Times New Roman" w:cs="Times New Roman" w:eastAsia="Times New Roman" w:hAnsi="Times New Roman"/>
          <w:sz w:val="17"/>
          <w:szCs w:val="17"/>
          <w:color w:val="auto"/>
        </w:rPr>
      </w:pPr>
    </w:p>
    <w:p>
      <w:pPr>
        <w:ind w:left="620" w:hanging="305"/>
        <w:spacing w:after="0" w:line="294"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Results of operations. </w:t>
      </w:r>
      <w:r>
        <w:rPr>
          <w:rFonts w:ascii="Times New Roman" w:cs="Times New Roman" w:eastAsia="Times New Roman" w:hAnsi="Times New Roman"/>
          <w:sz w:val="17"/>
          <w:szCs w:val="17"/>
          <w:color w:val="auto"/>
        </w:rPr>
        <w:t>This section contains an analysis of our results of operations presented in the accompanying condensed consolidated statements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by comparing the results for the three months ended March 31, 2026 to the results for the three months ended March 31, 2025.</w:t>
      </w:r>
    </w:p>
    <w:p>
      <w:pPr>
        <w:spacing w:after="0" w:line="169"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Liquidity and capital resources. </w:t>
      </w:r>
      <w:r>
        <w:rPr>
          <w:rFonts w:ascii="Times New Roman" w:cs="Times New Roman" w:eastAsia="Times New Roman" w:hAnsi="Times New Roman"/>
          <w:sz w:val="17"/>
          <w:szCs w:val="17"/>
          <w:color w:val="auto"/>
        </w:rPr>
        <w:t>This section provides an analysis of our cash flows and a discussion of our contractual obligations at March 31, 2026.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OVERVIEW</w:t>
      </w:r>
    </w:p>
    <w:p>
      <w:pPr>
        <w:spacing w:after="0" w:line="23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NCR Voyix is a global platform-powered leader in unified commerce for shopping and dining, empowering our customers to deliver quality experiences to consumers through our cloud-based platform, microservices-based applications and comprehensive service offerings.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Completion of NCR Atleos Spin-Off Transaction</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October 16, 2023, the Company completed the spin-off (“Spin-Off”) of its ATM-focused businesses, including our self-service banking, payments &amp; network, and telecommunications and technology businesses, into an independent, publicly traded company, NCR Atleos. Accordingly, the historical financial results of NCR Atleos are reflected as discontinued operations in the Company’s consolidated financial statements. Refer to Note 2, “Discontinued Operations”, in the Notes to Consolidated Financial Statements in Item 1 of this Report, for additional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of Digital Banking Business</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September 30, 2024, the Company completed the sale of its Digital Banking segment businesses (the “Digital Banking Sale”) to an affiliate of The Veritas Capital Fund VIII, L.P. (the “Buyer”). The purchase price for the transaction was $2.45 billion in cash, subject to a post-closing adjustment, as well as contingent consideration of up to an additional $100 million in cash upon the achievement of a specified return on the Buyer’s invested capital at the time of any future sale. The historical financial results of the Digital Banking segment businesses are reflected as discontinued operations in the Company’s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Transition of Hardware Business to ODM Model</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August 6, 2024, the Company announced its entry into a commercial agreement with Ennoconn Corporation (“Ennoconn”) to transition its self-checkout and point-of-sale hardware businesses to an outsourced design and manufacturing model, including the sale of certain assets relating to these businesses (the “Hardware Business Transition”). Under the terms of the agreement, Ennoconn designs, manufactures, warrants, supplies, and ships self-checkout and point-of sale hardware directly to the Company’s customers and the Company sells hardware to its customers as a sales agent for Ennoconn and continues to provide its point-of sale and self-checkout software as well as key support and maintenance services. During the three months ended March 31, 2026, the Company sold inventory to Ennoconn as part of the Hardware Business Transition, and beginning on April 1, 2026, the Company began recording commission revenue from point-of-sale and self-checkout hardware sales as an agent for Ennoconn on a net basis, excluding the costs paid to Ennoconn.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Segments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Following the Spin-Off and Digital Banking Sale, we now manage and operate in two reportable segments: Retail and Restaurants.</w:t>
      </w:r>
    </w:p>
    <w:p>
      <w:pPr>
        <w:spacing w:after="0" w:line="243" w:lineRule="exact"/>
        <w:rPr>
          <w:sz w:val="20"/>
          <w:szCs w:val="20"/>
          <w:color w:val="auto"/>
        </w:rPr>
      </w:pPr>
    </w:p>
    <w:p>
      <w:pPr>
        <w:jc w:val="both"/>
        <w:ind w:left="620" w:hanging="305"/>
        <w:spacing w:after="0" w:line="264" w:lineRule="auto"/>
        <w:tabs>
          <w:tab w:leader="none" w:pos="616" w:val="left"/>
        </w:tabs>
        <w:numPr>
          <w:ilvl w:val="0"/>
          <w:numId w:val="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Retail </w:t>
      </w:r>
      <w:r>
        <w:rPr>
          <w:rFonts w:ascii="Times New Roman" w:cs="Times New Roman" w:eastAsia="Times New Roman" w:hAnsi="Times New Roman"/>
          <w:sz w:val="17"/>
          <w:szCs w:val="17"/>
          <w:color w:val="auto"/>
        </w:rPr>
        <w:t>- Our Retail segment primarily serves enterprise and mid-market retailers in the convenience, fuel &amp; retail; grocery, drug &amp; mass merchandise;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department &amp; specialty retail industries. Our retail solutions provide end-to-end connectivity to a customer’s operations, including, but not limited to the following operational activities, point-of-sale (“POS”), inventory management, fraud and loss prevention, loyalty and consumer engagement. Additionally, these solutions include open application program interface (“API”) connectivity to retail software platforms and applications, hardware terminals, self-service kiosks, including self-checkout (“SCO”), payment processing and merchant acquiring solutions and barcode scanners.</w:t>
      </w:r>
    </w:p>
    <w:p>
      <w:pPr>
        <w:spacing w:after="0" w:line="195" w:lineRule="exact"/>
        <w:rPr>
          <w:rFonts w:ascii="Times New Roman" w:cs="Times New Roman" w:eastAsia="Times New Roman" w:hAnsi="Times New Roman"/>
          <w:sz w:val="17"/>
          <w:szCs w:val="17"/>
          <w:i w:val="1"/>
          <w:iCs w:val="1"/>
          <w:color w:val="auto"/>
        </w:rPr>
      </w:pPr>
    </w:p>
    <w:p>
      <w:pPr>
        <w:jc w:val="both"/>
        <w:ind w:left="620" w:hanging="305"/>
        <w:spacing w:after="0" w:line="26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Restaurants </w:t>
      </w:r>
      <w:r>
        <w:rPr>
          <w:rFonts w:ascii="Times New Roman" w:cs="Times New Roman" w:eastAsia="Times New Roman" w:hAnsi="Times New Roman"/>
          <w:sz w:val="17"/>
          <w:szCs w:val="17"/>
          <w:color w:val="auto"/>
        </w:rPr>
        <w:t>- Our Restaurants segment is focused on serving restaurants and food service establishments including quick-service, table-service and fast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casual restaurants of all sizes. Our restaurant solutions include, among others, POS hardware and software solutions, payment processing and merchant acquiring services, installation, maintenance, and managed and professional services. These solutions are designed to help streamline order and transaction processing, increase consumer engagement, increase kitchen productivity and reduce operating costs.</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Corporate and Other includes income and expenses related to corporate functions that are not specifically attributable to any of our two individual reportable segments, along with certain non-strategic businesses that are considered immaterial operating segment(s), as well as commercial agreements with NCR Atleos in the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HIGHLIGHTS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were highlights for the first quarter of 2026:</w:t>
      </w:r>
    </w:p>
    <w:p>
      <w:pPr>
        <w:spacing w:after="0" w:line="31" w:lineRule="exact"/>
        <w:rPr>
          <w:sz w:val="20"/>
          <w:szCs w:val="20"/>
          <w:color w:val="auto"/>
        </w:rPr>
      </w:pPr>
    </w:p>
    <w:p>
      <w:pPr>
        <w:ind w:left="620" w:hanging="305"/>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of $606 million, down 1% compared to the prior year period</w:t>
      </w:r>
    </w:p>
    <w:p>
      <w:pPr>
        <w:spacing w:after="0" w:line="11" w:lineRule="exact"/>
        <w:rPr>
          <w:rFonts w:ascii="Times New Roman" w:cs="Times New Roman" w:eastAsia="Times New Roman" w:hAnsi="Times New Roman"/>
          <w:sz w:val="17"/>
          <w:szCs w:val="17"/>
          <w:color w:val="auto"/>
        </w:rPr>
      </w:pPr>
    </w:p>
    <w:p>
      <w:pPr>
        <w:ind w:left="1240" w:hanging="303"/>
        <w:spacing w:after="0"/>
        <w:tabs>
          <w:tab w:leader="none" w:pos="12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Recurring revenue increased 4% as compared to the prior year period and comprised 69% of total consolidated revenue</w:t>
      </w:r>
    </w:p>
    <w:p>
      <w:pPr>
        <w:spacing w:after="0" w:line="11" w:lineRule="exact"/>
        <w:rPr>
          <w:rFonts w:ascii="Times New Roman" w:cs="Times New Roman" w:eastAsia="Times New Roman" w:hAnsi="Times New Roman"/>
          <w:sz w:val="17"/>
          <w:szCs w:val="17"/>
          <w:color w:val="auto"/>
        </w:rPr>
      </w:pPr>
    </w:p>
    <w:p>
      <w:pPr>
        <w:ind w:left="1240" w:hanging="303"/>
        <w:spacing w:after="0"/>
        <w:tabs>
          <w:tab w:leader="none" w:pos="12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Software and services revenue decreased 1% compared to the prior year period and comprised 78% of total consolidated revenue</w:t>
      </w:r>
    </w:p>
    <w:p>
      <w:pPr>
        <w:spacing w:after="0" w:line="11"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of $78 million, up 5% compared to the prior year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STRATEGIC INITIATIVES AND TRENDS</w:t>
      </w:r>
    </w:p>
    <w:p>
      <w:pPr>
        <w:spacing w:after="0" w:line="2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strategy is to advance our position as the platform-powered leader in unified commerce for shopping and dining at a time when consumer expectations for seamless, personalized and frictionless experiences continue to rise across both retail and restaurant environments. Today’s consumers expect to shop, order, pay and receive service effortlessly, whether online, in store, curbside or through mobile channels. They increasingly favor brands that deliver speed, consistency and convenience at every interaction. These heightened expectations have placed pressure on retailers and restaurants to modernize their operations and adopt technologies that can support real-time engagement and continuous innovation across digital and physical touchpoints. Guided by our mission to make the consumer experience seamless, we focus on delivering integrated, scalable solutions that enable restaurants and retailers to differentiate their brands and operate more efficiently in a rapidly evolving commerce landscape. By combining hardware, software, services and payments into a unified suite of offerings, we can deliver to customers an end-to-end value proposition that we believe is difficult to match. As the adoption of our platform and solutions accelerates, we expect to strengthen customer relationships, enhance recurring revenue streams and broaden monetization opportunities across our Voyix Commerce Platform. To achieve our goals, we are focused on: (i) delivering a modern suite of Software-as-a-Service (“SaaS”) solutions, (ii) expanding adoption of our integrated payment solutions, (iii) scaling our differentiated services offerings and (iv) investing in innovation to further expand our platform capabilities.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Macroeconomic Trends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Global Trade, Macroeconomic Environment</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U.S. and other global markets currently are experiencing increased volatility due to the effects of, among other things, recent changes in imposed or threatened tariffs and other trade policy changes by the U.S. and other countries, escalating geopolitical and civil conflicts, including, but not limited to, Eastern Europe and the Middle East, inflationary pressures, such as increasing prices for goods and services, changing fiscal and/or monetary policies in the U.S. and elsewhere, and fluctuating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currency exchange rates, elevated unemployment rates, global shortages of microchips and other technology components, primarily driven by the adoption of artificial intelligence technologies, and, in some locations around the world, decreased economic conditions that indicate the potential for near-term recessions or slowdowns.</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Given our geographic presence and the multinational composition of our customer base, our business and financial performance could be impacted by the evolving global economic landscape. We are subject to a variety of risks posed by the current macroeconomic environment, and we are continuously monitoring the direct and indirect impacts of these circumstances. U.S. foreign trade policy continues to evolve under the current presidential administration, including the announcement of a number of new tariffs in the wake of the U.S. Supreme Court’s February 2026 decision to uphold a ruling that invalidated certain tariffs previously imposed. It is currently unknown if these tariffs will remain in place, be expanded or be removed, and we do not know whether foreign countries will adopt retaliatory trade policies in response to these new tariffs. As a result of these developments, we do not know the full extent of the impact of the recently invalidated tariffs or of the new tariffs recently imposed, and there is much uncertainty surrounding the long-term effects that they will have on economic conditions within the U.S. and elsewhere.</w:t>
      </w:r>
    </w:p>
    <w:p>
      <w:pPr>
        <w:spacing w:after="0" w:line="1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a result of these uncertainties, we may be impacted in the future within the markets in which we operate. However, we have taken steps to mitigate part of the impact of these tariffs and are currently analyzing opportunities to further address the impact of these tariffs. Economic pressures on retail and restaurant businesses and on consumers could negatively affect our revenue and profitability in future periods. The current trade policy environment is expected to continue to evolve, but we cannot forecast the impact that these or other changes will have on our business and financial performance.</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we continue to execute on our strategy to shift to recurring revenue, our revenues and earnings will become more predictable; however, the broader implications of these macroeconomic events on our business, results of operations and overall financial position, particularly in the short term, remain uncertain.</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For further discussion of trends, uncertainties and other factors that could affect our operating results, refer to Part I, Item 1A, “Risk Factors”, contained in our 2025 Form 10-K and subsequent filings we make with the SEC.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 Ransomware Incident</w:t>
      </w:r>
    </w:p>
    <w:p>
      <w:pPr>
        <w:spacing w:after="0" w:line="2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previously disclosed, in April 2023 we determined that a single data center outage impacting certain of our commerce customers was caused by a cyber ransomware incident. Following investigation, we concluded that this incident impacted operations for some customers only with respect to specific Aloha cloud-based services and Counterpoint. Functionality was fully restored to all impacted customers, and we built a new cloud environment to host the affect applications. As of March 31, 2026, the Company has incurred a cumulative $47 million of expenses related to the cyber ransomware incident and has recovered $37 million under our insurance policies.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ACH Disbursements</w:t>
      </w:r>
    </w:p>
    <w:p>
      <w:pPr>
        <w:spacing w:after="0" w:line="2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February 2024, we identified fraudulent automated clearing house “ACH” disbursements from a Company bank account. As of March 31, 2026, the cumulative amount of these disbursements total $34 million, and we have recovered approximately $16 million of fraudulent disbursements from the Company’s banks. We are pursuing insurance recoveries in connection with this matter; however, there can be no assurance that we will be successful in recovering additional amounts of the unauthorized ACH disbursements from our insurance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from Operations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 the three months ended March 31, 2026 compared to the three months ended March 31,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w:t>
      </w:r>
    </w:p>
    <w:p>
      <w:pPr>
        <w:spacing w:after="0" w:line="24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The following tables show our results for the three months ended March 31, 2026 and 2025, respectively, the relative percentage that those amounts represent to revenue, and the change in those amounts year-over-year.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80" w:type="dxa"/>
            <w:vAlign w:val="bottom"/>
          </w:tcPr>
          <w:p>
            <w:pPr>
              <w:spacing w:after="0"/>
              <w:rPr>
                <w:sz w:val="18"/>
                <w:szCs w:val="18"/>
                <w:color w:val="auto"/>
              </w:rPr>
            </w:pPr>
          </w:p>
        </w:tc>
        <w:tc>
          <w:tcPr>
            <w:tcW w:w="2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 xml:space="preserve">Percentage of Revenue </w:t>
            </w:r>
            <w:r>
              <w:rPr>
                <w:rFonts w:ascii="Times New Roman" w:cs="Times New Roman" w:eastAsia="Times New Roman" w:hAnsi="Times New Roman"/>
                <w:sz w:val="17"/>
                <w:szCs w:val="17"/>
                <w:b w:val="1"/>
                <w:bCs w:val="1"/>
                <w:color w:val="auto"/>
                <w:vertAlign w:val="superscript"/>
              </w:rPr>
              <w:t>(1)</w:t>
            </w:r>
          </w:p>
        </w:tc>
        <w:tc>
          <w:tcPr>
            <w:tcW w:w="14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82"/>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2026 vs 2025</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75.4 %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75.2 %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606</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gross margin</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gross margin</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123</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26.9 %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gross margin</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21.5 %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6.4 %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149</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24.6 %</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25.3 %</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8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
        </w:trPr>
        <w:tc>
          <w:tcPr>
            <w:tcW w:w="4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Strategic Financial Metrics</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following tables show our key strategic financial metrics for the three months ended March 31, 2026 and 2025, respectively, the relative percentage that those amounts represent to total revenue, and the change in those amounts year-over-year.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revenue as a percentage of total revenue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23"/>
        </w:trPr>
        <w:tc>
          <w:tcPr>
            <w:tcW w:w="4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2"/>
        </w:trPr>
        <w:tc>
          <w:tcPr>
            <w:tcW w:w="4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2026 vs 2025</w:t>
            </w:r>
          </w:p>
        </w:tc>
      </w:tr>
      <w:tr>
        <w:trPr>
          <w:trHeight w:val="219"/>
        </w:trPr>
        <w:tc>
          <w:tcPr>
            <w:tcW w:w="4120" w:type="dxa"/>
            <w:vAlign w:val="bottom"/>
            <w:shd w:val="clear" w:color="auto" w:fill="CCEEFF"/>
          </w:tcPr>
          <w:p>
            <w:pPr>
              <w:ind w:left="240"/>
              <w:spacing w:after="0" w:line="219" w:lineRule="exact"/>
              <w:rPr>
                <w:sz w:val="20"/>
                <w:szCs w:val="20"/>
                <w:color w:val="auto"/>
              </w:rPr>
            </w:pPr>
            <w:r>
              <w:rPr>
                <w:rFonts w:ascii="Times New Roman" w:cs="Times New Roman" w:eastAsia="Times New Roman" w:hAnsi="Times New Roman"/>
                <w:sz w:val="17"/>
                <w:szCs w:val="17"/>
                <w:color w:val="auto"/>
              </w:rPr>
              <w:t>Recurring revenue</w:t>
            </w:r>
            <w:r>
              <w:rPr>
                <w:rFonts w:ascii="Times New Roman" w:cs="Times New Roman" w:eastAsia="Times New Roman" w:hAnsi="Times New Roman"/>
                <w:sz w:val="22"/>
                <w:szCs w:val="22"/>
                <w:color w:val="auto"/>
                <w:vertAlign w:val="superscript"/>
              </w:rPr>
              <w:t>(1)</w:t>
            </w: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69.1 %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0"/>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All other products and services</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187</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30.9 %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240" w:hanging="236"/>
        <w:spacing w:after="0" w:line="204" w:lineRule="auto"/>
        <w:tabs>
          <w:tab w:leader="none" w:pos="163"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Recurring revenue includes all revenue streams from contracts where there is a predictable revenue pattern that will occur at regular intervals with a relatively high degree of certainty. This includes hardware and software maintenance revenue, SaaS solutions revenue, payment processing revenue, and certain professional services arrangements as well as term-based software license arrangements that include customer termination rights.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1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 and services revenue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Hardware revenue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22.1 %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 (loss) from continuing operations attributable to NCR Voyix and Adjusted EBITDA</w:t>
      </w:r>
      <w:r>
        <w:rPr>
          <w:rFonts w:ascii="Times New Roman" w:cs="Times New Roman" w:eastAsia="Times New Roman" w:hAnsi="Times New Roman"/>
          <w:sz w:val="22"/>
          <w:szCs w:val="22"/>
          <w:b w:val="1"/>
          <w:bCs w:val="1"/>
          <w:i w:val="1"/>
          <w:iCs w:val="1"/>
          <w:color w:val="auto"/>
          <w:vertAlign w:val="superscript"/>
        </w:rPr>
        <w:t>(2)</w:t>
      </w:r>
      <w:r>
        <w:rPr>
          <w:rFonts w:ascii="Times New Roman" w:cs="Times New Roman" w:eastAsia="Times New Roman" w:hAnsi="Times New Roman"/>
          <w:sz w:val="17"/>
          <w:szCs w:val="17"/>
          <w:b w:val="1"/>
          <w:bCs w:val="1"/>
          <w:i w:val="1"/>
          <w:iCs w:val="1"/>
          <w:color w:val="auto"/>
        </w:rPr>
        <w:t xml:space="preserve"> as a percentage of total revenue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87"/>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154"/>
        </w:trPr>
        <w:tc>
          <w:tcPr>
            <w:tcW w:w="4120" w:type="dxa"/>
            <w:vAlign w:val="bottom"/>
            <w:shd w:val="clear" w:color="auto" w:fill="CCEEFF"/>
          </w:tcPr>
          <w:p>
            <w:pPr>
              <w:ind w:left="220"/>
              <w:spacing w:after="0" w:line="154" w:lineRule="exact"/>
              <w:rPr>
                <w:sz w:val="20"/>
                <w:szCs w:val="20"/>
                <w:color w:val="auto"/>
              </w:rPr>
            </w:pPr>
            <w:r>
              <w:rPr>
                <w:rFonts w:ascii="Times New Roman" w:cs="Times New Roman" w:eastAsia="Times New Roman" w:hAnsi="Times New Roman"/>
                <w:sz w:val="17"/>
                <w:szCs w:val="17"/>
                <w:color w:val="auto"/>
              </w:rPr>
              <w:t>Net income (loss) from continuing operations</w:t>
            </w:r>
          </w:p>
        </w:tc>
        <w:tc>
          <w:tcPr>
            <w:tcW w:w="900" w:type="dxa"/>
            <w:vAlign w:val="bottom"/>
            <w:vMerge w:val="restart"/>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(0.3)%</w:t>
            </w: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attributable to NCR Voyix</w:t>
            </w:r>
          </w:p>
        </w:tc>
        <w:tc>
          <w:tcPr>
            <w:tcW w:w="900" w:type="dxa"/>
            <w:vAlign w:val="bottom"/>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8"/>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900" w:type="dxa"/>
            <w:vAlign w:val="bottom"/>
          </w:tcPr>
          <w:p>
            <w:pPr>
              <w:jc w:val="right"/>
              <w:ind w:right="702"/>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78</w:t>
            </w:r>
          </w:p>
        </w:tc>
        <w:tc>
          <w:tcPr>
            <w:tcW w:w="100" w:type="dxa"/>
            <w:vAlign w:val="bottom"/>
          </w:tcPr>
          <w:p>
            <w:pPr>
              <w:spacing w:after="0"/>
              <w:rPr>
                <w:sz w:val="19"/>
                <w:szCs w:val="19"/>
                <w:color w:val="auto"/>
              </w:rPr>
            </w:pP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12.9 %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60" w:hanging="156"/>
        <w:spacing w:after="0"/>
        <w:tabs>
          <w:tab w:leader="none" w:pos="16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Refer to our definition of Adjusted EBITDA in the section entitled “Non-GAAP Financial Measures and Use of Certain Terms.”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Financial Measures and Use of Certain Terms:</w:t>
      </w:r>
    </w:p>
    <w:p>
      <w:pPr>
        <w:spacing w:after="0" w:line="2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Adjusted Earnings Before Interest, Taxes, Depreciation and Amortization (“Adjusted EBITDA”) </w:t>
      </w:r>
      <w:r>
        <w:rPr>
          <w:rFonts w:ascii="Times New Roman" w:cs="Times New Roman" w:eastAsia="Times New Roman" w:hAnsi="Times New Roman"/>
          <w:sz w:val="17"/>
          <w:szCs w:val="17"/>
          <w:color w:val="auto"/>
        </w:rPr>
        <w:t>Our management uses the non-GAAP measure Adjusted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EBITDA because it provides useful information to investors as an indicator of strength and performance of the Company’s ongoing business operations, including funding discretionary spending such as capital expenditures, strategic acquisitions, and other investments. We determine Adjusted EBITDA based on GAAP net income (loss) from continuing operations attributable to NCR Voyix plus interest expense, net; plus income tax expense (benefit); plus depreciation and amortization (excluding acquisition-related amortization of intangibles); plus stock-based compensation expense; plus pension mark-to-market adjustments and other special items, including amortization of acquisition-related intangibles, acquisition-related costs, loss (gain) on disposal of businesses, loss (gain) on extinguishment of debt, separation-related costs, cyber ransomware incident recovery costs net of insurance recoveries, fraudulent ACH disbursements costs net of recoveries, foreign currency devaluation, transformation and restructuring charges (which includes integration, severance and other exit and disposal costs), strategic initiative costs and litigation costs, among others. The special items are considered non-operational or non-recurring in nature, so are excluded from the Adjusted EBITDA metric utilized by our chief operating decision maker in evaluating segment performance and are separately delineated to reconcile back to total reported income (loss) from continuing operations attributable to NCR Voyix. This format is useful to investors because it allows analysis and comparability of operating trends. It also includes the same information that is used by our management to make decisions regarding the segments and to assess our financial performance. Refer to the table below for the reconciliations of net income (loss) from continuing operations attributable to NCR Voyix (GAAP) to Adjusted EBITDA (non-GAAP).</w:t>
      </w:r>
    </w:p>
    <w:p>
      <w:pPr>
        <w:spacing w:after="0" w:line="200" w:lineRule="exact"/>
        <w:rPr>
          <w:sz w:val="20"/>
          <w:szCs w:val="20"/>
          <w:color w:val="auto"/>
        </w:rPr>
      </w:pPr>
    </w:p>
    <w:p>
      <w:pPr>
        <w:spacing w:after="0" w:line="2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Our definitions and calculations of these non-GAAP measures may differ from similarly-titled measures reported by other companies and cannot, therefore, be compared with similarly-titled measures of other companies. These non-GAAP measures should not be considered as substitutes for, or superior to, results determined in accordance with GAAP.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14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68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from continuing operations attributable to NCR Voyix (GAAP)</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(excluding acquisition related amortization of intangibles)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Acquisition-related amortization of intangibles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Transformation and restructuring costs</w:t>
            </w:r>
            <w:r>
              <w:rPr>
                <w:rFonts w:ascii="Times New Roman" w:cs="Times New Roman" w:eastAsia="Times New Roman" w:hAnsi="Times New Roman"/>
                <w:sz w:val="22"/>
                <w:szCs w:val="22"/>
                <w:color w:val="auto"/>
                <w:vertAlign w:val="superscript"/>
              </w:rPr>
              <w:t>(1)</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Strategic initiatives</w:t>
            </w:r>
            <w:r>
              <w:rPr>
                <w:rFonts w:ascii="Times New Roman" w:cs="Times New Roman" w:eastAsia="Times New Roman" w:hAnsi="Times New Roman"/>
                <w:sz w:val="22"/>
                <w:szCs w:val="22"/>
                <w:color w:val="auto"/>
                <w:vertAlign w:val="superscript"/>
              </w:rPr>
              <w:t>(2)</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ind w:left="20"/>
              <w:spacing w:after="0" w:line="221" w:lineRule="exact"/>
              <w:rPr>
                <w:sz w:val="20"/>
                <w:szCs w:val="20"/>
                <w:color w:val="auto"/>
              </w:rPr>
            </w:pPr>
            <w:r>
              <w:rPr>
                <w:rFonts w:ascii="Times New Roman" w:cs="Times New Roman" w:eastAsia="Times New Roman" w:hAnsi="Times New Roman"/>
                <w:sz w:val="17"/>
                <w:szCs w:val="17"/>
                <w:color w:val="auto"/>
              </w:rPr>
              <w:t>Litigation costs</w:t>
            </w:r>
            <w:r>
              <w:rPr>
                <w:rFonts w:ascii="Times New Roman" w:cs="Times New Roman" w:eastAsia="Times New Roman" w:hAnsi="Times New Roman"/>
                <w:sz w:val="22"/>
                <w:szCs w:val="22"/>
                <w:color w:val="auto"/>
                <w:vertAlign w:val="superscript"/>
              </w:rPr>
              <w:t>(3)</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(non-GAAP)</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Represents integration, severance, and other exit and disposal costs which are considered non-operational in nature.</w:t>
      </w:r>
    </w:p>
    <w:p>
      <w:pPr>
        <w:jc w:val="both"/>
        <w:spacing w:after="0" w:line="214" w:lineRule="auto"/>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Represents professional fees related to strategic initiatives which are considered non-operational in nature, as well as certain costs incurred related to the Hardware Business Transition.</w:t>
      </w:r>
    </w:p>
    <w:p>
      <w:pPr>
        <w:jc w:val="both"/>
        <w:spacing w:after="0" w:line="217" w:lineRule="auto"/>
        <w:rPr>
          <w:sz w:val="20"/>
          <w:szCs w:val="20"/>
          <w:color w:val="auto"/>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Represents costs related to certain litigation matters, reflecting the costs of the indemnity and associated legal fees, net of expected indemnity recoveries from NCR Atleos, as discussed in Note 9,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Adjusted free cash flow-unrestricted </w:t>
      </w:r>
      <w:r>
        <w:rPr>
          <w:rFonts w:ascii="Times New Roman" w:cs="Times New Roman" w:eastAsia="Times New Roman" w:hAnsi="Times New Roman"/>
          <w:sz w:val="17"/>
          <w:szCs w:val="17"/>
          <w:color w:val="auto"/>
        </w:rPr>
        <w:t>NCR Voyix management uses the non-GAAP measure called “adjusted free cash flow-unrestricted” to assess the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of the Company. We define adjusted free cash flow-unrestricted as net cash provided by (used in) operating activities less capital expenditures for property, plant and equipment and capitalized software, plus/minus collections of previously sold trade receivables purchased from third parties, restricted cash settlement activity, cash activity related to environmental discontinued operations, collections on non-operating receivables related to inventory sold for the Hardware Business Transition, plus acquisition-related items, and pension contributions and settlements.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believe adjusted free cash flow-unrestricted information is useful for investors because it relates the operating cash flows from the Company’s operations to the capital that is spent to continue and improve business operations. In particular, adjusted free cash flow-unrestricted indicates the amount of cash available after capital expenditures for, among other things, investments in the Company’s existing businesses, strategic acquisitions, and repayment of debt obligations. Adjusted free cash flow does not represent the residual cash flow available for discretionary expenditures, since there may be other non-discretionary expenditures that are not deducted from the measure. Adjusted free cash flow-unrestricted does not have a uniform definition under GAAP, and therefore the Company’s definition may differ from other companies’ definitions of this measure. These non-GAAP measures should not be considered a substitute for, or superior to, cash flows from operating activities under GAAP.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the section titled “Financial Condition, Liquidity and Capital Resources” in Item 2 of this Form 10-Q for additional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08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457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75.4 %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75.2 %</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606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Product revenue includes our hardware and software license revenue streams. Service revenue includes SaaS solutions, software maintenance, professional services, installation services, payment processing and hardware maintenance.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March 31, 2026 compared to the three months ended March 31, 2025</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Total revenue decreased 1% for the three months ended March 31, 2026 compared to the three months ended March 31, 2025. Product revenue for the three months ended March 31, 2026 decreased 2% compared to the three months ended March 31, 2025 due to a decline in SCO and POS hardware revenues. Service revenue for the three months ended March 31, 2026 decreased 1% compared to the three months ended March 31, 2025 mainly due to decreases in non-recurring installation services, SaaS solutions and professional services revenues, offset by increases in hardware maintenance, payments processing and software maintenance revenues. Recurring revenue increased 4% for the three months ended March 31, 2026 compared to the three months ended March 31, 2025 primarily driven by payments processing and hardware maintenance revenues.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Margin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98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 xml:space="preserve">Percentage of Revenue </w:t>
            </w:r>
            <w:r>
              <w:rPr>
                <w:rFonts w:ascii="Times New Roman" w:cs="Times New Roman" w:eastAsia="Times New Roman" w:hAnsi="Times New Roman"/>
                <w:sz w:val="17"/>
                <w:szCs w:val="17"/>
                <w:b w:val="1"/>
                <w:bCs w:val="1"/>
                <w:color w:val="auto"/>
                <w:vertAlign w:val="superscript"/>
              </w:rPr>
              <w:t>(1)</w:t>
            </w: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82"/>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2026 v 2025</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gross margin</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gross margin</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26.9 %</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27.9 %</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gross margin</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21.5 %</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21.5 %</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160" w:hanging="156"/>
        <w:spacing w:after="0"/>
        <w:tabs>
          <w:tab w:leader="none" w:pos="16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percentage of revenue is calculated for each line item divided by the related component of revenue.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March 31, 2026 compared to the three months ended March 31, 2025</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Gross margin as a percentage of revenue in the three months ended March 31, 2026 was 21.5% compared to 21.5% in the three months ended March 31, 2025. Product gross margin was flat in the three months ended March 31, 2026 compared to the three months ended March 31, 2025. Product gross margin for the three months ended March 31, 2026 had decreases in hardware gross margin, offset by improvements in software license gross margin compared to the three months ended March 31, 2025.</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Included in product gross margin were strategic initiative costs of $6 million for the three months ended March 31, 2026 compared to $1 million in the three months ended March 31, 2025. These one-time strategic initiative costs in 2026 relate to costs incurred for the Hardware Business Transition. Service gross margin decreased due to declines in installation services and SaaS solutions gross margins, offset by an increase in professional services, payments processing, hardware maintenance and software maintenance gross margins in the three months ended March 31, 2026 as compared to the three months ended March 31, 2025.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80" w:type="dxa"/>
            <w:vAlign w:val="bottom"/>
          </w:tcPr>
          <w:p>
            <w:pPr>
              <w:spacing w:after="0"/>
              <w:rPr>
                <w:sz w:val="15"/>
                <w:szCs w:val="15"/>
                <w:color w:val="auto"/>
              </w:rPr>
            </w:pPr>
          </w:p>
        </w:tc>
        <w:tc>
          <w:tcPr>
            <w:tcW w:w="2360" w:type="dxa"/>
            <w:vAlign w:val="bottom"/>
            <w:gridSpan w:val="4"/>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Increase (Decrease)</w:t>
            </w:r>
          </w:p>
        </w:tc>
        <w:tc>
          <w:tcPr>
            <w:tcW w:w="0" w:type="dxa"/>
            <w:vAlign w:val="bottom"/>
          </w:tcPr>
          <w:p>
            <w:pPr>
              <w:spacing w:after="0"/>
              <w:rPr>
                <w:sz w:val="1"/>
                <w:szCs w:val="1"/>
                <w:color w:val="auto"/>
              </w:rPr>
            </w:pPr>
          </w:p>
        </w:tc>
      </w:tr>
      <w:tr>
        <w:trPr>
          <w:trHeight w:val="23"/>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98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 v 2025</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March 31, 2026 compared to the three months ended March 31, 2025</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Selling, general, and administrative expenses were $110 million in the three months ended March 31, 2026, compared to $115 million in the three months ended March 31, 2025. As a percentage of revenue, selling, general and administrative expenses were 18.2% and 18.8% in the three months ended March 31, 2026 and 2025, respectively. The decrease in selling, general and administrative expenses for the three months ended March 31, 2026 compared to the prior year is due to the cost reduction initiatives implemented during the period.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Increase (Decrease)</w:t>
            </w: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 v 2025</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b w:val="1"/>
                <w:bCs w:val="1"/>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March 31, 2026 compared to the three months ended March 31, 2025</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Research and development expenses were $39 million in the three months ended March 31, 2026, compared to $40 million in the three months ended March 31, 2025. As a percentage of revenue, research and development costs were 6.4% and 6.5% in the three months ended March 31, 2026 and 2025, respectively. Research and development expenses in the three months ended March 31, 2026 have decreased compared to the prior year period due to cost reduction initiatives implemented during the period, including the use of artificial intelligence as a software development tool.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23"/>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570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2026 v 2025</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March 31, 2026 compared to the three months ended March 31, 2025</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Interest expense was $15 million for both the three months ended March 31, 2026 and 2025. Interest expense is primarily related to our senior unsecured notes and borrowings under the Senior Secured Credit Facility.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 net</w:t>
      </w:r>
    </w:p>
    <w:p>
      <w:pPr>
        <w:spacing w:after="0" w:line="2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Other income (expense), net was expense of $7 million and income of $8 million for the three months ended March 31, 2026 and 2025, respectively, with the components reflected in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0" w:type="dxa"/>
            <w:vAlign w:val="bottom"/>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62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fluctuations and foreign exchange contracts</w:t>
            </w:r>
          </w:p>
        </w:tc>
        <w:tc>
          <w:tcPr>
            <w:tcW w:w="4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Bank-related fees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benefit plans</w:t>
            </w:r>
          </w:p>
        </w:tc>
        <w:tc>
          <w:tcPr>
            <w:tcW w:w="420" w:type="dxa"/>
            <w:vAlign w:val="bottom"/>
          </w:tcPr>
          <w:p>
            <w:pPr>
              <w:spacing w:after="0"/>
              <w:rPr>
                <w:sz w:val="19"/>
                <w:szCs w:val="19"/>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Included in Other, net for the three months ended March 31, 2026 are strategic initiative costs of $12 million related to the Hardware Business Transition.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gridSpan w:val="4"/>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62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March 31, 2026 compared to the three months ended March 31, 2025</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Income tax provisions for interim (quarterly) periods are based on an estimated annual effective income tax rate calculated separately from the effect of significant, infrequent, or unusual items. Income tax benefit from continuing operations was $39 million for the three months ended March 31, 2026, compared to income tax benefit of $7 million for the three months ended March 31, 2025. The increase in the income tax benefit was primarily driven by changes to the estimated full-year valuation allowance and withholding taxes, changes in the geographic earnings mix, and a higher loss from continuing operations before taxes for the three months ended March 31, 2026, compared to the prior year.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(Loss) from Discontinued Operations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gridSpan w:val="4"/>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848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operations, net of tax</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March 31, 2026 compared to the three months ended March 31, 2025</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recognized a loss from discontinued operations, net of tax, for the three months ended March 31, 2026 of which $2 million of loss from discontinued operations related to the sale of the Japan Bank Technology Solutions business and $1 million of loss from discontinued operations related to the Company’s environmental remediation matters.</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recognized income from discontinued operations, net of tax, of $4 million for the three months ended March 31, 2025, of which $1 million of income related to the sale of the Japan Bank Technology Solutions business and $3 million of income from discontinued operations related to the Company’s environmental remediation matters.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2, “Discontinued Operations” of the Notes to Condensed Consolidated Financial Statements, for additional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and Adjusted EBITDA by Segment</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manages and reports its businesses in the following two segments: Retail and Restaurants. Segments are measured for profitability by the Company’s chief operating decision maker based on revenue and segment Adjusted EBITDA. Refer to the section above entitled “Non-GAAP Financial Measures and Use of Certain Terms” for our definition of Adjusted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EBITDA and the reconciliation of net income (loss) from continuing operations attributable to NCR Voyix (GAAP) to Adjusted EBITDA (non-GAAP).</w:t>
      </w:r>
    </w:p>
    <w:p>
      <w:pPr>
        <w:spacing w:after="0" w:line="24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Corporate and Other includes income and expenses related to corporate functions that are not specifically attributable to any of our two individual reportable segments along with certain non-strategic businesses that are considered immaterial operating segment(s) and commercial agreements with NCR Atleos.</w:t>
      </w:r>
    </w:p>
    <w:p>
      <w:pPr>
        <w:spacing w:after="0" w:line="17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The following tables show our segment revenue and Adjusted EBITDA for the three months ended March 31, the relative percentage that those amounts represent to segment revenue, and the change in those amounts year-over-year.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94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 xml:space="preserve">Percentage of Revenue </w:t>
            </w:r>
            <w:r>
              <w:rPr>
                <w:rFonts w:ascii="Times New Roman" w:cs="Times New Roman" w:eastAsia="Times New Roman" w:hAnsi="Times New Roman"/>
                <w:sz w:val="17"/>
                <w:szCs w:val="17"/>
                <w:b w:val="1"/>
                <w:bCs w:val="1"/>
                <w:color w:val="auto"/>
                <w:vertAlign w:val="superscript"/>
              </w:rPr>
              <w:t>(1)</w:t>
            </w: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82"/>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2026 v 2025</w:t>
            </w: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0"/>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427</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70.5 %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Restaurants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29.5 %</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31.2 %</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3"/>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segment revenue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606</w:t>
            </w:r>
          </w:p>
        </w:tc>
        <w:tc>
          <w:tcPr>
            <w:tcW w:w="12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3"/>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606</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6"/>
        </w:trPr>
        <w:tc>
          <w:tcPr>
            <w:tcW w:w="424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Adjusted EBITDA by Segment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20"/>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78</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18.3 %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r>
      <w:tr>
        <w:trPr>
          <w:trHeight w:val="22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Restaurants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bl>
    <w:p>
      <w:pPr>
        <w:spacing w:after="0" w:line="49" w:lineRule="exact"/>
        <w:rPr>
          <w:sz w:val="20"/>
          <w:szCs w:val="20"/>
          <w:color w:val="auto"/>
        </w:rPr>
      </w:pPr>
    </w:p>
    <w:p>
      <w:pPr>
        <w:ind w:left="160" w:hanging="156"/>
        <w:spacing w:after="0"/>
        <w:tabs>
          <w:tab w:leader="none" w:pos="16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percentage of revenue is calculated for each line item divided by total revenue, except for Adjusted EBITDA, which are divided by the related component of revenue.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Revenue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March 31, 2026 compared to the three months ended March 31, 2025</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Retail revenue increased 2% for the three months ended March 31, 2026 compared to the prior year period. The increase in revenue is mainly related to an increase in payment processing, software license, software maintenance, hardware maintenance and hardware revenues, partially offset by a decrease in installation and professional services revenues for non-recurring revenue recognized in the prior year period. Retail recurring revenue grew by 5% when comparing the three months ended March 31, 2026 to the three months ended March 31, 2025.</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Restaurants revenue decreased 6% for the three months ended March 31, 2026 compared to the prior year period. The decrease in revenue is due to a decrease in SaaS solutions, installation services, hardware and software license revenues due to non-recurring revenue recognized in the prior year period. These decreases in revenue were partially offset by an increase in hardware maintenance in the current year period. Restaurants recurring revenue grew by 1% when comparing the three months ended March 31, 2026 to the three months ended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Adjusted EBITDA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March 31, 2026 compared to the three months ended March 31, 2025</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Retail Adjusted EBITDA increased 20% for the three months ended March 31, 2026 compared to the prior year period, mainly due to a favorable software revenue mix, and the Company’s cost reduction initiatives implemented during the year.</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Restaurants Adjusted EBITDA decreased 8% for the three months ended March 31, 2026 compared to the prior year period, due to the decrease in revenue, as discussed above.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Financial Condition, Liquidity and Capital Resources</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primary liquidity needs in the ordinary course of business are: (i) normal operating expenses; (ii) interest and principal requirements of our outstanding indebtedness; (iii) capital expenditures and lease payments; (iv) remediation payments related to environmental matters; (v) pension and postemployment plan contributions; and (vi) transformation and restructuring initiatives. We believe these needs will be satisfied in both the short and long term based on our current cash position, cash flows generated by our operations, and existing financing arrangements.</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March 31, 2026, our cash and cash equivalents totaled $232 million and our total debt was $1.1 billion. Our borrowing capacity under our senior secured credit facilities was $475 million as of March 31, 2026. Our ability to generate positive cash flows from operations is dependent on general economic conditions, and the competitive environment in our industry, and is subject to business and other risk factors, including as detailed in our filings with the SEC. If we are unable to generate sufficient cash flows from operations, or otherwise comply with the terms of our credit facilities, we may be required to seek additional financing alternatives.</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following table summarizes our cash flows from operating activities, investing activities and financing activities for both of the three months ended March 31, 2026 and 2025. The Consolidated Statements of Cash Flows include the results of continuing and discontinued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0" w:type="dxa"/>
            <w:vAlign w:val="bottom"/>
            <w:gridSpan w:val="4"/>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84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shd w:val="clear" w:color="auto" w:fill="CCEEFF"/>
          </w:tcPr>
          <w:p>
            <w:pPr>
              <w:jc w:val="center"/>
              <w:ind w:left="881"/>
              <w:spacing w:after="0"/>
              <w:rPr>
                <w:sz w:val="20"/>
                <w:szCs w:val="20"/>
                <w:color w:val="auto"/>
              </w:rPr>
            </w:pPr>
            <w:r>
              <w:rPr>
                <w:rFonts w:ascii="Times New Roman" w:cs="Times New Roman" w:eastAsia="Times New Roman" w:hAnsi="Times New Roman"/>
                <w:sz w:val="17"/>
                <w:szCs w:val="17"/>
                <w:b w:val="1"/>
                <w:bCs w:val="1"/>
                <w:color w:val="auto"/>
              </w:rPr>
              <w:t>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0"/>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400" w:type="dxa"/>
            <w:vAlign w:val="bottom"/>
          </w:tcPr>
          <w:p>
            <w:pPr>
              <w:spacing w:after="0"/>
              <w:rPr>
                <w:sz w:val="19"/>
                <w:szCs w:val="19"/>
                <w:color w:val="auto"/>
              </w:rPr>
            </w:pPr>
          </w:p>
        </w:tc>
        <w:tc>
          <w:tcPr>
            <w:tcW w:w="1260" w:type="dxa"/>
            <w:vAlign w:val="bottom"/>
          </w:tcPr>
          <w:p>
            <w:pPr>
              <w:jc w:val="center"/>
              <w:ind w:left="861"/>
              <w:spacing w:after="0"/>
              <w:rPr>
                <w:sz w:val="20"/>
                <w:szCs w:val="20"/>
                <w:color w:val="auto"/>
              </w:rPr>
            </w:pPr>
            <w:r>
              <w:rPr>
                <w:rFonts w:ascii="Times New Roman" w:cs="Times New Roman" w:eastAsia="Times New Roman" w:hAnsi="Times New Roman"/>
                <w:sz w:val="17"/>
                <w:szCs w:val="17"/>
                <w:b w:val="1"/>
                <w:bCs w:val="1"/>
                <w:color w:val="auto"/>
                <w:w w:val="98"/>
              </w:rPr>
              <w:t>(21)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61"/>
              <w:spacing w:after="0"/>
              <w:rPr>
                <w:sz w:val="20"/>
                <w:szCs w:val="20"/>
                <w:color w:val="auto"/>
              </w:rPr>
            </w:pPr>
            <w:r>
              <w:rPr>
                <w:rFonts w:ascii="Times New Roman" w:cs="Times New Roman" w:eastAsia="Times New Roman" w:hAnsi="Times New Roman"/>
                <w:sz w:val="17"/>
                <w:szCs w:val="17"/>
                <w:b w:val="1"/>
                <w:bCs w:val="1"/>
                <w:color w:val="auto"/>
                <w:w w:val="98"/>
              </w:rPr>
              <w:t>(18)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Cash provided by operating activities was $42 million in the three months ended March 31, 2026, compared to cash used in operating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activities of $42 million in the three months ended March 31, 2025. The increase in cash provided by operating activities was driven by movement in the net working capital accounts.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Capital Expenditures and Other Investing Activities </w:t>
      </w:r>
      <w:r>
        <w:rPr>
          <w:rFonts w:ascii="Times New Roman" w:cs="Times New Roman" w:eastAsia="Times New Roman" w:hAnsi="Times New Roman"/>
          <w:sz w:val="17"/>
          <w:szCs w:val="17"/>
          <w:color w:val="auto"/>
        </w:rPr>
        <w:t>Our principal capital expenditures are for software (purchased and internally developed) and additions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property and equipment. We invested approximately $36 million and $39 million in capital expenditures during the three months ended March 31, 2026 and 2025, respectively. We expect to continue investing in property and equipment, purchased software and internally developed software to support our business. Additionally, $17 million of cash was collected on the non-operating receivables with Ennoconn from the Hardware Business Transition during the three months ended March 31, 2026.</w:t>
      </w:r>
    </w:p>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Cash used in financing activities was $18 million in the three months ended March 31, 2026, compared to cash used in financing activities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$74 million in the three months ended March 31, 2025. During the three months ended March 31, 2026, the Company repurchased $9 million under our share repurchase program, compared to $62 million in the three months ended March 31, 2025. Additional financing activities included dividends paid on the Series A preferred stock, proceeds from employee stock plans as well as payments made for share repurchases and tax withholding payments on behalf of employees for stock based awards that vested. Financing activities also includes borrowings and repayments under our senior secured credit facilities as well as our unsecured senior notes.</w:t>
      </w:r>
    </w:p>
    <w:p>
      <w:pPr>
        <w:spacing w:after="0" w:line="3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Net cash provided by or used in operating activities of discontinued operations related to the Japan bank technology solutions business was $1 million of cash used in operating activities and $2 million of cash provided by operating activities for the three months ended March 31, 2026 and 2025, respectively. Net cash provided by or used in operating activities of discontinued operations related to environmental obligations was cash used in operating activities of $6 million and $7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Adjusted free cash flow </w:t>
      </w:r>
      <w:r>
        <w:rPr>
          <w:rFonts w:ascii="Times New Roman" w:cs="Times New Roman" w:eastAsia="Times New Roman" w:hAnsi="Times New Roman"/>
          <w:sz w:val="17"/>
          <w:szCs w:val="17"/>
          <w:color w:val="auto"/>
        </w:rPr>
        <w:t>NCR Voyix management uses a non-GAAP measure called “adjusted free cash flow-unrestricted” to assess the financial performance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We define adjusted free cash flow-unrestricted within the section titled “Non-GAAP Financial Measures and Use of Certain Terms” in Item 2 of this Form 10-Q. The table below reconciles net cash provided by operating activities to NCR Voyix’s non-GAAP measure of adjusted free cash flow-unrestricted for the three months ended March 31,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5"/>
                <w:szCs w:val="15"/>
                <w:color w:val="auto"/>
              </w:rPr>
            </w:pPr>
          </w:p>
        </w:tc>
        <w:tc>
          <w:tcPr>
            <w:tcW w:w="28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r>
      <w:tr>
        <w:trPr>
          <w:trHeight w:val="23"/>
        </w:trPr>
        <w:tc>
          <w:tcPr>
            <w:tcW w:w="8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 (GAAP)</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w:t>
            </w:r>
          </w:p>
        </w:tc>
      </w:tr>
      <w:tr>
        <w:trPr>
          <w:trHeight w:val="220"/>
        </w:trPr>
        <w:tc>
          <w:tcPr>
            <w:tcW w:w="8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Capital expenditures</w:t>
            </w:r>
          </w:p>
        </w:tc>
        <w:tc>
          <w:tcPr>
            <w:tcW w:w="30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(36)</w:t>
            </w:r>
          </w:p>
        </w:tc>
      </w:tr>
      <w:tr>
        <w:trPr>
          <w:trHeight w:val="220"/>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Restricted cash settlement activity</w:t>
            </w:r>
          </w:p>
        </w:tc>
        <w:tc>
          <w:tcPr>
            <w:tcW w:w="30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r>
      <w:tr>
        <w:trPr>
          <w:trHeight w:val="220"/>
        </w:trPr>
        <w:tc>
          <w:tcPr>
            <w:tcW w:w="8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Pension contributions</w:t>
            </w:r>
          </w:p>
        </w:tc>
        <w:tc>
          <w:tcPr>
            <w:tcW w:w="30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r>
      <w:tr>
        <w:trPr>
          <w:trHeight w:val="220"/>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Collections on purchased trade receivables</w:t>
            </w:r>
          </w:p>
        </w:tc>
        <w:tc>
          <w:tcPr>
            <w:tcW w:w="30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r>
      <w:tr>
        <w:trPr>
          <w:trHeight w:val="220"/>
        </w:trPr>
        <w:tc>
          <w:tcPr>
            <w:tcW w:w="8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activity related to environmental discontinued operations</w:t>
            </w:r>
          </w:p>
        </w:tc>
        <w:tc>
          <w:tcPr>
            <w:tcW w:w="30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r>
      <w:tr>
        <w:trPr>
          <w:trHeight w:val="220"/>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Collections on non-operating receivables</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2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free cash flow-unrestricted (non-GAAP)</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Long Term Borrowings </w:t>
      </w:r>
      <w:r>
        <w:rPr>
          <w:rFonts w:ascii="Times New Roman" w:cs="Times New Roman" w:eastAsia="Times New Roman" w:hAnsi="Times New Roman"/>
          <w:sz w:val="17"/>
          <w:szCs w:val="17"/>
          <w:color w:val="auto"/>
        </w:rPr>
        <w:t>The senior secured credit facilities include a term loan facility in an initial aggregate principal amount of $200 million, of which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repaid in full as of March 31, 2026. Additionally, the senior secured credit facilities include a five-year revolving credit facility with an aggregate principal amount of $500 million, of which zero was outstanding as of March 31, 2026. The revolving credit facility also contains a sub-facility to be used for letters of credit, and as of March 31, 2026, there were $25 million letters of credit outstanding.</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of March 31, 2026, we had outstanding $650 million aggregate principal balance of 5.000% senior unsecured notes due in 2028, $403 million in aggregate principal balance of 5.125% senior unsecured notes due in 2029 and $52 million in aggregate principal balance of 5.250% senior unsecured notes due in 2030.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5, “Debt Obligations”, of the Notes to Condensed Consolidated Financial Statements, for additional information regarding debt transactions.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Employee Benefit Plans </w:t>
      </w:r>
      <w:r>
        <w:rPr>
          <w:rFonts w:ascii="Times New Roman" w:cs="Times New Roman" w:eastAsia="Times New Roman" w:hAnsi="Times New Roman"/>
          <w:sz w:val="17"/>
          <w:szCs w:val="17"/>
          <w:color w:val="auto"/>
        </w:rPr>
        <w:t>In 2026, we expect to make contributions of $12 million to our international pension plans and $21 million to our postemployment plan.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additional information, refer to Note 8, “Employee Benefit Plans”, of the Notes to Condensed Consolidated Financial Statements.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Series A Convertible Preferred Stock </w:t>
      </w:r>
      <w:r>
        <w:rPr>
          <w:rFonts w:ascii="Times New Roman" w:cs="Times New Roman" w:eastAsia="Times New Roman" w:hAnsi="Times New Roman"/>
          <w:sz w:val="17"/>
          <w:szCs w:val="17"/>
          <w:color w:val="auto"/>
        </w:rPr>
        <w:t>As of March 31, 2026, the redemption value of the Series A Preferred Stock was approximately $207 million. Holders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Series A Convertible Preferred Stock are entitled to a cumulative dividend at the rate of 5.5% per annum, payable quarterly in arrears. Beginning in the first quarter of 2020, dividends are payable in cash or in-kind at the option of the Company. During the three months ended March 31, 2026 and 2025, the Company paid cash dividends of $3 million and $4 million, respectively.</w:t>
      </w:r>
    </w:p>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Prior to the close of business on October 17, 2023, the Series A Convertible Preferred Stock was convertible at the option of the 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57.5601 shares of common stock per share of Series A Convertible Preferred Stock. As of March 31, 2026, the maximum number of common shares that could be required to be issued upon conversion of the outstanding shares of the Series A Convertible Preferred Stock was 11.9 million shares, which would represent approximately 10% of our outstanding common stock as of March 31, 2026, including the preferred shares on an as-converted basis.</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Cash and Cash Equivalents Held by Foreign Subsidiaries </w:t>
      </w:r>
      <w:r>
        <w:rPr>
          <w:rFonts w:ascii="Times New Roman" w:cs="Times New Roman" w:eastAsia="Times New Roman" w:hAnsi="Times New Roman"/>
          <w:sz w:val="17"/>
          <w:szCs w:val="17"/>
          <w:color w:val="auto"/>
        </w:rPr>
        <w:t>Cash and cash equivalents held by the Company’s foreign subsidiaries at March 31, 2026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December 31, 2025 were $116 million and $120 million, respectively. Under current tax laws and regulations, if cash and cash equivalents and short-term investments held outside the U.S. are distributed to the U.S. in the form of dividends or otherwise, we may be subject to additional U.S. income taxes and foreign withholding taxes, which could be significant.</w:t>
      </w:r>
    </w:p>
    <w:p>
      <w:pPr>
        <w:spacing w:after="0" w:line="19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As of March 31, 2026, our cash and cash equivalents totaled $232 million and our total debt was $1.1 billion, excluding deferred fees. As of March 31,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2026, our borrowing capacity under the revolving credit facility was approximately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$475 million. Our ability to generate positive cash flows from operations is dependent on general economic conditions, the competitive environment in our industry, and is subject to the business and other risk factors described in Item 1A of Part I of the Company’s 2025 Annual Report on Form 10-K and Item 1A of Part II of this Quarterly Report on Form 10-Q (as applicable). If we are unable to generate sufficient cash flows from operations, or otherwise comply with the terms of our credit facilities, we may be required to seek additional financing alternatives.</w:t>
      </w:r>
    </w:p>
    <w:p>
      <w:pPr>
        <w:spacing w:after="0" w:line="19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believe that we have sufficient liquidity based on our current cash position and existing financing to meet our expected pension, postemployment, and postretirement plan contributions, remediation payments related to environmental matters, debt servicing obligations, payments related to separation, transformation and restructuring initiatives, and in the long-term (i.e., beyond March 31, 2027) to meet our material cash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Material Cash Requirements from Contractual and Other Obligations</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There have been no significant changes in our contractual and other commercial obligations as described in our Form 10-K for the year ended December 31, 2025.</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Critical Accounting Policies and Estimates</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Critical accounting policies are those that are most important to the portrayal of our financial position and results of operations. These policies require highly subjective or complex judgments, often employing the use of estimates about the effect of matters that are inherently uncertain. Our most critical accounting estimates pertain to revenue recognition, inventory valuation, goodwill and intangible assets, pension, postretirement and postemployment benefits, environmental and legal contingencies, and income taxes, which are described in Item 7 of our 2025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New Accounting Pronouncements</w:t>
      </w:r>
    </w:p>
    <w:p>
      <w:pPr>
        <w:spacing w:after="0" w:line="1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See discussion in Note 1, “Basis of Presentation and Summary of Significant Accounting Policies”, of the Notes to Condensed Consolidated Financial Statements for new accounting pronouncements.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Forward-Looking Statements</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Quarterly Report on Form 10-Q (this “Quarterly Report”) contains “forward-looking statements” within the meaning of the Private Securities Litigation Reform Act of 1995 (the “Act”), Section 27A of the Securities Act of 1933, and Section 21E of the Securities Exchange Act of 1934 (the “Exchange Act”). Forward-looking statements may appear throughout this Quarterly Report and can generally be identified by words such as “expect,” “target,” “anticipates,” “outlook,” “guidance,” “intend,” “plan,” “believe,” “will,” “should,” “would,” “potential,” “forecast,” “proposed,” “planned,” “objective,” “estimate,” “expected,” “likely,” “could,” “may,” and similar expressions referencing future events, conditions or circumstances. We intend for these forward-looking statements to be covered by the safe harbor provisions contained in the Act that are applicable to forward-looking statements. Examples of forward-looking statements include, without limitation, the Company’s plans, strategies, projections, future financial or operational results, events, trends, and economic and other future conditions. Forward-looking statements in this Quarterly Report include, without limitation, statements regarding: the Company’s plans, strategies, projections, future financial or operational results, events, trends, and economic and other future conditions; the Company’s plans, strategies, or objectives for future operations and offerings, including the Company’s suite of microservices-based applications, and its Voyix Commerce Platform; the expected benefits resulting from the Hardware Business Transition; the estimated or anticipated future results and benefits of the Company’s plans and operations; the Company’s expectations of demand for its solutions and service offerings and the impact thereof on the Company’s financial results in 2026; and statements regarding the Company’s ability to deliver increased value to customers and stockholders. Forward-looking statements are based solely on management’s current beliefs, expectations and assumptions, whether express or implied, regarding the future, which may prove to be inaccurate. Actual results could differ materially from expectations expressed or implied by such forward-looking statements due to a number of factors, such as the risks and uncertainties, including, but not limited to, the following: our ability to successfully execute our growth strategy; our ability to successfully develop new solutions that achieve market acceptance and keep pace with technological developments; our ability to maintain a consistently high level of customer service; our ability to achieve some or all of the expected benefits of our cost reduction initiatives; the success of our strategic relationships with third parties and our ability to integrate with third-party applications and software; risks related to tariffs, sanctions and trade barriers, and the related impact on macroeconomic conditions; the availability or applicability of tariff and duty exemptions to our products; the failure of our past or future acquisitions, divestitures and other strategic transactions to produce the anticipated results; our ability to perform under our agreements with NCR Atleos; potential indemnification obligations to NCR Atleos or a refusal of NCR Atleos to indemnify us pursuant to agreements executed in the spin-off; our ability to protect our systems and data from cybersecurity threats or other technological risks; risks related to</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evolving global laws and regulations relating to data privacy, data protection and information security; our ability to protect our intellectual property; extensive competition in our markets; disruptions in our data center hosting and public cloud facilities; risks related to defects, errors, installation difficulties or development delays; the failure of our artificial intelligence capabilities to operate as anticipated; our ability to maintain and update our information technology systems; changes in U.S. or foreign trade policies and domestic and global economic and credit conditions; risks related to geopolitical or armed conflicts in a region where we operate; our ability to retain key employees, or to recruit, develop and retain qualified employees; the inability of third party suppliers to fulfill our needs; risks related to our level or indebtedness; our ability to continue to access or renew financing sources and obtain capital; our failure to maintain effective internal control over financial reporting; and other factors included in “Item 1A-Risk Factors” of our most recent Annual Report on Form 10-K and in other documents that we file with the U.S. Securities and Exchange Commission (“SEC”), which we advise you to review.</w:t>
      </w:r>
    </w:p>
    <w:p>
      <w:pPr>
        <w:spacing w:after="0" w:line="1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Should one or more of these risks or uncertainties materialize, or should underlying assumptions prove incorrect, actual results may vary materially from those set forth in the forward-looking statements. Any forward-looking statement speaks only as of the date on which it is made and should not be relied upon as representing our plans and expectations as of any subsequent date. The Company does not undertake any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Risk</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are exposed to market risks primarily from changes in foreign currency exchange rates and interest rates. It is our policy to manage our foreign exchange exposure and debt structure in order to manage capital costs, control financial risks and maintain financial flexibility over the long term. In managing market risks, we may employ derivatives according to documented policies and procedures, including foreign currency contracts and interest rate swaps. We do not use derivatives for trading or speculative purposes.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Exchange Risk</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Since a portion of our operations and revenue occur outside the United States, and in currencies other than the U.S. Dollar, our results can be significantly impacted by changes in foreign currency exchange rates. We have exposure to approximately 25 functional currencies and are exposed to foreign currency exchange risk with respect to our sales, profits and assets and liabilities denominated in currencies other than the U.S. Dollar. Although we use financial instruments to hedge certain foreign currency risks, we are not fully protected against foreign currency fluctuations and our reported results of operations could be affected by changes in foreign currency exchange rates. To manage our exposures and mitigate the impact of currency fluctuations on the operations of our foreign subsidiaries, we hedge our main transactional exposures. We use derivatives not designated as hedging instruments consisting primarily of forward contracts to hedge foreign currency denominated balance sheet exposures. For these derivatives we recognize gains and losses in the same period as the remeasurement losses and gains of the related foreign currency-denominated exposures.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For purposes of analyzing potential risk, we use sensitivity analysis to quantify potential impacts that market rate changes may have on the fair values of our hedge portfolio. The sensitivity analysis represents the hypothetical changes in value of the hedge position and does not reflect the related gain or loss on the forecasted underlying transaction. A 10% appreciation in the value of the U.S. Dollar against foreign currencies from the prevailing market rates would have resulted in a corresponding decrease in the fair value of the hedge portfolio of less than $18 million as of March 31, 2026. A 10% depreciation in the value of the U.S. Dollar against foreign currencies from the prevailing market rates would have resulted in a corresponding increase in the fair value of the hedge portfolio of $20 million as of March 31, 2026. The Company expects that any increase or decrease in the fair value of the portfolio would be substantially offset by increases or decreases in the underlying exposures being hedged.</w:t>
      </w:r>
    </w:p>
    <w:p>
      <w:pPr>
        <w:spacing w:after="0" w:line="20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U.S. Dollar was weaker in the first quarter of 2026 compared to the first quarter of 2025 based on comparable weighted averages for our functional currencies. This excludes the effects of our hedging activities and, therefore, does not reflect the actual impact of fluctuations in exchange rates on our operating income.</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Approximately 100% of our borrowings were on a fixed rate basis as of March 31, 2026 and we did not have any outstanding interest rate derivative contracts as of March 31, 2026. We are subject to interest rate risk related to variable-rate debt when we borrow from our Revolving Credit Facility. As of March 31, 2026 and December 31, 2025, we had no borrowings under the facility.</w:t>
      </w:r>
    </w:p>
    <w:p>
      <w:pPr>
        <w:spacing w:after="0" w:line="1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Historically, we utilized interest rate swap contracts and interest rate cap agreements to add stability to interest expense and to manage exposure to interest rate movements as part of our interest rate risk management strategy. Payments and receipts related to interest rate cap agreements and interest rate swap contracts are included in cash flows from operating activities in the Consolidated Statements of Cash Flows. Refer to Note 12, “Derivatives and Hedging Instruments”, for further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Concentrations of Credit Risk</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are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balance sheet. Exposure to credit risk is managed through credit approvals, credit limits, selecting major international financial institutions as counterparties to hedging transactions, and monitoring procedures. Our business often involves large transactions with customers for which we do not require collateral. If one or more of those customers were to default in its obligations under applicable contractual arrangements, we could be exposed to potentially significant losses. Moreover, a prolonged downturn in the global economy could have an adverse impact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on the ability of our customers to pay their obligations on a timely basis. We believe that the reserves for potential losses are adequate. As of March 31, 2026, we did not have any significant concentration of credit risk related to financial instruments.</w:t>
      </w:r>
    </w:p>
    <w:p>
      <w:pPr>
        <w:spacing w:after="0" w:line="17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3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has established disclosure controls and procedures (as defined in Rules 13a-15(e) and 15d-15(e) of the Securities Exchange Act of 1934, as amended (the Exchange Act)). The Company’s management carried out an evaluation, under the supervision and with the participation of its Chief Executive and Chief Financial Officers, of the effectiveness of the design and operation of the Company’s disclosure controls and procedures as of March 31, 2026. Based on this evaluation, the Company’s Chief Executive and Chief Financial Officers have concluded that the Company’s disclosure controls and procedures were effective as of March 31, 2026 to provide reasonable assurance that the information required to be disclosed by the Company in reports that it files or submits under the Exchange Act is (i) recorded, processed, summarized and reported within the time periods specified in the SEC rules and forms and (ii) accumulated and communicated to management, including the Company’s Chief Executive and Chief Financial Officers, as appropriate, to allow timely decisions regarding required disclosure.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There have been no changes in the Company’s internal control over financial reporting that occurred during the three months ended March 31,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information required by this item is included in Note 9, “Commitments and Contingencies”, of the Notes to Condensed Consolidated Financial Statements in this quarterly report and is incorporated herein by reference.</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to the other information set forth in this Quarterly Report, you should carefully consider the risk factors and other cautionary statements described under Part I, Item 1A. “Risk Factors” in the Company’s 2025 Annual Report on Form 10-K,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the 2025 Annual Report on Form 10-K.</w:t>
      </w:r>
    </w:p>
    <w:p>
      <w:pPr>
        <w:spacing w:after="0" w:line="19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May 2025, the Board approved an amended and restated share repurchase program (the “Repurchase Program”), with no expiration from the date of authorization, that provided for a total aggregate repurchase authority of $200 million, to repurchase shares of the Company’s common stock and Series A preferred stock. Taking into account prior repurchases under the Repurchase Program, on February 12, 2026, the Board amended the Repurchase Program to replenish and add an incremental $178 million of repurchase authority under the program, which brought the total remaining aggregate repurchase authority under the program at the time to $300 million. As of March 31, 2026, the Repurchase Program had an existing aggregate remaining repurchase authority of $291 million.</w:t>
      </w:r>
    </w:p>
    <w:p>
      <w:pPr>
        <w:spacing w:after="0" w:line="200" w:lineRule="exact"/>
        <w:rPr>
          <w:sz w:val="20"/>
          <w:szCs w:val="20"/>
          <w:color w:val="auto"/>
        </w:rPr>
      </w:pP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may utilize the Repurchase Program from time to time to opportunistically repurchase common stock and Series A preferred stock based on varying factors. The timing and amount of repurchases under the Repurchase Program will depend upon varying factors, including stock price, the Company’s performance, market conditions and other possible uses of cash. Repurchases under the Repurchase Program may be made from time to time in open market purchases, privately negotiated transactions, accelerated stock repurchase programs, issuer self-tender offers or otherwise. The repurchases will be made in compliance with applicable securities laws and may be discontinued at any time.</w:t>
      </w:r>
    </w:p>
    <w:p>
      <w:pPr>
        <w:spacing w:after="0" w:line="19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Company’s 2017 Stock Incentive Plan allows shares to be surrendered to the Company to satisfy tax withholding obligations associated with the vesting of restricted stock units. The following table sets forth information with respect to our repurchases of shares of common stock (including shares surrendered to satisfy tax withholding) during the three months ended March 31, 2026.</w:t>
      </w:r>
    </w:p>
    <w:tbl>
      <w:tblPr>
        <w:tblLayout w:type="fixed"/>
        <w:tblInd w:w="0" w:type="dxa"/>
        <w:tblCellMar>
          <w:top w:w="0" w:type="dxa"/>
          <w:left w:w="0" w:type="dxa"/>
          <w:bottom w:w="0" w:type="dxa"/>
          <w:right w:w="0" w:type="dxa"/>
        </w:tblCellMar>
      </w:tblPr>
      <w:tr>
        <w:trPr>
          <w:trHeight w:val="160"/>
        </w:trPr>
        <w:tc>
          <w:tcPr>
            <w:tcW w:w="1940" w:type="dxa"/>
            <w:vAlign w:val="bottom"/>
          </w:tcPr>
          <w:p>
            <w:pPr>
              <w:spacing w:after="0"/>
              <w:rPr>
                <w:sz w:val="13"/>
                <w:szCs w:val="13"/>
                <w:color w:val="auto"/>
              </w:rPr>
            </w:pPr>
          </w:p>
        </w:tc>
        <w:tc>
          <w:tcPr>
            <w:tcW w:w="2160" w:type="dxa"/>
            <w:vAlign w:val="bottom"/>
            <w:vMerge w:val="restart"/>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Total number of shares purchased as part</w:t>
            </w:r>
          </w:p>
        </w:tc>
        <w:tc>
          <w:tcPr>
            <w:tcW w:w="140" w:type="dxa"/>
            <w:vAlign w:val="bottom"/>
          </w:tcPr>
          <w:p>
            <w:pPr>
              <w:spacing w:after="0"/>
              <w:rPr>
                <w:sz w:val="13"/>
                <w:szCs w:val="13"/>
                <w:color w:val="auto"/>
              </w:rPr>
            </w:pPr>
          </w:p>
        </w:tc>
        <w:tc>
          <w:tcPr>
            <w:tcW w:w="2440" w:type="dxa"/>
            <w:vAlign w:val="bottom"/>
          </w:tcPr>
          <w:p>
            <w:pPr>
              <w:jc w:val="center"/>
              <w:ind w:right="17"/>
              <w:spacing w:after="0" w:line="160" w:lineRule="exact"/>
              <w:rPr>
                <w:sz w:val="20"/>
                <w:szCs w:val="20"/>
                <w:color w:val="auto"/>
              </w:rPr>
            </w:pPr>
            <w:r>
              <w:rPr>
                <w:rFonts w:ascii="Times New Roman" w:cs="Times New Roman" w:eastAsia="Times New Roman" w:hAnsi="Times New Roman"/>
                <w:sz w:val="16"/>
                <w:szCs w:val="16"/>
                <w:b w:val="1"/>
                <w:bCs w:val="1"/>
                <w:color w:val="auto"/>
                <w:w w:val="97"/>
              </w:rPr>
              <w:t>Approximate dollar value of shares</w:t>
            </w:r>
          </w:p>
        </w:tc>
        <w:tc>
          <w:tcPr>
            <w:tcW w:w="0" w:type="dxa"/>
            <w:vAlign w:val="bottom"/>
          </w:tcPr>
          <w:p>
            <w:pPr>
              <w:spacing w:after="0"/>
              <w:rPr>
                <w:sz w:val="1"/>
                <w:szCs w:val="1"/>
                <w:color w:val="auto"/>
              </w:rPr>
            </w:pPr>
          </w:p>
        </w:tc>
      </w:tr>
      <w:tr>
        <w:trPr>
          <w:trHeight w:val="156"/>
        </w:trPr>
        <w:tc>
          <w:tcPr>
            <w:tcW w:w="1940" w:type="dxa"/>
            <w:vAlign w:val="bottom"/>
            <w:vMerge w:val="restart"/>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160" w:type="dxa"/>
            <w:vAlign w:val="bottom"/>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2900" w:type="dxa"/>
            <w:vAlign w:val="bottom"/>
            <w:vMerge w:val="continue"/>
          </w:tcPr>
          <w:p>
            <w:pPr>
              <w:spacing w:after="0"/>
              <w:rPr>
                <w:sz w:val="13"/>
                <w:szCs w:val="13"/>
                <w:color w:val="auto"/>
              </w:rPr>
            </w:pPr>
          </w:p>
        </w:tc>
        <w:tc>
          <w:tcPr>
            <w:tcW w:w="258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that may yet be purchased under the</w:t>
            </w:r>
          </w:p>
        </w:tc>
        <w:tc>
          <w:tcPr>
            <w:tcW w:w="0" w:type="dxa"/>
            <w:vAlign w:val="bottom"/>
          </w:tcPr>
          <w:p>
            <w:pPr>
              <w:spacing w:after="0"/>
              <w:rPr>
                <w:sz w:val="1"/>
                <w:szCs w:val="1"/>
                <w:color w:val="auto"/>
              </w:rPr>
            </w:pPr>
          </w:p>
        </w:tc>
      </w:tr>
      <w:tr>
        <w:trPr>
          <w:trHeight w:val="207"/>
        </w:trPr>
        <w:tc>
          <w:tcPr>
            <w:tcW w:w="1940" w:type="dxa"/>
            <w:vAlign w:val="bottom"/>
            <w:tcBorders>
              <w:bottom w:val="single" w:sz="8" w:color="auto"/>
            </w:tcBorders>
            <w:vMerge w:val="continue"/>
          </w:tcPr>
          <w:p>
            <w:pPr>
              <w:spacing w:after="0"/>
              <w:rPr>
                <w:sz w:val="18"/>
                <w:szCs w:val="18"/>
                <w:color w:val="auto"/>
              </w:rPr>
            </w:pPr>
          </w:p>
        </w:tc>
        <w:tc>
          <w:tcPr>
            <w:tcW w:w="2160" w:type="dxa"/>
            <w:vAlign w:val="bottom"/>
            <w:tcBorders>
              <w:bottom w:val="single" w:sz="8" w:color="auto"/>
            </w:tcBorders>
          </w:tcPr>
          <w:p>
            <w:pPr>
              <w:jc w:val="right"/>
              <w:ind w:right="457"/>
              <w:spacing w:after="0" w:line="207" w:lineRule="exact"/>
              <w:rPr>
                <w:sz w:val="20"/>
                <w:szCs w:val="20"/>
                <w:color w:val="auto"/>
              </w:rPr>
            </w:pPr>
            <w:r>
              <w:rPr>
                <w:rFonts w:ascii="Times New Roman" w:cs="Times New Roman" w:eastAsia="Times New Roman" w:hAnsi="Times New Roman"/>
                <w:sz w:val="16"/>
                <w:szCs w:val="16"/>
                <w:b w:val="1"/>
                <w:bCs w:val="1"/>
                <w:color w:val="auto"/>
              </w:rPr>
              <w:t>purchased</w:t>
            </w:r>
            <w:r>
              <w:rPr>
                <w:rFonts w:ascii="Times New Roman" w:cs="Times New Roman" w:eastAsia="Times New Roman" w:hAnsi="Times New Roman"/>
                <w:sz w:val="20"/>
                <w:szCs w:val="20"/>
                <w:b w:val="1"/>
                <w:bCs w:val="1"/>
                <w:color w:val="auto"/>
                <w:vertAlign w:val="superscript"/>
              </w:rPr>
              <w:t>(1)</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w w:val="98"/>
              </w:rPr>
              <w:t>of publicly announced plans or programs</w:t>
            </w:r>
          </w:p>
        </w:tc>
        <w:tc>
          <w:tcPr>
            <w:tcW w:w="1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center"/>
              <w:ind w:right="17"/>
              <w:spacing w:after="0" w:line="207" w:lineRule="exact"/>
              <w:rPr>
                <w:sz w:val="20"/>
                <w:szCs w:val="20"/>
                <w:color w:val="auto"/>
              </w:rPr>
            </w:pPr>
            <w:r>
              <w:rPr>
                <w:rFonts w:ascii="Times New Roman" w:cs="Times New Roman" w:eastAsia="Times New Roman" w:hAnsi="Times New Roman"/>
                <w:sz w:val="16"/>
                <w:szCs w:val="16"/>
                <w:b w:val="1"/>
                <w:bCs w:val="1"/>
                <w:color w:val="auto"/>
                <w:w w:val="95"/>
              </w:rPr>
              <w:t>plans or programs (in millions)</w:t>
            </w:r>
            <w:r>
              <w:rPr>
                <w:rFonts w:ascii="Times New Roman" w:cs="Times New Roman" w:eastAsia="Times New Roman" w:hAnsi="Times New Roman"/>
                <w:sz w:val="20"/>
                <w:szCs w:val="20"/>
                <w:b w:val="1"/>
                <w:bCs w:val="1"/>
                <w:color w:val="auto"/>
                <w:w w:val="95"/>
                <w:vertAlign w:val="superscript"/>
              </w:rPr>
              <w:t>(2)</w:t>
            </w:r>
          </w:p>
        </w:tc>
        <w:tc>
          <w:tcPr>
            <w:tcW w:w="0" w:type="dxa"/>
            <w:vAlign w:val="bottom"/>
          </w:tcPr>
          <w:p>
            <w:pPr>
              <w:spacing w:after="0"/>
              <w:rPr>
                <w:sz w:val="1"/>
                <w:szCs w:val="1"/>
                <w:color w:val="auto"/>
              </w:rPr>
            </w:pPr>
          </w:p>
        </w:tc>
      </w:tr>
      <w:tr>
        <w:trPr>
          <w:trHeight w:val="213"/>
        </w:trPr>
        <w:tc>
          <w:tcPr>
            <w:tcW w:w="19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rPr>
              <w:t>1/1/2026 - 1/31/2026</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152,498</w:t>
            </w:r>
          </w:p>
        </w:tc>
        <w:tc>
          <w:tcPr>
            <w:tcW w:w="4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20"/>
        </w:trPr>
        <w:tc>
          <w:tcPr>
            <w:tcW w:w="19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rPr>
              <w:t>2/1/2026 - 2/28/2026</w:t>
            </w: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3,385</w:t>
            </w:r>
          </w:p>
        </w:tc>
        <w:tc>
          <w:tcPr>
            <w:tcW w:w="4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220"/>
        </w:trPr>
        <w:tc>
          <w:tcPr>
            <w:tcW w:w="19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rPr>
              <w:t>3/1/2026 - 3/31/2026</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1,740,963</w:t>
            </w:r>
          </w:p>
        </w:tc>
        <w:tc>
          <w:tcPr>
            <w:tcW w:w="4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1,337,956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firstLine="4"/>
        <w:spacing w:after="0" w:line="382" w:lineRule="auto"/>
        <w:tabs>
          <w:tab w:leader="none" w:pos="143"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three months ended March 31, 2026, approximately 558,890 shares were surrendered to the Company to satisfy tax withholding obligations associated with the vesting of restricted stock units issued to employees under the 2017 Stock Incentive Plan. With respect to these surrendered shares, the price paid per share is based on the fair value at the time of surrender.</w:t>
      </w:r>
    </w:p>
    <w:p>
      <w:pPr>
        <w:ind w:left="160" w:hanging="156"/>
        <w:spacing w:after="0" w:line="192" w:lineRule="auto"/>
        <w:tabs>
          <w:tab w:leader="none" w:pos="16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amounts available for repurchases under the Repurchase Program as of March 31, 2026.</w:t>
      </w: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Company’s ability to repurchase its common stock and preferred stock is subject to (i) certain restrictions under the terms of the Company’s senior secured revolving credit facility and the indentures governing its senior unsecured notes and (ii) the discretion of the Company’s Board of Directors. These restrictions are described in greater detail in the Company’s senior secured credit facilities and the indentures governing its senior unsecured notes.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24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During the fiscal quarter ended March 31, 2026, no director or officer of the Company adopted or terminated a “Rule 10b5-1 trading arrangement” or “non-Rule 10b5-1 trading arrangement,” as each term is defined in Item 408(a) of the SEC’s Regulation S-K.</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74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350"/>
        </w:trPr>
        <w:tc>
          <w:tcPr>
            <w:tcW w:w="20" w:type="dxa"/>
            <w:vAlign w:val="bottom"/>
          </w:tcPr>
          <w:p>
            <w:pPr>
              <w:spacing w:after="0"/>
              <w:rPr>
                <w:sz w:val="24"/>
                <w:szCs w:val="24"/>
                <w:color w:val="auto"/>
              </w:rPr>
            </w:pPr>
          </w:p>
        </w:tc>
        <w:tc>
          <w:tcPr>
            <w:tcW w:w="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1</w:t>
            </w:r>
          </w:p>
        </w:tc>
        <w:tc>
          <w:tcPr>
            <w:tcW w:w="320" w:type="dxa"/>
            <w:vAlign w:val="bottom"/>
          </w:tcPr>
          <w:p>
            <w:pPr>
              <w:spacing w:after="0"/>
              <w:rPr>
                <w:sz w:val="24"/>
                <w:szCs w:val="24"/>
                <w:color w:val="auto"/>
              </w:rPr>
            </w:pPr>
          </w:p>
        </w:tc>
        <w:tc>
          <w:tcPr>
            <w:tcW w:w="74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Certification pursuant to Rule 13a-14(a) and Rule 15d-14(a) of the Securities Exchange Act of 1934.</w:t>
            </w:r>
          </w:p>
        </w:tc>
      </w:tr>
      <w:tr>
        <w:trPr>
          <w:trHeight w:val="252"/>
        </w:trPr>
        <w:tc>
          <w:tcPr>
            <w:tcW w:w="20" w:type="dxa"/>
            <w:vAlign w:val="bottom"/>
          </w:tcPr>
          <w:p>
            <w:pPr>
              <w:spacing w:after="0"/>
              <w:rPr>
                <w:sz w:val="21"/>
                <w:szCs w:val="21"/>
                <w:color w:val="auto"/>
              </w:rPr>
            </w:pPr>
          </w:p>
        </w:tc>
        <w:tc>
          <w:tcPr>
            <w:tcW w:w="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2</w:t>
            </w:r>
          </w:p>
        </w:tc>
        <w:tc>
          <w:tcPr>
            <w:tcW w:w="320" w:type="dxa"/>
            <w:vAlign w:val="bottom"/>
          </w:tcPr>
          <w:p>
            <w:pPr>
              <w:spacing w:after="0"/>
              <w:rPr>
                <w:sz w:val="21"/>
                <w:szCs w:val="21"/>
                <w:color w:val="auto"/>
              </w:rPr>
            </w:pPr>
          </w:p>
        </w:tc>
        <w:tc>
          <w:tcPr>
            <w:tcW w:w="74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Certification pursuant to Rule 13a-14(a) and Rule 15d-14(a) of the Securities Exchange Act of 1934.</w:t>
            </w:r>
          </w:p>
        </w:tc>
      </w:tr>
    </w:tbl>
    <w:p>
      <w:pPr>
        <w:spacing w:after="0" w:line="72" w:lineRule="exact"/>
        <w:rPr>
          <w:sz w:val="20"/>
          <w:szCs w:val="20"/>
          <w:color w:val="auto"/>
        </w:rPr>
      </w:pPr>
    </w:p>
    <w:p>
      <w:pPr>
        <w:ind w:left="1160" w:hanging="1139"/>
        <w:spacing w:after="0"/>
        <w:tabs>
          <w:tab w:leader="none" w:pos="1160" w:val="left"/>
        </w:tabs>
        <w:numPr>
          <w:ilvl w:val="0"/>
          <w:numId w:val="14"/>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Certification pursuant to 18 U.S.C. Section 1350 as adopted pursuant to Section 906 of the Sarbanes-Oxley Act of 2002.</w:t>
      </w:r>
    </w:p>
    <w:p>
      <w:pPr>
        <w:spacing w:after="0" w:line="77" w:lineRule="exact"/>
        <w:rPr>
          <w:sz w:val="20"/>
          <w:szCs w:val="20"/>
          <w:color w:val="auto"/>
        </w:rPr>
      </w:pPr>
    </w:p>
    <w:p>
      <w:pPr>
        <w:jc w:val="both"/>
        <w:ind w:left="1160" w:hanging="1139"/>
        <w:spacing w:after="0"/>
        <w:tabs>
          <w:tab w:leader="none" w:pos="11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NCR Voyix Corporation’s Quarterly Report on Form 10-Q for the quarter ended March 31, 2026, formatted in iXBRL (Inline Extensible Business Reporting Language): (i) our condensed consolidated statements of operations for the three months ended March 31, 2026 and 2025; (ii) our condensed consolidated statements of comprehensive income (loss) for the three months ended March 31, 2026 and 2025; (iii) our condensed consolidated balance sheets as of March 31, 2026 and December 31, 2025;</w:t>
      </w:r>
    </w:p>
    <w:p>
      <w:pPr>
        <w:spacing w:after="0" w:line="2" w:lineRule="exact"/>
        <w:rPr>
          <w:rFonts w:ascii="Times New Roman" w:cs="Times New Roman" w:eastAsia="Times New Roman" w:hAnsi="Times New Roman"/>
          <w:sz w:val="17"/>
          <w:szCs w:val="17"/>
          <w:color w:val="auto"/>
        </w:rPr>
      </w:pPr>
    </w:p>
    <w:p>
      <w:pPr>
        <w:jc w:val="both"/>
        <w:ind w:left="1160" w:right="20" w:firstLine="2"/>
        <w:spacing w:after="0" w:line="245" w:lineRule="auto"/>
        <w:tabs>
          <w:tab w:leader="none" w:pos="14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condensed consolidated statements of cash flows for the three months ended March 31, 2026 and 2025; (v) our condensed consolidated statements of changes in stockholder’s equity for the three months ended March 31, 2026 and 2025; and (vi) the notes to our condensed consolidated financial statements.</w:t>
      </w:r>
    </w:p>
    <w:p>
      <w:pPr>
        <w:spacing w:after="0" w:line="68" w:lineRule="exact"/>
        <w:rPr>
          <w:sz w:val="20"/>
          <w:szCs w:val="20"/>
          <w:color w:val="auto"/>
        </w:rPr>
      </w:pPr>
    </w:p>
    <w:p>
      <w:pPr>
        <w:ind w:left="1160" w:hanging="1139"/>
        <w:spacing w:after="0"/>
        <w:tabs>
          <w:tab w:leader="none" w:pos="116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in Inline XBRL and contained in Exhibit 101.</w:t>
      </w:r>
    </w:p>
    <w:p>
      <w:pPr>
        <w:spacing w:after="0" w:line="9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 Management contracts or compensatory plans/arrangements.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660"/>
          </w:cols>
          <w:pgMar w:left="320" w:top="118" w:right="9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NCR VOYIX CORPORATION</w:t>
      </w:r>
    </w:p>
    <w:p>
      <w:pPr>
        <w:spacing w:after="0" w:line="284" w:lineRule="exact"/>
        <w:rPr>
          <w:sz w:val="20"/>
          <w:szCs w:val="20"/>
          <w:color w:val="auto"/>
        </w:rPr>
      </w:pPr>
    </w:p>
    <w:p>
      <w:pPr>
        <w:ind w:left="260"/>
        <w:spacing w:after="0"/>
        <w:tabs>
          <w:tab w:leader="none" w:pos="5600" w:val="left"/>
          <w:tab w:leader="none" w:pos="8160" w:val="left"/>
        </w:tabs>
        <w:rPr>
          <w:sz w:val="20"/>
          <w:szCs w:val="20"/>
          <w:color w:val="auto"/>
        </w:rPr>
      </w:pPr>
      <w:r>
        <w:rPr>
          <w:rFonts w:ascii="Times New Roman" w:cs="Times New Roman" w:eastAsia="Times New Roman" w:hAnsi="Times New Roman"/>
          <w:sz w:val="17"/>
          <w:szCs w:val="17"/>
          <w:color w:val="auto"/>
        </w:rPr>
        <w:t>Date: May 7,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James 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19050</wp:posOffset>
            </wp:positionV>
            <wp:extent cx="33839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11"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James Wise</w:t>
      </w:r>
    </w:p>
    <w:p>
      <w:pPr>
        <w:ind w:left="7280"/>
        <w:spacing w:after="0" w:line="193" w:lineRule="auto"/>
        <w:rPr>
          <w:sz w:val="20"/>
          <w:szCs w:val="20"/>
          <w:color w:val="auto"/>
        </w:rPr>
      </w:pPr>
      <w:r>
        <w:rPr>
          <w:rFonts w:ascii="Times New Roman" w:cs="Times New Roman" w:eastAsia="Times New Roman" w:hAnsi="Times New Roman"/>
          <w:sz w:val="14"/>
          <w:szCs w:val="14"/>
          <w:b w:val="1"/>
          <w:bCs w:val="1"/>
          <w:color w:val="auto"/>
        </w:rPr>
        <w:t>Senior Vice President, Chief Accounting Officer</w:t>
      </w:r>
    </w:p>
    <w:p>
      <w:pPr>
        <w:ind w:left="778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0800"/>
          </w:cols>
          <w:pgMar w:left="320" w:top="118" w:right="77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James Kelly, certify that:</w:t>
      </w:r>
    </w:p>
    <w:p>
      <w:pPr>
        <w:spacing w:after="0" w:line="90" w:lineRule="exact"/>
        <w:rPr>
          <w:sz w:val="20"/>
          <w:szCs w:val="20"/>
          <w:color w:val="auto"/>
        </w:rPr>
      </w:pPr>
    </w:p>
    <w:p>
      <w:pPr>
        <w:ind w:left="180" w:hanging="176"/>
        <w:spacing w:after="0"/>
        <w:tabs>
          <w:tab w:leader="none" w:pos="1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NCR Voyix Corporation;</w:t>
      </w:r>
    </w:p>
    <w:p>
      <w:pPr>
        <w:spacing w:after="0" w:line="102" w:lineRule="exact"/>
        <w:rPr>
          <w:rFonts w:ascii="Times New Roman" w:cs="Times New Roman" w:eastAsia="Times New Roman" w:hAnsi="Times New Roman"/>
          <w:sz w:val="17"/>
          <w:szCs w:val="17"/>
          <w:color w:val="auto"/>
        </w:rPr>
      </w:pPr>
    </w:p>
    <w:p>
      <w:pPr>
        <w:ind w:right="240" w:firstLine="4"/>
        <w:spacing w:after="0" w:line="292" w:lineRule="auto"/>
        <w:tabs>
          <w:tab w:leader="none" w:pos="17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Times New Roman" w:cs="Times New Roman" w:eastAsia="Times New Roman" w:hAnsi="Times New Roman"/>
          <w:sz w:val="17"/>
          <w:szCs w:val="17"/>
          <w:color w:val="auto"/>
        </w:rPr>
      </w:pPr>
    </w:p>
    <w:p>
      <w:pPr>
        <w:ind w:right="320" w:firstLine="4"/>
        <w:spacing w:after="0" w:line="292" w:lineRule="auto"/>
        <w:tabs>
          <w:tab w:leader="none" w:pos="17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Times New Roman" w:cs="Times New Roman" w:eastAsia="Times New Roman" w:hAnsi="Times New Roman"/>
          <w:sz w:val="17"/>
          <w:szCs w:val="17"/>
          <w:color w:val="auto"/>
        </w:rPr>
      </w:pPr>
    </w:p>
    <w:p>
      <w:pPr>
        <w:ind w:firstLine="4"/>
        <w:spacing w:after="0" w:line="284" w:lineRule="auto"/>
        <w:tabs>
          <w:tab w:leader="none" w:pos="17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0" w:lineRule="exact"/>
        <w:rPr>
          <w:rFonts w:ascii="Times New Roman" w:cs="Times New Roman" w:eastAsia="Times New Roman" w:hAnsi="Times New Roman"/>
          <w:sz w:val="17"/>
          <w:szCs w:val="17"/>
          <w:color w:val="auto"/>
        </w:rPr>
      </w:pPr>
    </w:p>
    <w:p>
      <w:pPr>
        <w:ind w:left="320" w:right="80" w:hanging="5"/>
        <w:spacing w:after="0" w:line="273" w:lineRule="auto"/>
        <w:tabs>
          <w:tab w:leader="none" w:pos="49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Times New Roman" w:cs="Times New Roman" w:eastAsia="Times New Roman" w:hAnsi="Times New Roman"/>
          <w:sz w:val="17"/>
          <w:szCs w:val="17"/>
          <w:color w:val="auto"/>
        </w:rPr>
      </w:pPr>
    </w:p>
    <w:p>
      <w:pPr>
        <w:jc w:val="both"/>
        <w:ind w:left="320" w:right="240" w:hanging="5"/>
        <w:spacing w:after="0" w:line="273" w:lineRule="auto"/>
        <w:tabs>
          <w:tab w:leader="none" w:pos="50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Times New Roman" w:cs="Times New Roman" w:eastAsia="Times New Roman" w:hAnsi="Times New Roman"/>
          <w:sz w:val="17"/>
          <w:szCs w:val="17"/>
          <w:color w:val="auto"/>
        </w:rPr>
      </w:pPr>
    </w:p>
    <w:p>
      <w:pPr>
        <w:ind w:left="320" w:right="40" w:hanging="5"/>
        <w:spacing w:after="0" w:line="292" w:lineRule="auto"/>
        <w:tabs>
          <w:tab w:leader="none" w:pos="49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Times New Roman" w:cs="Times New Roman" w:eastAsia="Times New Roman" w:hAnsi="Times New Roman"/>
          <w:sz w:val="17"/>
          <w:szCs w:val="17"/>
          <w:color w:val="auto"/>
        </w:rPr>
      </w:pPr>
    </w:p>
    <w:p>
      <w:pPr>
        <w:jc w:val="both"/>
        <w:ind w:left="320" w:right="520" w:hanging="5"/>
        <w:spacing w:after="0" w:line="273" w:lineRule="auto"/>
        <w:tabs>
          <w:tab w:leader="none" w:pos="50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Times New Roman" w:cs="Times New Roman" w:eastAsia="Times New Roman" w:hAnsi="Times New Roman"/>
          <w:sz w:val="17"/>
          <w:szCs w:val="17"/>
          <w:color w:val="auto"/>
        </w:rPr>
      </w:pPr>
    </w:p>
    <w:p>
      <w:pPr>
        <w:ind w:right="720" w:firstLine="4"/>
        <w:spacing w:after="0" w:line="292" w:lineRule="auto"/>
        <w:tabs>
          <w:tab w:leader="none" w:pos="17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Times New Roman" w:cs="Times New Roman" w:eastAsia="Times New Roman" w:hAnsi="Times New Roman"/>
          <w:sz w:val="17"/>
          <w:szCs w:val="17"/>
          <w:color w:val="auto"/>
        </w:rPr>
      </w:pPr>
    </w:p>
    <w:p>
      <w:pPr>
        <w:ind w:left="320" w:right="240" w:hanging="5"/>
        <w:spacing w:after="0" w:line="292" w:lineRule="auto"/>
        <w:tabs>
          <w:tab w:leader="none" w:pos="49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Times New Roman" w:cs="Times New Roman" w:eastAsia="Times New Roman" w:hAnsi="Times New Roman"/>
          <w:sz w:val="17"/>
          <w:szCs w:val="17"/>
          <w:color w:val="auto"/>
        </w:rPr>
      </w:pPr>
    </w:p>
    <w:p>
      <w:pPr>
        <w:ind w:left="320" w:right="460" w:hanging="5"/>
        <w:spacing w:after="0" w:line="292" w:lineRule="auto"/>
        <w:tabs>
          <w:tab w:leader="none" w:pos="50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69" w:lineRule="exact"/>
        <w:rPr>
          <w:sz w:val="20"/>
          <w:szCs w:val="20"/>
          <w:color w:val="auto"/>
        </w:rPr>
      </w:pPr>
    </w:p>
    <w:p>
      <w:pPr>
        <w:ind w:left="280"/>
        <w:spacing w:after="0"/>
        <w:tabs>
          <w:tab w:leader="none" w:pos="7880" w:val="left"/>
        </w:tabs>
        <w:rPr>
          <w:sz w:val="20"/>
          <w:szCs w:val="20"/>
          <w:color w:val="auto"/>
        </w:rPr>
      </w:pPr>
      <w:r>
        <w:rPr>
          <w:rFonts w:ascii="Times New Roman" w:cs="Times New Roman" w:eastAsia="Times New Roman" w:hAnsi="Times New Roman"/>
          <w:sz w:val="17"/>
          <w:szCs w:val="17"/>
          <w:color w:val="auto"/>
        </w:rPr>
        <w:t>Date: May 7, 2026</w:t>
      </w:r>
      <w:r>
        <w:rPr>
          <w:sz w:val="20"/>
          <w:szCs w:val="20"/>
          <w:color w:val="auto"/>
        </w:rPr>
        <w:tab/>
      </w:r>
      <w:r>
        <w:rPr>
          <w:rFonts w:ascii="Times New Roman" w:cs="Times New Roman" w:eastAsia="Times New Roman" w:hAnsi="Times New Roman"/>
          <w:sz w:val="17"/>
          <w:szCs w:val="17"/>
          <w:color w:val="auto"/>
        </w:rPr>
        <w:t>/s/ James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19050</wp:posOffset>
            </wp:positionV>
            <wp:extent cx="35566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James Kelly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949"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Webb-Walsh, certify that:</w:t>
      </w:r>
    </w:p>
    <w:p>
      <w:pPr>
        <w:spacing w:after="0" w:line="90" w:lineRule="exact"/>
        <w:rPr>
          <w:sz w:val="20"/>
          <w:szCs w:val="20"/>
          <w:color w:val="auto"/>
        </w:rPr>
      </w:pPr>
    </w:p>
    <w:p>
      <w:pPr>
        <w:ind w:left="180" w:hanging="176"/>
        <w:spacing w:after="0"/>
        <w:tabs>
          <w:tab w:leader="none" w:pos="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NCR Voyix Corporation;</w:t>
      </w:r>
    </w:p>
    <w:p>
      <w:pPr>
        <w:spacing w:after="0" w:line="102" w:lineRule="exact"/>
        <w:rPr>
          <w:rFonts w:ascii="Times New Roman" w:cs="Times New Roman" w:eastAsia="Times New Roman" w:hAnsi="Times New Roman"/>
          <w:sz w:val="17"/>
          <w:szCs w:val="17"/>
          <w:color w:val="auto"/>
        </w:rPr>
      </w:pPr>
    </w:p>
    <w:p>
      <w:pPr>
        <w:ind w:right="240" w:firstLine="4"/>
        <w:spacing w:after="0" w:line="292" w:lineRule="auto"/>
        <w:tabs>
          <w:tab w:leader="none" w:pos="17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Times New Roman" w:cs="Times New Roman" w:eastAsia="Times New Roman" w:hAnsi="Times New Roman"/>
          <w:sz w:val="17"/>
          <w:szCs w:val="17"/>
          <w:color w:val="auto"/>
        </w:rPr>
      </w:pPr>
    </w:p>
    <w:p>
      <w:pPr>
        <w:ind w:right="320" w:firstLine="4"/>
        <w:spacing w:after="0" w:line="292" w:lineRule="auto"/>
        <w:tabs>
          <w:tab w:leader="none" w:pos="17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Times New Roman" w:cs="Times New Roman" w:eastAsia="Times New Roman" w:hAnsi="Times New Roman"/>
          <w:sz w:val="17"/>
          <w:szCs w:val="17"/>
          <w:color w:val="auto"/>
        </w:rPr>
      </w:pPr>
    </w:p>
    <w:p>
      <w:pPr>
        <w:ind w:firstLine="4"/>
        <w:spacing w:after="0" w:line="284" w:lineRule="auto"/>
        <w:tabs>
          <w:tab w:leader="none" w:pos="17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0" w:lineRule="exact"/>
        <w:rPr>
          <w:rFonts w:ascii="Times New Roman" w:cs="Times New Roman" w:eastAsia="Times New Roman" w:hAnsi="Times New Roman"/>
          <w:sz w:val="17"/>
          <w:szCs w:val="17"/>
          <w:color w:val="auto"/>
        </w:rPr>
      </w:pPr>
    </w:p>
    <w:p>
      <w:pPr>
        <w:ind w:left="320" w:right="80" w:hanging="5"/>
        <w:spacing w:after="0" w:line="273" w:lineRule="auto"/>
        <w:tabs>
          <w:tab w:leader="none" w:pos="49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Times New Roman" w:cs="Times New Roman" w:eastAsia="Times New Roman" w:hAnsi="Times New Roman"/>
          <w:sz w:val="17"/>
          <w:szCs w:val="17"/>
          <w:color w:val="auto"/>
        </w:rPr>
      </w:pPr>
    </w:p>
    <w:p>
      <w:pPr>
        <w:jc w:val="both"/>
        <w:ind w:left="320" w:right="240" w:hanging="5"/>
        <w:spacing w:after="0" w:line="273" w:lineRule="auto"/>
        <w:tabs>
          <w:tab w:leader="none" w:pos="50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Times New Roman" w:cs="Times New Roman" w:eastAsia="Times New Roman" w:hAnsi="Times New Roman"/>
          <w:sz w:val="17"/>
          <w:szCs w:val="17"/>
          <w:color w:val="auto"/>
        </w:rPr>
      </w:pPr>
    </w:p>
    <w:p>
      <w:pPr>
        <w:ind w:left="320" w:right="40" w:hanging="5"/>
        <w:spacing w:after="0" w:line="292" w:lineRule="auto"/>
        <w:tabs>
          <w:tab w:leader="none" w:pos="49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Times New Roman" w:cs="Times New Roman" w:eastAsia="Times New Roman" w:hAnsi="Times New Roman"/>
          <w:sz w:val="17"/>
          <w:szCs w:val="17"/>
          <w:color w:val="auto"/>
        </w:rPr>
      </w:pPr>
    </w:p>
    <w:p>
      <w:pPr>
        <w:jc w:val="both"/>
        <w:ind w:left="320" w:right="520" w:hanging="5"/>
        <w:spacing w:after="0" w:line="273" w:lineRule="auto"/>
        <w:tabs>
          <w:tab w:leader="none" w:pos="50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Times New Roman" w:cs="Times New Roman" w:eastAsia="Times New Roman" w:hAnsi="Times New Roman"/>
          <w:sz w:val="17"/>
          <w:szCs w:val="17"/>
          <w:color w:val="auto"/>
        </w:rPr>
      </w:pPr>
    </w:p>
    <w:p>
      <w:pPr>
        <w:ind w:right="720" w:firstLine="4"/>
        <w:spacing w:after="0" w:line="292" w:lineRule="auto"/>
        <w:tabs>
          <w:tab w:leader="none" w:pos="17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Times New Roman" w:cs="Times New Roman" w:eastAsia="Times New Roman" w:hAnsi="Times New Roman"/>
          <w:sz w:val="17"/>
          <w:szCs w:val="17"/>
          <w:color w:val="auto"/>
        </w:rPr>
      </w:pPr>
    </w:p>
    <w:p>
      <w:pPr>
        <w:ind w:left="320" w:right="240" w:hanging="5"/>
        <w:spacing w:after="0" w:line="292" w:lineRule="auto"/>
        <w:tabs>
          <w:tab w:leader="none" w:pos="49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Times New Roman" w:cs="Times New Roman" w:eastAsia="Times New Roman" w:hAnsi="Times New Roman"/>
          <w:sz w:val="17"/>
          <w:szCs w:val="17"/>
          <w:color w:val="auto"/>
        </w:rPr>
      </w:pPr>
    </w:p>
    <w:p>
      <w:pPr>
        <w:ind w:left="320" w:right="460" w:hanging="5"/>
        <w:spacing w:after="0" w:line="292" w:lineRule="auto"/>
        <w:tabs>
          <w:tab w:leader="none" w:pos="50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80"/>
        <w:spacing w:after="0"/>
        <w:tabs>
          <w:tab w:leader="none" w:pos="7640" w:val="left"/>
        </w:tabs>
        <w:rPr>
          <w:sz w:val="20"/>
          <w:szCs w:val="20"/>
          <w:color w:val="auto"/>
        </w:rPr>
      </w:pPr>
      <w:r>
        <w:rPr>
          <w:rFonts w:ascii="Times New Roman" w:cs="Times New Roman" w:eastAsia="Times New Roman" w:hAnsi="Times New Roman"/>
          <w:sz w:val="17"/>
          <w:szCs w:val="17"/>
          <w:color w:val="auto"/>
        </w:rPr>
        <w:t>Date: May 7, 2026</w:t>
      </w:r>
      <w:r>
        <w:rPr>
          <w:sz w:val="20"/>
          <w:szCs w:val="20"/>
          <w:color w:val="auto"/>
        </w:rPr>
        <w:tab/>
      </w:r>
      <w:r>
        <w:rPr>
          <w:rFonts w:ascii="Times New Roman" w:cs="Times New Roman" w:eastAsia="Times New Roman" w:hAnsi="Times New Roman"/>
          <w:sz w:val="16"/>
          <w:szCs w:val="16"/>
          <w:color w:val="auto"/>
        </w:rPr>
        <w:t>/s/ Brian Webb-Walsh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19050</wp:posOffset>
            </wp:positionV>
            <wp:extent cx="35566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Brian Webb-Walsh</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ectPr>
          <w:pgSz w:w="11900" w:h="16838" w:orient="portrait"/>
          <w:cols w:equalWidth="0" w:num="1">
            <w:col w:w="11240"/>
          </w:cols>
          <w:pgMar w:left="320" w:top="949"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05"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In connection with the Quarterly Report on Form 10-Q of NCR Voyix Corporation (the “Company”) for the period ending March 31, 2026 as filed with the U.S. Securities and Exchange Commission on the date hereof (the “Report”), each of the undersigned officers of the Company does hereby certify, pursuant to 18 U.S.C. § 1350 (section 906 of the Sarbanes-Oxley Act of 2002), that:</w:t>
      </w:r>
    </w:p>
    <w:p>
      <w:pPr>
        <w:spacing w:after="0" w:line="46" w:lineRule="exact"/>
        <w:rPr>
          <w:sz w:val="20"/>
          <w:szCs w:val="20"/>
          <w:color w:val="auto"/>
        </w:rPr>
      </w:pPr>
    </w:p>
    <w:p>
      <w:pPr>
        <w:ind w:left="780" w:hanging="310"/>
        <w:spacing w:after="0"/>
        <w:tabs>
          <w:tab w:leader="none" w:pos="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89" w:lineRule="exact"/>
        <w:rPr>
          <w:rFonts w:ascii="Times New Roman" w:cs="Times New Roman" w:eastAsia="Times New Roman" w:hAnsi="Times New Roman"/>
          <w:sz w:val="17"/>
          <w:szCs w:val="17"/>
          <w:color w:val="auto"/>
        </w:rPr>
      </w:pPr>
    </w:p>
    <w:p>
      <w:pPr>
        <w:ind w:left="780" w:hanging="310"/>
        <w:spacing w:after="0"/>
        <w:tabs>
          <w:tab w:leader="none" w:pos="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foregoing certification (i) is given to such officers’ knowledge, based upon such officers’ investigation as such officers reasonably deem appropriate; and</w:t>
      </w:r>
    </w:p>
    <w:p>
      <w:pPr>
        <w:spacing w:after="0" w:line="31" w:lineRule="exact"/>
        <w:rPr>
          <w:sz w:val="20"/>
          <w:szCs w:val="20"/>
          <w:color w:val="auto"/>
        </w:rPr>
      </w:pPr>
    </w:p>
    <w:p>
      <w:pPr>
        <w:ind w:right="380" w:firstLine="4"/>
        <w:spacing w:after="0" w:line="269" w:lineRule="auto"/>
        <w:tabs>
          <w:tab w:leader="none" w:pos="25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being furnished solely pursuant to 18 U.S.C. § 1350 (section 906 of the Sarbanes-Oxley Act of 2002) and is not being filed as part of the Report or as a separate disclosure document.</w:t>
      </w:r>
    </w:p>
    <w:p>
      <w:pPr>
        <w:spacing w:after="0" w:line="399" w:lineRule="exact"/>
        <w:rPr>
          <w:sz w:val="20"/>
          <w:szCs w:val="20"/>
          <w:color w:val="auto"/>
        </w:rPr>
      </w:pPr>
    </w:p>
    <w:tbl>
      <w:tblPr>
        <w:tblLayout w:type="fixed"/>
        <w:tblInd w:w="280" w:type="dxa"/>
        <w:tblCellMar>
          <w:top w:w="0" w:type="dxa"/>
          <w:left w:w="0" w:type="dxa"/>
          <w:bottom w:w="0" w:type="dxa"/>
          <w:right w:w="0" w:type="dxa"/>
        </w:tblCellMar>
      </w:tblPr>
      <w:tr>
        <w:trPr>
          <w:trHeight w:val="226"/>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Dated: May 7, 2026</w:t>
            </w:r>
          </w:p>
        </w:tc>
        <w:tc>
          <w:tcPr>
            <w:tcW w:w="560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7"/>
                <w:szCs w:val="17"/>
                <w:color w:val="auto"/>
              </w:rPr>
              <w:t>/s/ James Kelly</w:t>
            </w:r>
          </w:p>
        </w:tc>
      </w:tr>
      <w:tr>
        <w:trPr>
          <w:trHeight w:val="208"/>
        </w:trPr>
        <w:tc>
          <w:tcPr>
            <w:tcW w:w="53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James Kelly</w:t>
            </w:r>
          </w:p>
        </w:tc>
      </w:tr>
      <w:tr>
        <w:trPr>
          <w:trHeight w:val="226"/>
        </w:trPr>
        <w:tc>
          <w:tcPr>
            <w:tcW w:w="53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337"/>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Dated: May 7, 2026</w:t>
            </w:r>
          </w:p>
        </w:tc>
        <w:tc>
          <w:tcPr>
            <w:tcW w:w="56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7"/>
                <w:szCs w:val="17"/>
                <w:color w:val="auto"/>
              </w:rPr>
              <w:t>/s/ Brian Webb-Walsh</w:t>
            </w:r>
          </w:p>
        </w:tc>
      </w:tr>
      <w:tr>
        <w:trPr>
          <w:trHeight w:val="208"/>
        </w:trPr>
        <w:tc>
          <w:tcPr>
            <w:tcW w:w="53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Brian Webb-Walsh</w:t>
            </w:r>
          </w:p>
        </w:tc>
      </w:tr>
      <w:tr>
        <w:trPr>
          <w:trHeight w:val="226"/>
        </w:trPr>
        <w:tc>
          <w:tcPr>
            <w:tcW w:w="53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bl>
    <w:p>
      <w:pPr>
        <w:spacing w:after="0" w:line="383" w:lineRule="exact"/>
        <w:rPr>
          <w:sz w:val="20"/>
          <w:szCs w:val="20"/>
          <w:color w:val="auto"/>
        </w:rPr>
      </w:pPr>
    </w:p>
    <w:p>
      <w:pPr>
        <w:jc w:val="center"/>
        <w:ind w:left="340" w:right="100"/>
        <w:spacing w:after="0" w:line="273"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NCR Voyix Corporation and will be retained by NCR Voyix Corporation and furnished to the United States Securities and Exchange Commission or its staff upon request.</w:t>
      </w:r>
    </w:p>
    <w:sectPr>
      <w:pgSz w:w="11900" w:h="16838" w:orient="portrait"/>
      <w:cols w:equalWidth="0" w:num="1">
        <w:col w:w="11240"/>
      </w:cols>
      <w:pgMar w:left="320" w:top="9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lvl w:ilvl="1">
      <w:lvlJc w:val="left"/>
      <w:lvlText w:val="(%2)"/>
      <w:numFmt w:val="decimal"/>
      <w:start w:val="1"/>
    </w:lvl>
  </w:abstractNum>
  <w:abstractNum w:abstractNumId="4">
    <w:nsid w:val="140E0F76"/>
    <w:multiLevelType w:val="hybridMultilevel"/>
    <w:lvl w:ilvl="0">
      <w:lvlJc w:val="left"/>
      <w:lvlText w:val="%1."/>
      <w:numFmt w:val="decimal"/>
      <w:start w:val="5"/>
    </w:lvl>
    <w:lvl w:ilvl="1">
      <w:lvlJc w:val="left"/>
      <w:lvlText w:val="%2"/>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lvl w:ilvl="1">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2"/>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32"/>
    </w:lvl>
  </w:abstractNum>
  <w:abstractNum w:abstractNumId="14">
    <w:nsid w:val="519B500D"/>
    <w:multiLevelType w:val="hybridMultilevel"/>
    <w:lvl w:ilvl="0">
      <w:lvlJc w:val="left"/>
      <w:lvlText w:val="%1"/>
      <w:numFmt w:val="decimal"/>
      <w:start w:val="101"/>
    </w:lvl>
    <w:lvl w:ilvl="1">
      <w:lvlJc w:val="left"/>
      <w:lvlText w:val="(%2)"/>
      <w:numFmt w:val="lowerRoman"/>
      <w:start w:val="4"/>
    </w:lvl>
  </w:abstractNum>
  <w:abstractNum w:abstractNumId="15">
    <w:nsid w:val="431BD7B7"/>
    <w:multiLevelType w:val="hybridMultilevel"/>
    <w:lvl w:ilvl="0">
      <w:lvlJc w:val="left"/>
      <w:lvlText w:val="*"/>
      <w:numFmt w:val="bullet"/>
      <w:start w:val="1"/>
    </w:lvl>
    <w:lvl w:ilvl="1">
      <w:lvlJc w:val="left"/>
      <w:lvlText w:val="%2"/>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2026-05-07T06:36:23Z</dcterms:created>
  <dcterms:modified xsi:type="dcterms:W3CDTF">2026-05-07T06:36:23Z</dcterms:modified>
</cp:coreProperties>
</file>