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tbl>
      <w:tblPr>
        <w:tblW w:w="4316" w:type="dxa"/>
        <w:jc w:val="left"/>
        <w:tblInd w:w="0" w:type="dxa"/>
        <w:tblLayout w:type="fixed"/>
        <w:tblCellMar>
          <w:top w:w="28" w:type="dxa"/>
          <w:left w:w="28" w:type="dxa"/>
          <w:bottom w:w="28" w:type="dxa"/>
          <w:right w:w="28" w:type="dxa"/>
        </w:tblCellMar>
      </w:tblPr>
      <w:tblGrid>
        <w:gridCol w:w="124"/>
        <w:gridCol w:w="109"/>
        <w:gridCol w:w="109"/>
        <w:gridCol w:w="1162"/>
        <w:gridCol w:w="1162"/>
        <w:gridCol w:w="16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br/>
              <w:br/>
              <w:t>For the transition period from ____________ to ____________</w:t>
            </w:r>
          </w:p>
        </w:tc>
      </w:tr>
    </w:tbl>
    <w:p>
      <w:pPr>
        <w:pStyle w:val="TextBody"/>
        <w:bidi w:val="0"/>
        <w:spacing w:before="0" w:after="0"/>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69"/>
        <w:gridCol w:w="969"/>
        <w:gridCol w:w="13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Commission File Number: 001-00395</w:t>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w:t>
      </w:r>
    </w:p>
    <w:p>
      <w:pPr>
        <w:pStyle w:val="TextBody"/>
        <w:bidi w:val="0"/>
        <w:spacing w:before="40" w:after="283"/>
        <w:jc w:val="center"/>
        <w:rPr/>
      </w:pPr>
      <w:r>
        <w:rPr/>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80" w:after="283"/>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31-0387920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864 Spring Street NW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Atlanta, GA 30308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225-5627 </w:t>
      </w:r>
    </w:p>
    <w:p>
      <w:pPr>
        <w:pStyle w:val="TextBody"/>
        <w:bidi w:val="0"/>
        <w:spacing w:before="180" w:after="283"/>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4" w:type="dxa"/>
        <w:jc w:val="center"/>
        <w:tblInd w:w="0" w:type="dxa"/>
        <w:tblLayout w:type="fixed"/>
        <w:tblCellMar>
          <w:top w:w="28" w:type="dxa"/>
          <w:left w:w="28" w:type="dxa"/>
          <w:bottom w:w="28" w:type="dxa"/>
          <w:right w:w="28" w:type="dxa"/>
        </w:tblCellMar>
      </w:tblPr>
      <w:tblGrid>
        <w:gridCol w:w="1262"/>
        <w:gridCol w:w="1109"/>
        <w:gridCol w:w="1124"/>
        <w:gridCol w:w="564"/>
        <w:gridCol w:w="564"/>
        <w:gridCol w:w="566"/>
        <w:gridCol w:w="1118"/>
        <w:gridCol w:w="1118"/>
        <w:gridCol w:w="1589"/>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Title of each class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VYX</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both"/>
        <w:rPr/>
      </w:pPr>
      <w:r>
        <w:rPr>
          <w:color w:val="000000"/>
        </w:rPr>
        <w:t>    </w:t>
      </w: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180" w:after="283"/>
        <w:jc w:val="both"/>
        <w:rPr/>
      </w:pPr>
      <w:r>
        <w:rPr>
          <w:color w:val="000000"/>
        </w:rPr>
        <w:t>    </w:t>
      </w: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80" w:after="283"/>
        <w:jc w:val="both"/>
        <w:rPr/>
      </w:pPr>
      <w:r>
        <w:rPr/>
      </w:r>
    </w:p>
    <w:p>
      <w:pPr>
        <w:pStyle w:val="TextBody"/>
        <w:bidi w:val="0"/>
        <w:spacing w:before="180" w:after="283"/>
        <w:jc w:val="both"/>
        <w:rPr/>
      </w:pPr>
      <w:r>
        <w:rPr/>
      </w:r>
    </w:p>
    <w:tbl>
      <w:tblPr>
        <w:tblW w:w="55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80" w:after="283"/>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July 29, 2026, there were approximately 138,069,898 shares of the registrant’s common 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3"/>
        <w:gridCol w:w="357"/>
        <w:gridCol w:w="357"/>
        <w:gridCol w:w="2931"/>
        <w:gridCol w:w="2806"/>
        <w:gridCol w:w="2757"/>
        <w:gridCol w:w="149"/>
        <w:gridCol w:w="149"/>
        <w:gridCol w:w="216"/>
      </w:tblGrid>
      <w:tr>
        <w:trPr/>
        <w:tc>
          <w:tcPr>
            <w:tcW w:w="4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13">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13">
              <w:r>
                <w:rPr>
                  <w:rStyle w:val="InternetLink"/>
                  <w:rFonts w:ascii="Times New Roman;serif" w:hAnsi="Times New Roman;serif"/>
                  <w:b w:val="false"/>
                  <w:color w:val="0000FF"/>
                  <w:sz w:val="20"/>
                  <w:u w:val="single"/>
                </w:rPr>
                <w:t>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16">
              <w:r>
                <w:rPr>
                  <w:rStyle w:val="InternetLink"/>
                  <w:rFonts w:ascii="Times New Roman;serif" w:hAnsi="Times New Roman;serif"/>
                  <w:b w:val="false"/>
                  <w:color w:val="000080"/>
                  <w:sz w:val="20"/>
                  <w:u w:val="single"/>
                </w:rPr>
                <w:t xml:space="preserve">Condensed Consolidated Statements of Operations (Unaudited) Three </w:t>
              </w:r>
            </w:hyperlink>
            <w:hyperlink w:anchor="ifb6e05bb095546e680f754a1cf33717a_16">
              <w:r>
                <w:rPr>
                  <w:rStyle w:val="InternetLink"/>
                  <w:rFonts w:ascii="Times New Roman;serif" w:hAnsi="Times New Roman;serif"/>
                  <w:b w:val="false"/>
                  <w:color w:val="000080"/>
                  <w:sz w:val="20"/>
                  <w:u w:val="single"/>
                </w:rPr>
                <w:t xml:space="preserve">and Six </w:t>
              </w:r>
            </w:hyperlink>
            <w:hyperlink w:anchor="ifb6e05bb095546e680f754a1cf33717a_16">
              <w:r>
                <w:rPr>
                  <w:rStyle w:val="InternetLink"/>
                  <w:rFonts w:ascii="Times New Roman;serif" w:hAnsi="Times New Roman;serif"/>
                  <w:b w:val="false"/>
                  <w:color w:val="000080"/>
                  <w:sz w:val="20"/>
                  <w:u w:val="single"/>
                </w:rPr>
                <w:t xml:space="preserve">Months Ended </w:t>
              </w:r>
            </w:hyperlink>
            <w:hyperlink w:anchor="ifb6e05bb095546e680f754a1cf33717a_16">
              <w:r>
                <w:rPr>
                  <w:rStyle w:val="InternetLink"/>
                  <w:rFonts w:ascii="Times New Roman;serif" w:hAnsi="Times New Roman;serif"/>
                  <w:b w:val="false"/>
                  <w:color w:val="000080"/>
                  <w:sz w:val="20"/>
                  <w:u w:val="single"/>
                </w:rPr>
                <w:t>June</w:t>
              </w:r>
            </w:hyperlink>
            <w:hyperlink w:anchor="ifb6e05bb095546e680f754a1cf33717a_16">
              <w:r>
                <w:rPr>
                  <w:rStyle w:val="InternetLink"/>
                  <w:rFonts w:ascii="Times New Roman;serif" w:hAnsi="Times New Roman;serif"/>
                  <w:b w:val="false"/>
                  <w:color w:val="000080"/>
                  <w:sz w:val="20"/>
                  <w:u w:val="single"/>
                </w:rPr>
                <w:t xml:space="preserve"> 3</w:t>
              </w:r>
            </w:hyperlink>
            <w:hyperlink w:anchor="ifb6e05bb095546e680f754a1cf33717a_16">
              <w:r>
                <w:rPr>
                  <w:rStyle w:val="InternetLink"/>
                  <w:rFonts w:ascii="Times New Roman;serif" w:hAnsi="Times New Roman;serif"/>
                  <w:b w:val="false"/>
                  <w:color w:val="000080"/>
                  <w:sz w:val="20"/>
                  <w:u w:val="single"/>
                </w:rPr>
                <w:t>0</w:t>
              </w:r>
            </w:hyperlink>
            <w:hyperlink w:anchor="ifb6e05bb095546e680f754a1cf33717a_16">
              <w:r>
                <w:rPr>
                  <w:rStyle w:val="InternetLink"/>
                  <w:rFonts w:ascii="Times New Roman;serif" w:hAnsi="Times New Roman;serif"/>
                  <w:b w:val="false"/>
                  <w:color w:val="000080"/>
                  <w:sz w:val="20"/>
                  <w:u w:val="single"/>
                </w:rPr>
                <w:t>,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16">
              <w:r>
                <w:rPr>
                  <w:rStyle w:val="InternetLink"/>
                  <w:rFonts w:ascii="Times New Roman;serif" w:hAnsi="Times New Roman;serif"/>
                  <w:b w:val="false"/>
                  <w:color w:val="0000FF"/>
                  <w:sz w:val="20"/>
                  <w:u w:val="single"/>
                </w:rPr>
                <w:t>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19">
              <w:r>
                <w:rPr>
                  <w:rStyle w:val="InternetLink"/>
                  <w:rFonts w:ascii="Times New Roman;serif" w:hAnsi="Times New Roman;serif"/>
                  <w:b w:val="false"/>
                  <w:color w:val="000080"/>
                  <w:sz w:val="20"/>
                  <w:u w:val="single"/>
                </w:rPr>
                <w:t>Condensed Consolidated Statements of Comprehensive Income (Loss) (Unaudited) Three</w:t>
              </w:r>
            </w:hyperlink>
            <w:hyperlink w:anchor="ifb6e05bb095546e680f754a1cf33717a_19">
              <w:r>
                <w:rPr>
                  <w:rStyle w:val="InternetLink"/>
                  <w:rFonts w:ascii="Times New Roman;serif" w:hAnsi="Times New Roman;serif"/>
                  <w:b w:val="false"/>
                  <w:color w:val="000080"/>
                  <w:sz w:val="20"/>
                  <w:u w:val="single"/>
                </w:rPr>
                <w:t xml:space="preserve"> and Six</w:t>
              </w:r>
            </w:hyperlink>
            <w:hyperlink w:anchor="ifb6e05bb095546e680f754a1cf33717a_19">
              <w:r>
                <w:rPr>
                  <w:rStyle w:val="InternetLink"/>
                  <w:rFonts w:ascii="Times New Roman;serif" w:hAnsi="Times New Roman;serif"/>
                  <w:b w:val="false"/>
                  <w:color w:val="000080"/>
                  <w:sz w:val="20"/>
                  <w:u w:val="single"/>
                </w:rPr>
                <w:t xml:space="preserve"> Months Ended </w:t>
              </w:r>
            </w:hyperlink>
            <w:hyperlink w:anchor="ifb6e05bb095546e680f754a1cf33717a_19">
              <w:r>
                <w:rPr>
                  <w:rStyle w:val="InternetLink"/>
                  <w:rFonts w:ascii="Times New Roman;serif" w:hAnsi="Times New Roman;serif"/>
                  <w:b w:val="false"/>
                  <w:color w:val="000080"/>
                  <w:sz w:val="20"/>
                  <w:u w:val="single"/>
                </w:rPr>
                <w:t>June</w:t>
              </w:r>
            </w:hyperlink>
            <w:hyperlink w:anchor="ifb6e05bb095546e680f754a1cf33717a_19">
              <w:r>
                <w:rPr>
                  <w:rStyle w:val="InternetLink"/>
                  <w:rFonts w:ascii="Times New Roman;serif" w:hAnsi="Times New Roman;serif"/>
                  <w:b w:val="false"/>
                  <w:color w:val="000080"/>
                  <w:sz w:val="20"/>
                  <w:u w:val="single"/>
                </w:rPr>
                <w:t xml:space="preserve"> 3</w:t>
              </w:r>
            </w:hyperlink>
            <w:hyperlink w:anchor="ifb6e05bb095546e680f754a1cf33717a_19">
              <w:r>
                <w:rPr>
                  <w:rStyle w:val="InternetLink"/>
                  <w:rFonts w:ascii="Times New Roman;serif" w:hAnsi="Times New Roman;serif"/>
                  <w:b w:val="false"/>
                  <w:color w:val="000080"/>
                  <w:sz w:val="20"/>
                  <w:u w:val="single"/>
                </w:rPr>
                <w:t>0</w:t>
              </w:r>
            </w:hyperlink>
            <w:hyperlink w:anchor="ifb6e05bb095546e680f754a1cf33717a_19">
              <w:r>
                <w:rPr>
                  <w:rStyle w:val="InternetLink"/>
                  <w:rFonts w:ascii="Times New Roman;serif" w:hAnsi="Times New Roman;serif"/>
                  <w:b w:val="false"/>
                  <w:color w:val="000080"/>
                  <w:sz w:val="20"/>
                  <w:u w:val="single"/>
                </w:rPr>
                <w:t>,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19">
              <w:r>
                <w:rPr>
                  <w:rStyle w:val="InternetLink"/>
                  <w:rFonts w:ascii="Times New Roman;serif" w:hAnsi="Times New Roman;serif"/>
                  <w:b w:val="false"/>
                  <w:color w:val="0000FF"/>
                  <w:sz w:val="20"/>
                  <w:u w:val="single"/>
                </w:rPr>
                <w:t>4</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22">
              <w:r>
                <w:rPr>
                  <w:rStyle w:val="InternetLink"/>
                  <w:rFonts w:ascii="Times New Roman;serif" w:hAnsi="Times New Roman;serif"/>
                  <w:b w:val="false"/>
                  <w:color w:val="000080"/>
                  <w:sz w:val="20"/>
                  <w:u w:val="single"/>
                </w:rPr>
                <w:t xml:space="preserve">Condensed Consolidated Balance Sheets (Unaudited) </w:t>
              </w:r>
            </w:hyperlink>
            <w:hyperlink w:anchor="ifb6e05bb095546e680f754a1cf33717a_22">
              <w:r>
                <w:rPr>
                  <w:rStyle w:val="InternetLink"/>
                  <w:rFonts w:ascii="Times New Roman;serif" w:hAnsi="Times New Roman;serif"/>
                  <w:b w:val="false"/>
                  <w:color w:val="000080"/>
                  <w:sz w:val="20"/>
                  <w:u w:val="single"/>
                </w:rPr>
                <w:t>June</w:t>
              </w:r>
            </w:hyperlink>
            <w:hyperlink w:anchor="ifb6e05bb095546e680f754a1cf33717a_22">
              <w:r>
                <w:rPr>
                  <w:rStyle w:val="InternetLink"/>
                  <w:rFonts w:ascii="Times New Roman;serif" w:hAnsi="Times New Roman;serif"/>
                  <w:b w:val="false"/>
                  <w:color w:val="000080"/>
                  <w:sz w:val="20"/>
                  <w:u w:val="single"/>
                </w:rPr>
                <w:t xml:space="preserve"> 3</w:t>
              </w:r>
            </w:hyperlink>
            <w:hyperlink w:anchor="ifb6e05bb095546e680f754a1cf33717a_22">
              <w:r>
                <w:rPr>
                  <w:rStyle w:val="InternetLink"/>
                  <w:rFonts w:ascii="Times New Roman;serif" w:hAnsi="Times New Roman;serif"/>
                  <w:b w:val="false"/>
                  <w:color w:val="000080"/>
                  <w:sz w:val="20"/>
                  <w:u w:val="single"/>
                </w:rPr>
                <w:t>0</w:t>
              </w:r>
            </w:hyperlink>
            <w:hyperlink w:anchor="ifb6e05bb095546e680f754a1cf33717a_22">
              <w:r>
                <w:rPr>
                  <w:rStyle w:val="InternetLink"/>
                  <w:rFonts w:ascii="Times New Roman;serif" w:hAnsi="Times New Roman;serif"/>
                  <w:b w:val="false"/>
                  <w:color w:val="000080"/>
                  <w:sz w:val="20"/>
                  <w:u w:val="single"/>
                </w:rPr>
                <w:t>,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2">
              <w:r>
                <w:rPr>
                  <w:rStyle w:val="InternetLink"/>
                  <w:rFonts w:ascii="Times New Roman;serif" w:hAnsi="Times New Roman;serif"/>
                  <w:b w:val="false"/>
                  <w:color w:val="0000FF"/>
                  <w:sz w:val="20"/>
                  <w:u w:val="single"/>
                </w:rPr>
                <w:t>5</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25">
              <w:r>
                <w:rPr>
                  <w:rStyle w:val="InternetLink"/>
                  <w:rFonts w:ascii="Times New Roman;serif" w:hAnsi="Times New Roman;serif"/>
                  <w:b w:val="false"/>
                  <w:color w:val="000080"/>
                  <w:sz w:val="20"/>
                  <w:u w:val="single"/>
                </w:rPr>
                <w:t xml:space="preserve">Condensed Consolidated Statements of Cash Flows (Unaudited) </w:t>
              </w:r>
            </w:hyperlink>
            <w:hyperlink w:anchor="ifb6e05bb095546e680f754a1cf33717a_25">
              <w:r>
                <w:rPr>
                  <w:rStyle w:val="InternetLink"/>
                  <w:rFonts w:ascii="Times New Roman;serif" w:hAnsi="Times New Roman;serif"/>
                  <w:b w:val="false"/>
                  <w:color w:val="000080"/>
                  <w:sz w:val="20"/>
                  <w:u w:val="single"/>
                </w:rPr>
                <w:t>Six</w:t>
              </w:r>
            </w:hyperlink>
            <w:hyperlink w:anchor="ifb6e05bb095546e680f754a1cf33717a_25">
              <w:r>
                <w:rPr>
                  <w:rStyle w:val="InternetLink"/>
                  <w:rFonts w:ascii="Times New Roman;serif" w:hAnsi="Times New Roman;serif"/>
                  <w:b w:val="false"/>
                  <w:color w:val="000080"/>
                  <w:sz w:val="20"/>
                  <w:u w:val="single"/>
                </w:rPr>
                <w:t xml:space="preserve"> Months Ended </w:t>
              </w:r>
            </w:hyperlink>
            <w:hyperlink w:anchor="ifb6e05bb095546e680f754a1cf33717a_25">
              <w:r>
                <w:rPr>
                  <w:rStyle w:val="InternetLink"/>
                  <w:rFonts w:ascii="Times New Roman;serif" w:hAnsi="Times New Roman;serif"/>
                  <w:b w:val="false"/>
                  <w:color w:val="000080"/>
                  <w:sz w:val="20"/>
                  <w:u w:val="single"/>
                </w:rPr>
                <w:t>June</w:t>
              </w:r>
            </w:hyperlink>
            <w:hyperlink w:anchor="ifb6e05bb095546e680f754a1cf33717a_25">
              <w:r>
                <w:rPr>
                  <w:rStyle w:val="InternetLink"/>
                  <w:rFonts w:ascii="Times New Roman;serif" w:hAnsi="Times New Roman;serif"/>
                  <w:b w:val="false"/>
                  <w:color w:val="000080"/>
                  <w:sz w:val="20"/>
                  <w:u w:val="single"/>
                </w:rPr>
                <w:t xml:space="preserve"> 3</w:t>
              </w:r>
            </w:hyperlink>
            <w:hyperlink w:anchor="ifb6e05bb095546e680f754a1cf33717a_25">
              <w:r>
                <w:rPr>
                  <w:rStyle w:val="InternetLink"/>
                  <w:rFonts w:ascii="Times New Roman;serif" w:hAnsi="Times New Roman;serif"/>
                  <w:b w:val="false"/>
                  <w:color w:val="000080"/>
                  <w:sz w:val="20"/>
                  <w:u w:val="single"/>
                </w:rPr>
                <w:t>0</w:t>
              </w:r>
            </w:hyperlink>
            <w:hyperlink w:anchor="ifb6e05bb095546e680f754a1cf33717a_25">
              <w:r>
                <w:rPr>
                  <w:rStyle w:val="InternetLink"/>
                  <w:rFonts w:ascii="Times New Roman;serif" w:hAnsi="Times New Roman;serif"/>
                  <w:b w:val="false"/>
                  <w:color w:val="000080"/>
                  <w:sz w:val="20"/>
                  <w:u w:val="single"/>
                </w:rPr>
                <w:t>,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5">
              <w:r>
                <w:rPr>
                  <w:rStyle w:val="InternetLink"/>
                  <w:rFonts w:ascii="Times New Roman;serif" w:hAnsi="Times New Roman;serif"/>
                  <w:b w:val="false"/>
                  <w:color w:val="0000FF"/>
                  <w:sz w:val="20"/>
                  <w:u w:val="single"/>
                </w:rPr>
                <w:t>6</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28">
              <w:r>
                <w:rPr>
                  <w:rStyle w:val="InternetLink"/>
                  <w:rFonts w:ascii="Times New Roman;serif" w:hAnsi="Times New Roman;serif"/>
                  <w:b w:val="false"/>
                  <w:color w:val="000080"/>
                  <w:sz w:val="20"/>
                  <w:u w:val="single"/>
                </w:rPr>
                <w:t>Condensed Consolidated Statements of Changes in Stockholders’ Equity (Deficit) (Unaudited) Three</w:t>
              </w:r>
            </w:hyperlink>
            <w:hyperlink w:anchor="ifb6e05bb095546e680f754a1cf33717a_28">
              <w:r>
                <w:rPr>
                  <w:rStyle w:val="InternetLink"/>
                  <w:rFonts w:ascii="Times New Roman;serif" w:hAnsi="Times New Roman;serif"/>
                  <w:b w:val="false"/>
                  <w:color w:val="000080"/>
                  <w:sz w:val="20"/>
                  <w:u w:val="single"/>
                </w:rPr>
                <w:t xml:space="preserve"> and Six</w:t>
              </w:r>
            </w:hyperlink>
            <w:hyperlink w:anchor="ifb6e05bb095546e680f754a1cf33717a_28">
              <w:r>
                <w:rPr>
                  <w:rStyle w:val="InternetLink"/>
                  <w:rFonts w:ascii="Times New Roman;serif" w:hAnsi="Times New Roman;serif"/>
                  <w:b w:val="false"/>
                  <w:color w:val="000080"/>
                  <w:sz w:val="20"/>
                  <w:u w:val="single"/>
                </w:rPr>
                <w:t xml:space="preserve"> Months Ended </w:t>
              </w:r>
            </w:hyperlink>
            <w:hyperlink w:anchor="ifb6e05bb095546e680f754a1cf33717a_28">
              <w:r>
                <w:rPr>
                  <w:rStyle w:val="InternetLink"/>
                  <w:rFonts w:ascii="Times New Roman;serif" w:hAnsi="Times New Roman;serif"/>
                  <w:b w:val="false"/>
                  <w:color w:val="000080"/>
                  <w:sz w:val="20"/>
                  <w:u w:val="single"/>
                </w:rPr>
                <w:t>June</w:t>
              </w:r>
            </w:hyperlink>
            <w:hyperlink w:anchor="ifb6e05bb095546e680f754a1cf33717a_28">
              <w:r>
                <w:rPr>
                  <w:rStyle w:val="InternetLink"/>
                  <w:rFonts w:ascii="Times New Roman;serif" w:hAnsi="Times New Roman;serif"/>
                  <w:b w:val="false"/>
                  <w:color w:val="000080"/>
                  <w:sz w:val="20"/>
                  <w:u w:val="single"/>
                </w:rPr>
                <w:t xml:space="preserve"> 3</w:t>
              </w:r>
            </w:hyperlink>
            <w:hyperlink w:anchor="ifb6e05bb095546e680f754a1cf33717a_28">
              <w:r>
                <w:rPr>
                  <w:rStyle w:val="InternetLink"/>
                  <w:rFonts w:ascii="Times New Roman;serif" w:hAnsi="Times New Roman;serif"/>
                  <w:b w:val="false"/>
                  <w:color w:val="000080"/>
                  <w:sz w:val="20"/>
                  <w:u w:val="single"/>
                </w:rPr>
                <w:t>0</w:t>
              </w:r>
            </w:hyperlink>
            <w:hyperlink w:anchor="ifb6e05bb095546e680f754a1cf33717a_28">
              <w:r>
                <w:rPr>
                  <w:rStyle w:val="InternetLink"/>
                  <w:rFonts w:ascii="Times New Roman;serif" w:hAnsi="Times New Roman;serif"/>
                  <w:b w:val="false"/>
                  <w:color w:val="000080"/>
                  <w:sz w:val="20"/>
                  <w:u w:val="single"/>
                </w:rPr>
                <w:t>,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8">
              <w:r>
                <w:rPr>
                  <w:rStyle w:val="InternetLink"/>
                  <w:rFonts w:ascii="Times New Roman;serif" w:hAnsi="Times New Roman;serif"/>
                  <w:b w:val="false"/>
                  <w:color w:val="0000FF"/>
                  <w:sz w:val="20"/>
                  <w:u w:val="single"/>
                </w:rPr>
                <w:t>7</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31">
              <w:r>
                <w:rPr>
                  <w:rStyle w:val="InternetLink"/>
                  <w:rFonts w:ascii="Times New Roman;serif" w:hAnsi="Times New Roman;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31">
              <w:r>
                <w:rPr>
                  <w:rStyle w:val="InternetLink"/>
                  <w:rFonts w:ascii="Times New Roman;serif" w:hAnsi="Times New Roman;serif"/>
                  <w:b w:val="false"/>
                  <w:color w:val="0000FF"/>
                  <w:sz w:val="20"/>
                  <w:u w:val="single"/>
                </w:rPr>
                <w:t>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121">
              <w:r>
                <w:rPr>
                  <w:rStyle w:val="InternetLink"/>
                  <w:rFonts w:ascii="Times New Roman;serif" w:hAnsi="Times New Roman;serif"/>
                  <w:b w:val="false"/>
                  <w:color w:val="0000FF"/>
                  <w:sz w:val="20"/>
                  <w:u w:val="single"/>
                </w:rPr>
                <w:t>30</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256">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56">
              <w:r>
                <w:rPr>
                  <w:rStyle w:val="InternetLink"/>
                  <w:rFonts w:ascii="Times New Roman;serif" w:hAnsi="Times New Roman;serif"/>
                  <w:b w:val="false"/>
                  <w:color w:val="0000FF"/>
                  <w:sz w:val="20"/>
                  <w:u w:val="single"/>
                </w:rPr>
                <w:t>46</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6e05bb095546e680f754a1cf33717a_259">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59">
              <w:r>
                <w:rPr>
                  <w:rStyle w:val="InternetLink"/>
                  <w:rFonts w:ascii="Times New Roman;serif" w:hAnsi="Times New Roman;serif"/>
                  <w:b w:val="false"/>
                  <w:color w:val="0000FF"/>
                  <w:sz w:val="20"/>
                  <w:u w:val="single"/>
                </w:rPr>
                <w:t>47</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65">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65">
              <w:r>
                <w:rPr>
                  <w:rStyle w:val="InternetLink"/>
                  <w:rFonts w:ascii="Times New Roman;serif" w:hAnsi="Times New Roman;serif"/>
                  <w:b w:val="false"/>
                  <w:color w:val="0000FF"/>
                  <w:sz w:val="20"/>
                  <w:u w:val="single"/>
                </w:rPr>
                <w:t>48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68">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68">
              <w:r>
                <w:rPr>
                  <w:rStyle w:val="InternetLink"/>
                  <w:rFonts w:ascii="Times New Roman;serif" w:hAnsi="Times New Roman;serif"/>
                  <w:b w:val="false"/>
                  <w:color w:val="0000FF"/>
                  <w:sz w:val="20"/>
                  <w:u w:val="single"/>
                </w:rPr>
                <w:t>48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71">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71">
              <w:r>
                <w:rPr>
                  <w:rStyle w:val="InternetLink"/>
                  <w:rFonts w:ascii="Times New Roman;serif" w:hAnsi="Times New Roman;serif"/>
                  <w:b w:val="false"/>
                  <w:color w:val="0000FF"/>
                  <w:sz w:val="20"/>
                  <w:u w:val="single"/>
                </w:rPr>
                <w:t>48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74">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74">
              <w:r>
                <w:rPr>
                  <w:rStyle w:val="InternetLink"/>
                  <w:rFonts w:ascii="Times New Roman;serif" w:hAnsi="Times New Roman;serif"/>
                  <w:b w:val="false"/>
                  <w:color w:val="0000FF"/>
                  <w:sz w:val="20"/>
                  <w:u w:val="single"/>
                </w:rPr>
                <w:t>49</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80">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80">
              <w:r>
                <w:rPr>
                  <w:rStyle w:val="InternetLink"/>
                  <w:rFonts w:ascii="Times New Roman;serif" w:hAnsi="Times New Roman;serif"/>
                  <w:b w:val="false"/>
                  <w:color w:val="0000FF"/>
                  <w:sz w:val="20"/>
                  <w:u w:val="single"/>
                </w:rPr>
                <w:t>50</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283">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6e05bb095546e680f754a1cf33717a_283">
              <w:r>
                <w:rPr>
                  <w:rStyle w:val="InternetLink"/>
                  <w:rFonts w:ascii="Times New Roman;serif" w:hAnsi="Times New Roman;serif"/>
                  <w:b w:val="false"/>
                  <w:color w:val="0000FF"/>
                  <w:sz w:val="20"/>
                  <w:u w:val="single"/>
                </w:rPr>
                <w:t>51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pPr>
      <w:r>
        <w:rPr>
          <w:rFonts w:ascii="Times New Roman;serif" w:hAnsi="Times New Roman;serif"/>
          <w:b/>
          <w:color w:val="000000"/>
          <w:sz w:val="20"/>
        </w:rPr>
        <w:t>Condensed Consolidated Statements of Operations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177"/>
        <w:gridCol w:w="1720"/>
        <w:gridCol w:w="1734"/>
        <w:gridCol w:w="212"/>
        <w:gridCol w:w="568"/>
        <w:gridCol w:w="109"/>
        <w:gridCol w:w="109"/>
        <w:gridCol w:w="109"/>
        <w:gridCol w:w="109"/>
        <w:gridCol w:w="212"/>
        <w:gridCol w:w="568"/>
        <w:gridCol w:w="109"/>
        <w:gridCol w:w="109"/>
        <w:gridCol w:w="109"/>
        <w:gridCol w:w="109"/>
        <w:gridCol w:w="211"/>
        <w:gridCol w:w="562"/>
        <w:gridCol w:w="109"/>
        <w:gridCol w:w="109"/>
        <w:gridCol w:w="109"/>
        <w:gridCol w:w="109"/>
        <w:gridCol w:w="211"/>
        <w:gridCol w:w="562"/>
        <w:gridCol w:w="160"/>
      </w:tblGrid>
      <w:tr>
        <w:trPr/>
        <w:tc>
          <w:tcPr>
            <w:tcW w:w="217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31" w:type="dxa"/>
            <w:gridSpan w:val="3"/>
            <w:vMerge w:val="continue"/>
            <w:tcBorders/>
            <w:tcMar>
              <w:top w:w="0" w:type="dxa"/>
              <w:left w:w="0" w:type="dxa"/>
              <w:bottom w:w="0" w:type="dxa"/>
              <w:right w:w="0" w:type="dxa"/>
            </w:tcMar>
            <w:vAlign w:val="center"/>
          </w:tcPr>
          <w:p>
            <w:pPr>
              <w:pStyle w:val="Normal"/>
              <w:bidi w:val="0"/>
              <w:jc w:val="left"/>
              <w:rPr/>
            </w:pPr>
            <w:r>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taxes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63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631"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attributable to NCR Voyix common stockholders:</w:t>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dividends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 common stockholders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 attributable to NCR Voyix common stockholders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NCR Voyix common stockholders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NCR Voyix common stockholders:</w:t>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common share from continuing operations</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29"/>
        <w:gridCol w:w="1855"/>
        <w:gridCol w:w="1834"/>
        <w:gridCol w:w="258"/>
        <w:gridCol w:w="395"/>
        <w:gridCol w:w="133"/>
        <w:gridCol w:w="133"/>
        <w:gridCol w:w="133"/>
        <w:gridCol w:w="133"/>
        <w:gridCol w:w="258"/>
        <w:gridCol w:w="498"/>
        <w:gridCol w:w="133"/>
        <w:gridCol w:w="109"/>
        <w:gridCol w:w="109"/>
        <w:gridCol w:w="109"/>
        <w:gridCol w:w="223"/>
        <w:gridCol w:w="452"/>
        <w:gridCol w:w="115"/>
        <w:gridCol w:w="115"/>
        <w:gridCol w:w="115"/>
        <w:gridCol w:w="115"/>
        <w:gridCol w:w="223"/>
        <w:gridCol w:w="452"/>
        <w:gridCol w:w="176"/>
      </w:tblGrid>
      <w:tr>
        <w:trPr/>
        <w:tc>
          <w:tcPr>
            <w:tcW w:w="212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18" w:type="dxa"/>
            <w:gridSpan w:val="3"/>
            <w:vMerge w:val="continue"/>
            <w:tcBorders/>
            <w:tcMar>
              <w:top w:w="0" w:type="dxa"/>
              <w:left w:w="0" w:type="dxa"/>
              <w:bottom w:w="0" w:type="dxa"/>
              <w:right w:w="0" w:type="dxa"/>
            </w:tcMar>
            <w:vAlign w:val="center"/>
          </w:tcPr>
          <w:p>
            <w:pPr>
              <w:pStyle w:val="Normal"/>
              <w:bidi w:val="0"/>
              <w:jc w:val="left"/>
              <w:rPr/>
            </w:pPr>
            <w:r>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 translation adjustments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gains (loss)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NCR Voyix common stockholders</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581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32"/>
        <w:gridCol w:w="2359"/>
        <w:gridCol w:w="2377"/>
        <w:gridCol w:w="216"/>
        <w:gridCol w:w="630"/>
        <w:gridCol w:w="120"/>
        <w:gridCol w:w="109"/>
        <w:gridCol w:w="109"/>
        <w:gridCol w:w="109"/>
        <w:gridCol w:w="246"/>
        <w:gridCol w:w="700"/>
        <w:gridCol w:w="198"/>
      </w:tblGrid>
      <w:tr>
        <w:trPr/>
        <w:tc>
          <w:tcPr>
            <w:tcW w:w="303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$20 and $21 as of June 30, 2026 and December 31, 2025, respectively</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1,118</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cost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3,852</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1,101</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indemnity plan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and postemployment benefits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accruals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2,719</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9)</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par value $0.01 per share, 3.0 shares authorized, 0.2 shares issued and outstanding as of June 30, 2026 and December 31, 2025; redemption amount and liquidation preference of $207 as of June 30, 2026 and December 31, 2025</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NCR Voyix stockholders’ equity (deficit)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par value $0.01 per share, 100.0 shares authorized, no shares issued and outstanding as of June 30, 2026 and December 31, 2025</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per share, 500.0 shares authorized, 137.6 and 138.1 shares issued and outstanding as of June 30, 2026 and December 31, 2025, respectively</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(deficit)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NCR Voyix stockholders’ equity (deficit)</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 (deficit)</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 (deficit)</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3,852</w:t>
            </w: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NCR Voyix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tbl>
      <w:tblPr>
        <w:tblW w:w="9984" w:type="dxa"/>
        <w:jc w:val="left"/>
        <w:tblInd w:w="0" w:type="dxa"/>
        <w:tblLayout w:type="fixed"/>
        <w:tblCellMar>
          <w:top w:w="28" w:type="dxa"/>
          <w:left w:w="28" w:type="dxa"/>
          <w:bottom w:w="28" w:type="dxa"/>
          <w:right w:w="28" w:type="dxa"/>
        </w:tblCellMar>
      </w:tblPr>
      <w:tblGrid>
        <w:gridCol w:w="2880"/>
        <w:gridCol w:w="2526"/>
        <w:gridCol w:w="2544"/>
        <w:gridCol w:w="211"/>
        <w:gridCol w:w="481"/>
        <w:gridCol w:w="109"/>
        <w:gridCol w:w="109"/>
        <w:gridCol w:w="109"/>
        <w:gridCol w:w="109"/>
        <w:gridCol w:w="211"/>
        <w:gridCol w:w="541"/>
        <w:gridCol w:w="154"/>
      </w:tblGrid>
      <w:tr>
        <w:trPr/>
        <w:tc>
          <w:tcPr>
            <w:tcW w:w="288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950"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(used in)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of other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(gain) on disposal of property, plant and equipment and other assets,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payables and accrued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benefit plans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and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operating activities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Collections on purchased trade receivables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Collections on non-operating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investing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revolving credit facilities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on revolving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dividend paid for Series A preferred shares dividends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stock plans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payments on behalf of employees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payments for finance lease obligations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financing activities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and restricted cash</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 cash, cash equivalents, and restricted 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20" w:after="283"/>
        <w:jc w:val="both"/>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(Deficit) (Unaudited)</w:t>
      </w:r>
    </w:p>
    <w:tbl>
      <w:tblPr>
        <w:tblW w:w="10205" w:type="dxa"/>
        <w:jc w:val="center"/>
        <w:tblInd w:w="0" w:type="dxa"/>
        <w:tblLayout w:type="fixed"/>
        <w:tblCellMar>
          <w:top w:w="28" w:type="dxa"/>
          <w:left w:w="28" w:type="dxa"/>
          <w:bottom w:w="28" w:type="dxa"/>
          <w:right w:w="28" w:type="dxa"/>
        </w:tblCellMar>
      </w:tblPr>
      <w:tblGrid>
        <w:gridCol w:w="598"/>
        <w:gridCol w:w="452"/>
        <w:gridCol w:w="306"/>
        <w:gridCol w:w="109"/>
        <w:gridCol w:w="109"/>
        <w:gridCol w:w="109"/>
        <w:gridCol w:w="218"/>
        <w:gridCol w:w="218"/>
        <w:gridCol w:w="196"/>
        <w:gridCol w:w="109"/>
        <w:gridCol w:w="109"/>
        <w:gridCol w:w="109"/>
        <w:gridCol w:w="241"/>
        <w:gridCol w:w="315"/>
        <w:gridCol w:w="135"/>
        <w:gridCol w:w="109"/>
        <w:gridCol w:w="109"/>
        <w:gridCol w:w="109"/>
        <w:gridCol w:w="202"/>
        <w:gridCol w:w="451"/>
        <w:gridCol w:w="112"/>
        <w:gridCol w:w="109"/>
        <w:gridCol w:w="109"/>
        <w:gridCol w:w="109"/>
        <w:gridCol w:w="217"/>
        <w:gridCol w:w="484"/>
        <w:gridCol w:w="123"/>
        <w:gridCol w:w="109"/>
        <w:gridCol w:w="109"/>
        <w:gridCol w:w="109"/>
        <w:gridCol w:w="358"/>
        <w:gridCol w:w="799"/>
        <w:gridCol w:w="201"/>
        <w:gridCol w:w="109"/>
        <w:gridCol w:w="109"/>
        <w:gridCol w:w="109"/>
        <w:gridCol w:w="412"/>
        <w:gridCol w:w="853"/>
        <w:gridCol w:w="230"/>
        <w:gridCol w:w="109"/>
        <w:gridCol w:w="109"/>
        <w:gridCol w:w="109"/>
        <w:gridCol w:w="196"/>
        <w:gridCol w:w="436"/>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827</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559</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948</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NCR Voyix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824</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551</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(448)</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928</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NCR Voyix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826</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550</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(451)</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926</w:t>
            </w:r>
            <w:r>
              <w:rPr>
                <w:color w:val="000000"/>
              </w:rPr>
              <w:t>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98"/>
        <w:gridCol w:w="452"/>
        <w:gridCol w:w="306"/>
        <w:gridCol w:w="109"/>
        <w:gridCol w:w="109"/>
        <w:gridCol w:w="109"/>
        <w:gridCol w:w="218"/>
        <w:gridCol w:w="218"/>
        <w:gridCol w:w="196"/>
        <w:gridCol w:w="109"/>
        <w:gridCol w:w="109"/>
        <w:gridCol w:w="109"/>
        <w:gridCol w:w="241"/>
        <w:gridCol w:w="315"/>
        <w:gridCol w:w="135"/>
        <w:gridCol w:w="109"/>
        <w:gridCol w:w="109"/>
        <w:gridCol w:w="109"/>
        <w:gridCol w:w="202"/>
        <w:gridCol w:w="451"/>
        <w:gridCol w:w="112"/>
        <w:gridCol w:w="109"/>
        <w:gridCol w:w="109"/>
        <w:gridCol w:w="109"/>
        <w:gridCol w:w="217"/>
        <w:gridCol w:w="484"/>
        <w:gridCol w:w="123"/>
        <w:gridCol w:w="109"/>
        <w:gridCol w:w="109"/>
        <w:gridCol w:w="109"/>
        <w:gridCol w:w="358"/>
        <w:gridCol w:w="799"/>
        <w:gridCol w:w="201"/>
        <w:gridCol w:w="109"/>
        <w:gridCol w:w="109"/>
        <w:gridCol w:w="109"/>
        <w:gridCol w:w="412"/>
        <w:gridCol w:w="853"/>
        <w:gridCol w:w="230"/>
        <w:gridCol w:w="109"/>
        <w:gridCol w:w="109"/>
        <w:gridCol w:w="109"/>
        <w:gridCol w:w="196"/>
        <w:gridCol w:w="436"/>
        <w:gridCol w:w="163"/>
      </w:tblGrid>
      <w:tr>
        <w:trPr/>
        <w:tc>
          <w:tcPr>
            <w:tcW w:w="59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(469)</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931</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NCR Voyix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809</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496</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(449)</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857</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NCR Voyix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813</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492</w:t>
            </w:r>
            <w:r>
              <w:rPr>
                <w:color w:val="000000"/>
              </w:rPr>
              <w:t>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w:t>
            </w:r>
            <w:r>
              <w:rPr>
                <w:color w:val="000000"/>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Statements and Supplemental Data</w:t>
      </w:r>
    </w:p>
    <w:tbl>
      <w:tblPr>
        <w:tblW w:w="6495" w:type="dxa"/>
        <w:jc w:val="center"/>
        <w:tblInd w:w="0" w:type="dxa"/>
        <w:tblLayout w:type="fixed"/>
        <w:tblCellMar>
          <w:top w:w="28" w:type="dxa"/>
          <w:left w:w="28" w:type="dxa"/>
          <w:bottom w:w="28" w:type="dxa"/>
          <w:right w:w="28" w:type="dxa"/>
        </w:tblCellMar>
      </w:tblPr>
      <w:tblGrid>
        <w:gridCol w:w="2080"/>
        <w:gridCol w:w="1825"/>
        <w:gridCol w:w="2590"/>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34">
              <w:r>
                <w:rPr>
                  <w:rStyle w:val="InternetLink"/>
                  <w:rFonts w:ascii="Times New Roman;serif" w:hAnsi="Times New Roman;serif"/>
                  <w:b w:val="false"/>
                  <w:color w:val="0000FF"/>
                  <w:sz w:val="20"/>
                  <w:u w:val="single"/>
                </w:rPr>
                <w:t>Note 1. Basis of Presentation and Summary of Significant Accounting Policies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43">
              <w:r>
                <w:rPr>
                  <w:rStyle w:val="InternetLink"/>
                  <w:rFonts w:ascii="Times New Roman;serif" w:hAnsi="Times New Roman;serif"/>
                  <w:b w:val="false"/>
                  <w:color w:val="0000FF"/>
                  <w:sz w:val="20"/>
                  <w:u w:val="single"/>
                </w:rPr>
                <w:t>Note 2. Discontinued Operations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49">
              <w:r>
                <w:rPr>
                  <w:rStyle w:val="InternetLink"/>
                  <w:rFonts w:ascii="Times New Roman;serif" w:hAnsi="Times New Roman;serif"/>
                  <w:b w:val="false"/>
                  <w:color w:val="0000FF"/>
                  <w:sz w:val="20"/>
                  <w:u w:val="single"/>
                </w:rPr>
                <w:t>Note 3. Goodwill and Purchased Intangible Assets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52">
              <w:r>
                <w:rPr>
                  <w:rStyle w:val="InternetLink"/>
                  <w:rFonts w:ascii="Times New Roman;serif" w:hAnsi="Times New Roman;serif"/>
                  <w:b w:val="false"/>
                  <w:color w:val="0000FF"/>
                  <w:sz w:val="20"/>
                  <w:u w:val="single"/>
                </w:rPr>
                <w:t>Note 4. Segment Information and Concentrations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55">
              <w:r>
                <w:rPr>
                  <w:rStyle w:val="InternetLink"/>
                  <w:rFonts w:ascii="Times New Roman;serif" w:hAnsi="Times New Roman;serif"/>
                  <w:b w:val="false"/>
                  <w:color w:val="0000FF"/>
                  <w:sz w:val="20"/>
                  <w:u w:val="single"/>
                </w:rPr>
                <w:t>Note 5. Debt Obligations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64">
              <w:r>
                <w:rPr>
                  <w:rStyle w:val="InternetLink"/>
                  <w:rFonts w:ascii="Times New Roman;serif" w:hAnsi="Times New Roman;serif"/>
                  <w:b w:val="false"/>
                  <w:color w:val="0000FF"/>
                  <w:sz w:val="20"/>
                  <w:u w:val="single"/>
                </w:rPr>
                <w:t>Note 6. Income Taxes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70">
              <w:r>
                <w:rPr>
                  <w:rStyle w:val="InternetLink"/>
                  <w:rFonts w:ascii="Times New Roman;serif" w:hAnsi="Times New Roman;serif"/>
                  <w:b w:val="false"/>
                  <w:color w:val="0000FF"/>
                  <w:sz w:val="20"/>
                  <w:u w:val="single"/>
                </w:rPr>
                <w:t>Note 7. Stock Compensation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73">
              <w:r>
                <w:rPr>
                  <w:rStyle w:val="InternetLink"/>
                  <w:rFonts w:ascii="Times New Roman;serif" w:hAnsi="Times New Roman;serif"/>
                  <w:b w:val="false"/>
                  <w:color w:val="0000FF"/>
                  <w:sz w:val="20"/>
                  <w:u w:val="single"/>
                </w:rPr>
                <w:t>Note 8. Employee Benefit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85">
              <w:r>
                <w:rPr>
                  <w:rStyle w:val="InternetLink"/>
                  <w:rFonts w:ascii="Times New Roman;serif" w:hAnsi="Times New Roman;serif"/>
                  <w:b w:val="false"/>
                  <w:color w:val="0000FF"/>
                  <w:sz w:val="20"/>
                  <w:u w:val="single"/>
                </w:rPr>
                <w:t>Note 9. Commitments and Contingencies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88">
              <w:r>
                <w:rPr>
                  <w:rStyle w:val="InternetLink"/>
                  <w:rFonts w:ascii="Times New Roman;serif" w:hAnsi="Times New Roman;serif"/>
                  <w:b w:val="false"/>
                  <w:color w:val="0000FF"/>
                  <w:sz w:val="20"/>
                  <w:u w:val="single"/>
                </w:rPr>
                <w:t>Note 10. Series A Convertible Preferred Stock</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94">
              <w:r>
                <w:rPr>
                  <w:rStyle w:val="InternetLink"/>
                  <w:rFonts w:ascii="Times New Roman;serif" w:hAnsi="Times New Roman;serif"/>
                  <w:b w:val="false"/>
                  <w:color w:val="0000FF"/>
                  <w:sz w:val="20"/>
                  <w:u w:val="single"/>
                </w:rPr>
                <w:t>Note 11. Earnings Per Share</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100">
              <w:r>
                <w:rPr>
                  <w:rStyle w:val="InternetLink"/>
                  <w:rFonts w:ascii="Times New Roman;serif" w:hAnsi="Times New Roman;serif"/>
                  <w:b w:val="false"/>
                  <w:color w:val="0000FF"/>
                  <w:sz w:val="20"/>
                  <w:u w:val="single"/>
                </w:rPr>
                <w:t>Note 12. Derivatives and Hedging Instruments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103">
              <w:r>
                <w:rPr>
                  <w:rStyle w:val="InternetLink"/>
                  <w:rFonts w:ascii="Times New Roman;serif" w:hAnsi="Times New Roman;serif"/>
                  <w:b w:val="false"/>
                  <w:color w:val="0000FF"/>
                  <w:sz w:val="20"/>
                  <w:u w:val="single"/>
                </w:rPr>
                <w:t>Note 13. Fair Value of Assets and Liabilities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106">
              <w:r>
                <w:rPr>
                  <w:rStyle w:val="InternetLink"/>
                  <w:rFonts w:ascii="Times New Roman;serif" w:hAnsi="Times New Roman;serif"/>
                  <w:b w:val="false"/>
                  <w:color w:val="0000FF"/>
                  <w:sz w:val="20"/>
                  <w:u w:val="single"/>
                </w:rPr>
                <w:t>Note 14. Accumulated Other Comprehensive Income (Loss) (AOCI)</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6e05bb095546e680f754a1cf33717a_112">
              <w:r>
                <w:rPr>
                  <w:rStyle w:val="InternetLink"/>
                  <w:rFonts w:ascii="Times New Roman;serif" w:hAnsi="Times New Roman;serif"/>
                  <w:b w:val="false"/>
                  <w:color w:val="0000FF"/>
                  <w:sz w:val="20"/>
                  <w:u w:val="single"/>
                </w:rPr>
                <w:t>Note 15. Supplemental Financial Information</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2025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Spin-off of NCR Atleos </w:t>
      </w:r>
      <w:r>
        <w:rPr>
          <w:rFonts w:ascii="Times New Roman;serif" w:hAnsi="Times New Roman;serif"/>
          <w:b w:val="false"/>
          <w:color w:val="000000"/>
          <w:sz w:val="20"/>
        </w:rPr>
        <w:t>On October 16, 2023, we completed the spin-off of our ATM-focused business, including our self-service banking, payments &amp; network, and telecommunications and technology businesses, into an independent publicly traded company, NCR Atleos Corporation and its consolidated subsidiaries (collectively hereinafter “NCR Atleos”). The spin-off of NCR Atleos (the “Spin-Off”) was effectuated through a pro rata distribution of all outstanding shares of NCR Atleos common stock to holders of our common stock as of the close of business on October 2, 2023 (the “record date”). We distributed one share of NCR Atleos common stock for every two common shares of our outstanding common stock as of the record date. Shareholders received cash in lieu of fractional shares of Atleos common stock. The Spin-Off is expected to qualify as a tax-free distribution for U.S. federal income tax purposes. The Company retains no ownership interest in NCR Atleos. The accounting requirements for reporting the Spin-Off of NCR Atleos as a discontinued operation were met when the separation was completed. Accordingly, the financial results for NCR Atleos are presented as net income (loss) from discontinued operations, net of tax on the Condensed Consolidated Statements of Operations. Refer to Note 2,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entered into various agreements with NCR Atleos to effectuate the Spin-Off, and to provide a framework for the relationship between the Company and NCR Atleos after the Spin-Off. Such agreements include the separation and distribution agreement, as well as the following ongoing agreements: a tax matters agreement, employee matters agreement, patent and technology cross-license agreement, trademark license and use agreement, master services agreement and various other transaction agreements. While many of the performance obligations of the Company and NCR Atleos have been satisfied or have otherwise expired, we continue to provide certain limited services to NCR Atleos and receive certain limited services from NCR Atleos pursuant to the terms of the master services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Sale of Digital Banking </w:t>
      </w:r>
      <w:r>
        <w:rPr>
          <w:rFonts w:ascii="Times New Roman;serif" w:hAnsi="Times New Roman;serif"/>
          <w:b w:val="false"/>
          <w:color w:val="000000"/>
          <w:sz w:val="20"/>
        </w:rPr>
        <w:t xml:space="preserve">On September 30, 2024, the Company completed the sale of its Digital Banking segment businesses (the “Digital Banking Sale”) to an 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June 30, 2026. The accounting requirements for reporting the Digital Banking Sale as a discontinued operation were met when the definitive agreement was signed.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pPr>
      <w:r>
        <w:rPr>
          <w:rFonts w:ascii="Times New Roman;serif" w:hAnsi="Times New Roman;serif"/>
          <w:b/>
          <w:color w:val="000000"/>
          <w:sz w:val="20"/>
        </w:rPr>
        <w:t xml:space="preserve">Transition of Hardware Business to ODM Model </w:t>
      </w:r>
      <w:r>
        <w:rPr>
          <w:rFonts w:ascii="Times New Roman;serif" w:hAnsi="Times New Roman;serif"/>
          <w:b w:val="false"/>
          <w:color w:val="000000"/>
          <w:sz w:val="20"/>
        </w:rPr>
        <w:t>In August 2024, the Company entered into a commercial agreement with Ennoconn Corporation (“Ennoconn”) to transition its self-checkout and point-of-sale hardware business to an outsourced design and manufacturing model, including the sale of certain related assets (the “Hardware Business Transition”). Under the agreement, beginning April 1, 2026, Ennoconn is primarily responsible for hardware sold to the Company’s customers, including the design, manufacture, warranty, supply, and direct shipment of self-checkout and point-of-sale hardware. The Company continues to provide its point-of-sale and self-checkout software, as well as key support and maintenance services. Effective April 1, 2026, the Company acts as an agent in the sale of hardware under its commercial arrangement with Ennoconn Corporation. The Company determined that it does not control the hardware before it is transferred to the customer and therefore acts as an agent in the transaction. Accordingly, under ASC 606, revenue is recognized on a net basis in an amount equal to the commission or fee the Company expects to receive for arranging for the hardware to be provided to the customer. Revenue is recognized when control of the hardware transfers to the customer, generally upon shipment or delivery, and is presented within Service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sold inventory to Ennoconn as part of the Hardware Business Transition and recorded a loss of $3 million and $15 million, respectively, in Other income (expense), net in the Condensed Consolidated Statements of Operations. Under ASC 610</w:t>
        <w:noBreakHyphen/>
        <w:t xml:space="preserve">20, the inventory sale resulted in the recognition of a receivable within Prepaid and other current assets in the Condensed Consolidated Balance Sheets, with subsequent cash collections reflected as investing cash inflows in the Condensed Consolidated Statements of Cash Flows.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Use of Estimates</w:t>
      </w:r>
      <w:r>
        <w:rPr>
          <w:color w:val="000000"/>
        </w:rPr>
        <w:t xml:space="preserve"> </w:t>
      </w:r>
      <w:r>
        <w:rPr>
          <w:rFonts w:ascii="Times New Roman;serif" w:hAnsi="Times New Roman;serif"/>
          <w:b w:val="false"/>
          <w:color w:val="000000"/>
          <w:sz w:val="20"/>
        </w:rPr>
        <w:t xml:space="preserve">The preparation of financial statements in accordance with GAAP requires management to make estimates and judgments that affect the reported amounts of assets and liabilities, the disclosure of contingent assets and liabilities at the date of the financial statements, and revenue and expenses during the period reported.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Evaluation of Subsequent Events</w:t>
      </w:r>
      <w:r>
        <w:rPr>
          <w:color w:val="000000"/>
        </w:rPr>
        <w:t> </w:t>
      </w:r>
      <w:r>
        <w:rPr>
          <w:rFonts w:ascii="Times New Roman;serif" w:hAnsi="Times New Roman;serif"/>
          <w:b w:val="false"/>
          <w:color w:val="000000"/>
          <w:sz w:val="20"/>
        </w:rPr>
        <w:t>The Company evaluated subsequent events through the date that our Condensed Consolidated Financial Statements were issued. Other than the items discussed within the Notes to the Consolidated Financial Statements, no matters were identified that required adjustment to the Condensed Consolidated Financial Statements or additional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Reclassifications</w:t>
      </w:r>
      <w:r>
        <w:rPr>
          <w:color w:val="000000"/>
        </w:rPr>
        <w:t xml:space="preserve"> </w:t>
      </w:r>
      <w:r>
        <w:rPr>
          <w:rFonts w:ascii="Times New Roman;serif" w:hAnsi="Times New Roman;serif"/>
          <w:b w:val="false"/>
          <w:color w:val="000000"/>
          <w:sz w:val="20"/>
        </w:rPr>
        <w:t>Certain prior-period amounts have been reclassified in the accompanying Condensed Consolidated Financial Statements and Notes thereto in order to conform to the current period presentation. Reclassifications had no effect on prior year net income or stockholders’ equity.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Cyber ransomware incident</w:t>
      </w:r>
      <w:r>
        <w:rPr>
          <w:color w:val="000000"/>
        </w:rPr>
        <w:t xml:space="preserve"> </w:t>
      </w:r>
      <w:r>
        <w:rPr>
          <w:rFonts w:ascii="Times New Roman;serif" w:hAnsi="Times New Roman;serif"/>
          <w:b w:val="false"/>
          <w:color w:val="000000"/>
          <w:sz w:val="20"/>
        </w:rPr>
        <w:t>In April 2023, the Company determined that a single data center outage was caused by a cyber ransomware incident and, in connection with this incident, the Company has incurred a cumulative $47 million of expenses as of June 30, 2026. The incident impacted operations for some customers and only with respect to specific Aloha cloud-based services and Counterpoint and did not impact any financial reporting systems. The Company continues to pursue recovery under its insurance policies and has recovered $37 million as of June 30, 2026. While the Company may incur additional costs and expenses in the future, the Company does not anticipate that future expenses or costs incurred will have a material adverse effect on our business, operations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ACH Disbursements </w:t>
      </w:r>
      <w:r>
        <w:rPr>
          <w:rFonts w:ascii="Times New Roman;serif" w:hAnsi="Times New Roman;serif"/>
          <w:b w:val="false"/>
          <w:color w:val="000000"/>
          <w:sz w:val="20"/>
        </w:rPr>
        <w:t>In February 2024, the Company identified fraudulent automated clearing house (“ACH”) disbursements from a Company bank account. The cumulative amount of these disbursements totaled $34 million. As of June 30, 2026, the Company has recovered approximately $16 million of fraudulent disbursements from the Company’s banks and is pursuing insurance recoveries in connection with this matter.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Repurchases of Common Stock </w:t>
      </w:r>
      <w:r>
        <w:rPr>
          <w:rFonts w:ascii="Times New Roman;serif" w:hAnsi="Times New Roman;serif"/>
          <w:b w:val="false"/>
          <w:color w:val="000000"/>
          <w:sz w:val="20"/>
        </w:rPr>
        <w:t xml:space="preserve">In May 2025, the Board approved an amended and restated share repurchase program (the “Repurchase Program”), with no expiration from the date of authorization, that provided for a total aggregate repurchase authority of $200 million, to repurchase shares of the Company’s common stock and Series A preferred stock. Taking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account prior repurchases under the Repurchase Program, on February 12, 2026, the Board amended the Repurchase Program to add an incremental $178 million of repurchase authority under the program, which brought the total remaining aggregate repurchase authority under the program at the time to $300 million. During the six months ended June 30, 2026, the Company repurchased $20 million of common stock under the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color w:val="000000"/>
          <w:sz w:val="20"/>
        </w:rPr>
        <w:t xml:space="preserve">Cash, Cash Equivalents, and Restricted Cash </w:t>
      </w:r>
      <w:r>
        <w:rPr>
          <w:rFonts w:ascii="Times New Roman;serif" w:hAnsi="Times New Roman;serif"/>
          <w:b w:val="false"/>
          <w:color w:val="000000"/>
          <w:sz w:val="20"/>
        </w:rPr>
        <w:t>The reconciliation of cash, cash equivalents and restricted cash in the Condensed Consolidated Statements of Cash Flows is as follows:</w:t>
      </w:r>
    </w:p>
    <w:tbl>
      <w:tblPr>
        <w:tblW w:w="8973" w:type="dxa"/>
        <w:jc w:val="left"/>
        <w:tblInd w:w="0" w:type="dxa"/>
        <w:tblLayout w:type="fixed"/>
        <w:tblCellMar>
          <w:top w:w="28" w:type="dxa"/>
          <w:left w:w="28" w:type="dxa"/>
          <w:bottom w:w="28" w:type="dxa"/>
          <w:right w:w="28" w:type="dxa"/>
        </w:tblCellMar>
      </w:tblPr>
      <w:tblGrid>
        <w:gridCol w:w="1489"/>
        <w:gridCol w:w="1307"/>
        <w:gridCol w:w="1314"/>
        <w:gridCol w:w="109"/>
        <w:gridCol w:w="109"/>
        <w:gridCol w:w="109"/>
        <w:gridCol w:w="749"/>
        <w:gridCol w:w="749"/>
        <w:gridCol w:w="752"/>
        <w:gridCol w:w="109"/>
        <w:gridCol w:w="109"/>
        <w:gridCol w:w="109"/>
        <w:gridCol w:w="211"/>
        <w:gridCol w:w="481"/>
        <w:gridCol w:w="109"/>
        <w:gridCol w:w="109"/>
        <w:gridCol w:w="109"/>
        <w:gridCol w:w="109"/>
        <w:gridCol w:w="211"/>
        <w:gridCol w:w="46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1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included in settlement processing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Supplemental Cash Flow Information </w:t>
      </w:r>
      <w:r>
        <w:rPr>
          <w:rFonts w:ascii="Times New Roman;serif" w:hAnsi="Times New Roman;serif"/>
          <w:b w:val="false"/>
          <w:color w:val="000000"/>
          <w:sz w:val="20"/>
        </w:rPr>
        <w:t>During the six months ended June 30, 2026, the Company sold $123 million of inventory to Ennoconn as part of the Hardware Business Transition, recorded receivables of $108 million and recorded a loss of $15 million from the sale. Cash collected on the receivables during the six months ended June 30, 2026 was $67 million and is reflected within “Collections on non-operating receivables” in the Condensed Consolidated Statements of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Contract Assets and Liabilities </w:t>
      </w:r>
      <w:r>
        <w:rPr>
          <w:rFonts w:ascii="Times New Roman;serif" w:hAnsi="Times New Roman;serif"/>
          <w:b w:val="false"/>
          <w:color w:val="000000"/>
          <w:sz w:val="20"/>
        </w:rPr>
        <w:t>The following table presents the net contract liability balances as of June 30, 2026 and December 31, 2025, respectively.</w:t>
      </w:r>
    </w:p>
    <w:tbl>
      <w:tblPr>
        <w:tblW w:w="10205" w:type="dxa"/>
        <w:jc w:val="center"/>
        <w:tblInd w:w="0" w:type="dxa"/>
        <w:tblLayout w:type="fixed"/>
        <w:tblCellMar>
          <w:top w:w="28" w:type="dxa"/>
          <w:left w:w="28" w:type="dxa"/>
          <w:bottom w:w="28" w:type="dxa"/>
          <w:right w:w="28" w:type="dxa"/>
        </w:tblCellMar>
      </w:tblPr>
      <w:tblGrid>
        <w:gridCol w:w="1182"/>
        <w:gridCol w:w="1019"/>
        <w:gridCol w:w="1030"/>
        <w:gridCol w:w="1249"/>
        <w:gridCol w:w="1249"/>
        <w:gridCol w:w="1252"/>
        <w:gridCol w:w="109"/>
        <w:gridCol w:w="109"/>
        <w:gridCol w:w="109"/>
        <w:gridCol w:w="287"/>
        <w:gridCol w:w="655"/>
        <w:gridCol w:w="148"/>
        <w:gridCol w:w="109"/>
        <w:gridCol w:w="109"/>
        <w:gridCol w:w="109"/>
        <w:gridCol w:w="374"/>
        <w:gridCol w:w="826"/>
        <w:gridCol w:w="280"/>
      </w:tblGrid>
      <w:tr>
        <w:trPr/>
        <w:tc>
          <w:tcPr>
            <w:tcW w:w="11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in the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contract liabilities</w:t>
            </w:r>
          </w:p>
        </w:tc>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liabilities</w:t>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recognized $137 million in revenue that was included in contract liabilities as of December 31,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Remaining Performance Obligations</w:t>
      </w:r>
      <w:r>
        <w:rPr>
          <w:color w:val="000000"/>
        </w:rPr>
        <w:t xml:space="preserve"> </w:t>
      </w:r>
      <w:r>
        <w:rPr>
          <w:rFonts w:ascii="Times New Roman;serif" w:hAnsi="Times New Roman;serif"/>
          <w:b w:val="false"/>
          <w:color w:val="000000"/>
          <w:sz w:val="20"/>
        </w:rPr>
        <w:t xml:space="preserve">Remaining performance obligations represent the revenue that has not yet been recognized, which includes deferred revenue and non-cancellable amounts that will be invoiced and recognized in future periods. As of June 30, 2026, the aggregate amount of the remaining performance obligations was approximately $1.1 billion. The Company expects to recognize revenue on more than three-quarters of the remaining performance obligations over the next 12 months, with the remainder recognized thereafter.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Capitalized Software</w:t>
      </w:r>
      <w:r>
        <w:rPr>
          <w:color w:val="000000"/>
        </w:rPr>
        <w:t xml:space="preserve"> </w:t>
      </w:r>
      <w:r>
        <w:rPr>
          <w:rFonts w:ascii="Times New Roman;serif" w:hAnsi="Times New Roman;serif"/>
          <w:b w:val="false"/>
          <w:color w:val="000000"/>
          <w:sz w:val="20"/>
        </w:rPr>
        <w:t>Capitalized development costs for internal-use software and software that will be sold, leased or otherwise marketed were $306 million and $302 million as of June 30, 2026 and December 31, 2025, respectively, presented within Other assets on the Condensed Consolidated Balance Sheets. Capital expenditures related to capitalized software were $71 million and $66 million during the six months ended June 30,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Issued But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April 2026, the FASB issued ASU 2026</w:t>
        <w:noBreakHyphen/>
        <w:t xml:space="preserve">01, </w:t>
      </w:r>
      <w:r>
        <w:rPr>
          <w:rFonts w:ascii="Times New Roman;serif" w:hAnsi="Times New Roman;serif"/>
          <w:b w:val="false"/>
          <w:i/>
          <w:color w:val="000000"/>
          <w:sz w:val="20"/>
        </w:rPr>
        <w:t>Initial Measurement of Paid</w:t>
        <w:noBreakHyphen/>
        <w:t>in</w:t>
        <w:noBreakHyphen/>
        <w:t>Kind Dividends on Equity</w:t>
        <w:noBreakHyphen/>
        <w:t>Classified Preferred Stock</w:t>
      </w:r>
      <w:r>
        <w:rPr>
          <w:rFonts w:ascii="Times New Roman;serif" w:hAnsi="Times New Roman;serif"/>
          <w:b w:val="false"/>
          <w:color w:val="000000"/>
          <w:sz w:val="20"/>
        </w:rPr>
        <w:t>. This ASU requires that paid</w:t>
        <w:noBreakHyphen/>
        <w:t>in</w:t>
        <w:noBreakHyphen/>
        <w:t>kind dividends on equity</w:t>
        <w:noBreakHyphen/>
        <w:t xml:space="preserve">classified preferred stock be initially measured based on the dividend rate stated in the applicable preferred stock agreement and is intended to reduce diversity in practice in measuring such dividends. The guidance is effective for annual reporting periods beginning after December 15, 2026, including interim periods within those annual reporting periods, with early adoption permitted. The Company is currently evaluating the impact of this guidance on its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 Scope Improvements.</w:t>
      </w:r>
      <w:r>
        <w:rPr>
          <w:color w:val="000000"/>
        </w:rPr>
        <w:t xml:space="preserve"> </w:t>
      </w:r>
      <w:r>
        <w:rPr>
          <w:rFonts w:ascii="Times New Roman;serif" w:hAnsi="Times New Roman;serif"/>
          <w:b w:val="false"/>
          <w:color w:val="000000"/>
          <w:sz w:val="20"/>
        </w:rPr>
        <w:t xml:space="preserve">The update improves the guidance in Topic 270, </w:t>
      </w:r>
      <w:r>
        <w:rPr>
          <w:rFonts w:ascii="Times New Roman;serif" w:hAnsi="Times New Roman;serif"/>
          <w:b w:val="false"/>
          <w:i/>
          <w:color w:val="000000"/>
          <w:sz w:val="20"/>
        </w:rPr>
        <w:t>Interim Reporting</w:t>
      </w:r>
      <w:r>
        <w:rPr>
          <w:rFonts w:ascii="Times New Roman;serif" w:hAnsi="Times New Roman;serif"/>
          <w:b w:val="false"/>
          <w:color w:val="000000"/>
          <w:sz w:val="20"/>
        </w:rPr>
        <w:t>, by improving the navigability of the required interim disclosures and clarifying when that guidance is applicable. The amendments in ASU 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currently evaluating the impact that the adoption of this guidance may have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(Topic 350): Targeted Improvements to the Accounting for Internal-Use Software.</w:t>
      </w:r>
      <w:r>
        <w:rPr>
          <w:color w:val="000000"/>
        </w:rPr>
        <w:t xml:space="preserve"> </w:t>
      </w:r>
      <w:r>
        <w:rPr>
          <w:rFonts w:ascii="Times New Roman;serif" w:hAnsi="Times New Roman;serif"/>
          <w:b w:val="false"/>
          <w:color w:val="000000"/>
          <w:sz w:val="20"/>
        </w:rPr>
        <w:t>This update revises the recognition guidance for internal-use software by eliminating the previous model based on software development stages and introducing a principles-based approach. Under the new guidance, capitalization begins when the Company has authorized and committed to funding the project, and it is probable that the software will be completed and used for its intended purpose. This ASU is effective for interim periods and fiscal years beginning after December 15, 2027. The amendment may be applied on a prospective, retrospective or modified retrospective basis. The Company is currently evaluating the provisions of the amendments and the impact on its future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(Topic 220): Disaggregation of Income Statement Expenses </w:t>
      </w:r>
      <w:r>
        <w:rPr>
          <w:rFonts w:ascii="Times New Roman;serif" w:hAnsi="Times New Roman;serif"/>
          <w:b w:val="false"/>
          <w:color w:val="000000"/>
          <w:sz w:val="20"/>
        </w:rPr>
        <w:t xml:space="preserve">and ASU 2025-01, </w:t>
      </w:r>
      <w:r>
        <w:rPr>
          <w:rFonts w:ascii="Times New Roman;serif" w:hAnsi="Times New Roman;serif"/>
          <w:b w:val="false"/>
          <w:i/>
          <w:color w:val="000000"/>
          <w:sz w:val="20"/>
        </w:rPr>
        <w:t>Income Statement - Reporting Comprehensive Income - Expense Disaggregation Disclosures (Topic 220): Clarifying the Effective Date</w:t>
      </w:r>
      <w:r>
        <w:rPr>
          <w:rFonts w:ascii="Times New Roman;serif" w:hAnsi="Times New Roman;serif"/>
          <w:b w:val="false"/>
          <w:color w:val="000000"/>
          <w:sz w:val="20"/>
        </w:rPr>
        <w:t>. This guidance requires additional disclosure of certain amounts included in the expense captions presented on the Statement of Operations as well as disclosures about selling expenses. This ASU is effective on a prospective basis, with the option for retrospective application, for annual periods beginning after December 15, 2026 and interim reporting periods within annual reporting periods beginning after December 15, 2027. The Company plans to adopt ASU 2025-01 and conform to the applicable disclosure when it becomes effective for the Annual Report on Form 10-K for the year ending December 31, 2026. Other than the new disclosure requirements, the Company does not expect that the adoption of this guidance will have a significant impact on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Spin-Off of NCR Atleos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As of March 31, 2025, all historical results of NCR Atleos have been presented as discontinued operations. Income (loss) from discontinued operations, net of tax, related to the Spin-Off of NCR Atleos was no income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discontinued operations for the three and six months ended June 30, 2025. No net cash was provided by or used in operating activities for discontinued operations related to the Spin-Off of NCR Atleos for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Japan Bank Technology Solutions Sale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Company signed a definitive agreement to sell its bank technology solutions business in Japan. The sale of the Japan bank technology solutions business is a continuation of the Company’s strategic shift to exit the banking industry and focus on its core retail and restaurant segments. The purchase price for the transaction is expected to be $32 million in cash, subject to a post-closing adjustment, and the transaction is expected to close by the end of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requirements for reporting the Japan bank technology solutions business sale as a discontinued operation were met when the definitive agreement was signed. Accordingly, the financial results for the Japan bank technology solutions business for the three and six months ended June 30, 2026 and 2025 are presented as net income (loss) from discontinued operations, net of tax on the Condensed Consolidated Statements of Operations. The Company’s presentation of discontinued operations excludes general corporate overhead costs that did not meet the requirements to be presented as discontinued operations. Income (loss) from discontinued operations, net of tax, related to the Japan bank technology solutions business was income of $1 million and loss of $1 million for the three and six months ended June 30, 2026, respectively, and income of $1 million and $2 million for the three and six months ended June 30, 2025, respectively. Net liabilities of discontinued operations related to the Japan bank technology solutions business were $2 million and $3 million as of June 30, 2026 and December 31, 2025, respectively. Net cash provided by or used in operating activities of discontinued operations related to the Japan bank technology solutions business was $1 million and $5 million of net cash provided by operating activities for the six months ended June 30, 2026 and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income of $2 million and $1 million for the three and six months ended June 30, 2026, respectively, and loss of $1 million and income of $2 million for the three and six months ended June 30, 2025, respectively. Net cash provided by or used in operating activities of discontinued operations related to environmental obligations was $7 million of net cash used in operating activities for the six months ended June 30, 2026 and $11 million of net cash used in operating activities for the six months ended June 30, 2025. Refer to Note 9, “Commitments and Contingencies”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GOODWILL AND PURCHASED INTANGIBLE ASSETS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Goodwill by Segment </w:t>
      </w:r>
      <w:r>
        <w:rPr>
          <w:rFonts w:ascii="Times New Roman;serif" w:hAnsi="Times New Roman;serif"/>
          <w:b w:val="false"/>
          <w:color w:val="000000"/>
          <w:sz w:val="20"/>
        </w:rPr>
        <w:t xml:space="preserve">The carrying amounts of goodwill by segment as of June 30, 2026 and December 31, 2025, respectively, are included in the table below. Foreign currency fluctuations are included within other adjustments. </w:t>
      </w:r>
    </w:p>
    <w:tbl>
      <w:tblPr>
        <w:tblW w:w="10861" w:type="dxa"/>
        <w:jc w:val="center"/>
        <w:tblInd w:w="0" w:type="dxa"/>
        <w:tblLayout w:type="fixed"/>
        <w:tblCellMar>
          <w:top w:w="28" w:type="dxa"/>
          <w:left w:w="28" w:type="dxa"/>
          <w:bottom w:w="28" w:type="dxa"/>
          <w:right w:w="28" w:type="dxa"/>
        </w:tblCellMar>
      </w:tblPr>
      <w:tblGrid>
        <w:gridCol w:w="386"/>
        <w:gridCol w:w="339"/>
        <w:gridCol w:w="341"/>
        <w:gridCol w:w="211"/>
        <w:gridCol w:w="616"/>
        <w:gridCol w:w="109"/>
        <w:gridCol w:w="318"/>
        <w:gridCol w:w="567"/>
        <w:gridCol w:w="166"/>
        <w:gridCol w:w="211"/>
        <w:gridCol w:w="616"/>
        <w:gridCol w:w="109"/>
        <w:gridCol w:w="109"/>
        <w:gridCol w:w="109"/>
        <w:gridCol w:w="109"/>
        <w:gridCol w:w="109"/>
        <w:gridCol w:w="109"/>
        <w:gridCol w:w="231"/>
        <w:gridCol w:w="445"/>
        <w:gridCol w:w="120"/>
        <w:gridCol w:w="109"/>
        <w:gridCol w:w="109"/>
        <w:gridCol w:w="109"/>
        <w:gridCol w:w="279"/>
        <w:gridCol w:w="537"/>
        <w:gridCol w:w="145"/>
        <w:gridCol w:w="109"/>
        <w:gridCol w:w="109"/>
        <w:gridCol w:w="109"/>
        <w:gridCol w:w="211"/>
        <w:gridCol w:w="271"/>
        <w:gridCol w:w="109"/>
        <w:gridCol w:w="109"/>
        <w:gridCol w:w="109"/>
        <w:gridCol w:w="109"/>
        <w:gridCol w:w="211"/>
        <w:gridCol w:w="631"/>
        <w:gridCol w:w="109"/>
        <w:gridCol w:w="318"/>
        <w:gridCol w:w="567"/>
        <w:gridCol w:w="166"/>
        <w:gridCol w:w="211"/>
        <w:gridCol w:w="631"/>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pPr>
      <w:r>
        <w:rPr>
          <w:rFonts w:ascii="Times New Roman;serif" w:hAnsi="Times New Roman;serif"/>
          <w:b w:val="false"/>
          <w:i/>
          <w:color w:val="000000"/>
          <w:sz w:val="20"/>
        </w:rPr>
        <w:t xml:space="preserve">Identifiable Intangible Assets </w:t>
      </w:r>
      <w:r>
        <w:rPr>
          <w:rFonts w:ascii="Times New Roman;serif" w:hAnsi="Times New Roman;serif"/>
          <w:b w:val="false"/>
          <w:color w:val="000000"/>
          <w:sz w:val="20"/>
        </w:rPr>
        <w:t xml:space="preserve">The Company’s purchased intangible assets, reported in Intangibles, net in the Condensed Consolidated Balance Sheets, were specifically identified when acquired, and are deemed to have finite lives. The gross carrying amount and accumulated amortization for the Company’s identifiable intangible assets were as set forth in the table below as of June 30, 2026 and December 31, 2025, respectively. </w:t>
      </w:r>
    </w:p>
    <w:tbl>
      <w:tblPr>
        <w:tblW w:w="10205" w:type="dxa"/>
        <w:jc w:val="center"/>
        <w:tblInd w:w="0" w:type="dxa"/>
        <w:tblLayout w:type="fixed"/>
        <w:tblCellMar>
          <w:top w:w="28" w:type="dxa"/>
          <w:left w:w="28" w:type="dxa"/>
          <w:bottom w:w="28" w:type="dxa"/>
          <w:right w:w="28" w:type="dxa"/>
        </w:tblCellMar>
      </w:tblPr>
      <w:tblGrid>
        <w:gridCol w:w="765"/>
        <w:gridCol w:w="636"/>
        <w:gridCol w:w="641"/>
        <w:gridCol w:w="366"/>
        <w:gridCol w:w="366"/>
        <w:gridCol w:w="368"/>
        <w:gridCol w:w="109"/>
        <w:gridCol w:w="109"/>
        <w:gridCol w:w="109"/>
        <w:gridCol w:w="344"/>
        <w:gridCol w:w="786"/>
        <w:gridCol w:w="178"/>
        <w:gridCol w:w="109"/>
        <w:gridCol w:w="109"/>
        <w:gridCol w:w="109"/>
        <w:gridCol w:w="406"/>
        <w:gridCol w:w="929"/>
        <w:gridCol w:w="211"/>
        <w:gridCol w:w="109"/>
        <w:gridCol w:w="109"/>
        <w:gridCol w:w="109"/>
        <w:gridCol w:w="349"/>
        <w:gridCol w:w="771"/>
        <w:gridCol w:w="180"/>
        <w:gridCol w:w="109"/>
        <w:gridCol w:w="109"/>
        <w:gridCol w:w="109"/>
        <w:gridCol w:w="396"/>
        <w:gridCol w:w="905"/>
        <w:gridCol w:w="300"/>
      </w:tblGrid>
      <w:tr>
        <w:trPr/>
        <w:tc>
          <w:tcPr>
            <w:tcW w:w="7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Amortization </w:t>
              <w:br/>
              <w:t>Period</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Identifiable intangible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Reseller &amp; customer relationships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identifiable intangible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identifiable intangible assets for the following periods is:</w:t>
      </w:r>
    </w:p>
    <w:tbl>
      <w:tblPr>
        <w:tblW w:w="6751"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307"/>
        <w:gridCol w:w="394"/>
        <w:gridCol w:w="158"/>
        <w:gridCol w:w="158"/>
        <w:gridCol w:w="158"/>
        <w:gridCol w:w="158"/>
        <w:gridCol w:w="307"/>
        <w:gridCol w:w="372"/>
        <w:gridCol w:w="158"/>
        <w:gridCol w:w="109"/>
        <w:gridCol w:w="109"/>
        <w:gridCol w:w="109"/>
        <w:gridCol w:w="244"/>
        <w:gridCol w:w="435"/>
        <w:gridCol w:w="126"/>
        <w:gridCol w:w="126"/>
        <w:gridCol w:w="126"/>
        <w:gridCol w:w="126"/>
        <w:gridCol w:w="244"/>
        <w:gridCol w:w="418"/>
        <w:gridCol w:w="178"/>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aggregate amortization expense for identifiable intangible assets for the following periods is: </w:t>
      </w:r>
    </w:p>
    <w:tbl>
      <w:tblPr>
        <w:tblW w:w="8173" w:type="dxa"/>
        <w:jc w:val="center"/>
        <w:tblInd w:w="0" w:type="dxa"/>
        <w:tblLayout w:type="fixed"/>
        <w:tblCellMar>
          <w:top w:w="28" w:type="dxa"/>
          <w:left w:w="28" w:type="dxa"/>
          <w:bottom w:w="28" w:type="dxa"/>
          <w:right w:w="28" w:type="dxa"/>
        </w:tblCellMar>
      </w:tblPr>
      <w:tblGrid>
        <w:gridCol w:w="690"/>
        <w:gridCol w:w="604"/>
        <w:gridCol w:w="610"/>
        <w:gridCol w:w="464"/>
        <w:gridCol w:w="794"/>
        <w:gridCol w:w="241"/>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211"/>
        <w:gridCol w:w="25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SEGMENT INFORMATION AND CONCENTRATIONS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the Digital Banking Sale and the Spin-Off, as described in Note 1, “Basis of Presentation and Summary of Significant Accounting Policies”, the Company manages and reports the following two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Retail</w:t>
      </w:r>
      <w:r>
        <w:rPr>
          <w:color w:val="000000"/>
        </w:rPr>
        <w:t xml:space="preserve"> </w:t>
      </w:r>
      <w:r>
        <w:rPr>
          <w:rFonts w:ascii="Times New Roman;serif" w:hAnsi="Times New Roman;serif"/>
          <w:b w:val="false"/>
          <w:color w:val="000000"/>
          <w:sz w:val="20"/>
        </w:rPr>
        <w:t xml:space="preserve">- Our Retail segment serves enterprise and mid-market retailers primarily in the convenience, fuel &amp; retail, grocery, drug &amp; mass merchandise, and department &amp; specialty retail industries. Our retail solutions, including software, services, payments, and hardware offerings, provide end-to-end connectivity within a customer’s operations, including, point-of-sale (“POS”), self-checkout (“SCO”), inventory and supply chain management, fraud and loss prevention, loyalty and consumer engagement.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Restaurants</w:t>
      </w:r>
      <w:r>
        <w:rPr>
          <w:color w:val="000000"/>
        </w:rPr>
        <w:t xml:space="preserve"> </w:t>
      </w:r>
      <w:r>
        <w:rPr>
          <w:rFonts w:ascii="Times New Roman;serif" w:hAnsi="Times New Roman;serif"/>
          <w:b w:val="false"/>
          <w:color w:val="000000"/>
          <w:sz w:val="20"/>
        </w:rPr>
        <w:t xml:space="preserve">- Our Restaurants segment is focused on serving restaurants and food service establishments, including quick-service, table-service and fast casual restaurants of all sizes. Our restaurant solutions include, software, payments, hardware, installation, maintenance, and managed and professional services. These solutions are designed to help streamline order and transaction processing, increase consumer engagement, manage the supply chain, increase kitchen productivity and reduce operating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income and expenses related to corporate functions that are not specifically attributable to either of our two reportable segments along with certain non-strategic businesses that are considered immaterial operating segment(s), as well as commercial agreements with NCR Atleos. As disclosed in Note 2, “Discontinued Operations”, the Japan bank technology solutions business sale qualified as a discontinued operation during the six months ended June 30, 2026, and all revenue and expenses historically reported within Corporate and Other are presented in net income (loss) from discontinued operations, net of tax on the Condensed Consolidated Statements of Operations for all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segments represent components of the Company for which separate financial information is available that is utilized on a regular basis by the chief operating decision maker (“CODM”), the CEO. The CODM considers the budget-to-actual and forecast-to-actual variances for revenue and segment Adjusted EBITDA on a periodic basis in assessing segment performance and in allocating the Company’s resources. 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CODM in evaluating segment performance and are separately delineated to reconcile back to total reported GAAP net income (loss) from continuing operations attributable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three months ended June 30, 2026:</w:t>
      </w:r>
    </w:p>
    <w:tbl>
      <w:tblPr>
        <w:tblW w:w="6128" w:type="dxa"/>
        <w:jc w:val="center"/>
        <w:tblInd w:w="0" w:type="dxa"/>
        <w:tblLayout w:type="fixed"/>
        <w:tblCellMar>
          <w:top w:w="28" w:type="dxa"/>
          <w:left w:w="28" w:type="dxa"/>
          <w:bottom w:w="28" w:type="dxa"/>
          <w:right w:w="28" w:type="dxa"/>
        </w:tblCellMar>
      </w:tblPr>
      <w:tblGrid>
        <w:gridCol w:w="875"/>
        <w:gridCol w:w="769"/>
        <w:gridCol w:w="771"/>
        <w:gridCol w:w="109"/>
        <w:gridCol w:w="109"/>
        <w:gridCol w:w="109"/>
        <w:gridCol w:w="211"/>
        <w:gridCol w:w="481"/>
        <w:gridCol w:w="109"/>
        <w:gridCol w:w="109"/>
        <w:gridCol w:w="109"/>
        <w:gridCol w:w="109"/>
        <w:gridCol w:w="257"/>
        <w:gridCol w:w="586"/>
        <w:gridCol w:w="133"/>
        <w:gridCol w:w="109"/>
        <w:gridCol w:w="109"/>
        <w:gridCol w:w="109"/>
        <w:gridCol w:w="109"/>
        <w:gridCol w:w="211"/>
        <w:gridCol w:w="48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segment items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three months ended June 30, 2025:</w:t>
      </w:r>
    </w:p>
    <w:tbl>
      <w:tblPr>
        <w:tblW w:w="6038"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211"/>
        <w:gridCol w:w="466"/>
        <w:gridCol w:w="109"/>
        <w:gridCol w:w="109"/>
        <w:gridCol w:w="109"/>
        <w:gridCol w:w="109"/>
        <w:gridCol w:w="262"/>
        <w:gridCol w:w="578"/>
        <w:gridCol w:w="136"/>
        <w:gridCol w:w="109"/>
        <w:gridCol w:w="109"/>
        <w:gridCol w:w="109"/>
        <w:gridCol w:w="109"/>
        <w:gridCol w:w="211"/>
        <w:gridCol w:w="46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six months ended June 30, 2026:</w:t>
      </w:r>
    </w:p>
    <w:p>
      <w:pPr>
        <w:pStyle w:val="TextBody"/>
        <w:bidi w:val="0"/>
        <w:spacing w:before="0" w:after="0"/>
        <w:jc w:val="both"/>
        <w:rPr/>
      </w:pPr>
      <w:r>
        <w:rPr/>
      </w:r>
    </w:p>
    <w:tbl>
      <w:tblPr>
        <w:tblW w:w="6278" w:type="dxa"/>
        <w:jc w:val="left"/>
        <w:tblInd w:w="0" w:type="dxa"/>
        <w:tblLayout w:type="fixed"/>
        <w:tblCellMar>
          <w:top w:w="28" w:type="dxa"/>
          <w:left w:w="28" w:type="dxa"/>
          <w:bottom w:w="28" w:type="dxa"/>
          <w:right w:w="28" w:type="dxa"/>
        </w:tblCellMar>
      </w:tblPr>
      <w:tblGrid>
        <w:gridCol w:w="875"/>
        <w:gridCol w:w="769"/>
        <w:gridCol w:w="771"/>
        <w:gridCol w:w="109"/>
        <w:gridCol w:w="109"/>
        <w:gridCol w:w="109"/>
        <w:gridCol w:w="211"/>
        <w:gridCol w:w="481"/>
        <w:gridCol w:w="109"/>
        <w:gridCol w:w="109"/>
        <w:gridCol w:w="109"/>
        <w:gridCol w:w="109"/>
        <w:gridCol w:w="257"/>
        <w:gridCol w:w="586"/>
        <w:gridCol w:w="133"/>
        <w:gridCol w:w="109"/>
        <w:gridCol w:w="109"/>
        <w:gridCol w:w="109"/>
        <w:gridCol w:w="109"/>
        <w:gridCol w:w="211"/>
        <w:gridCol w:w="63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segment items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six months ended June 30, 2025:</w:t>
      </w:r>
    </w:p>
    <w:tbl>
      <w:tblPr>
        <w:tblW w:w="6188"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211"/>
        <w:gridCol w:w="466"/>
        <w:gridCol w:w="109"/>
        <w:gridCol w:w="109"/>
        <w:gridCol w:w="109"/>
        <w:gridCol w:w="109"/>
        <w:gridCol w:w="262"/>
        <w:gridCol w:w="578"/>
        <w:gridCol w:w="136"/>
        <w:gridCol w:w="109"/>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rFonts w:ascii="Times New Roman;serif" w:hAnsi="Times New Roman;serif"/>
          <w:b w:val="false"/>
          <w:color w:val="000000"/>
          <w:sz w:val="18"/>
        </w:rPr>
        <w:t>Other segment items primarily includes selling, general and administrative expenses and research and development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Net income (loss) from continuing operations attributable to NCR Voyix:</w:t>
      </w:r>
    </w:p>
    <w:tbl>
      <w:tblPr>
        <w:tblW w:w="10205" w:type="dxa"/>
        <w:jc w:val="center"/>
        <w:tblInd w:w="0" w:type="dxa"/>
        <w:tblLayout w:type="fixed"/>
        <w:tblCellMar>
          <w:top w:w="28" w:type="dxa"/>
          <w:left w:w="28" w:type="dxa"/>
          <w:bottom w:w="28" w:type="dxa"/>
          <w:right w:w="28" w:type="dxa"/>
        </w:tblCellMar>
      </w:tblPr>
      <w:tblGrid>
        <w:gridCol w:w="2164"/>
        <w:gridCol w:w="1783"/>
        <w:gridCol w:w="1790"/>
        <w:gridCol w:w="234"/>
        <w:gridCol w:w="535"/>
        <w:gridCol w:w="120"/>
        <w:gridCol w:w="120"/>
        <w:gridCol w:w="120"/>
        <w:gridCol w:w="120"/>
        <w:gridCol w:w="234"/>
        <w:gridCol w:w="519"/>
        <w:gridCol w:w="120"/>
        <w:gridCol w:w="109"/>
        <w:gridCol w:w="109"/>
        <w:gridCol w:w="109"/>
        <w:gridCol w:w="216"/>
        <w:gridCol w:w="494"/>
        <w:gridCol w:w="111"/>
        <w:gridCol w:w="111"/>
        <w:gridCol w:w="111"/>
        <w:gridCol w:w="111"/>
        <w:gridCol w:w="216"/>
        <w:gridCol w:w="478"/>
        <w:gridCol w:w="171"/>
      </w:tblGrid>
      <w:tr>
        <w:trPr/>
        <w:tc>
          <w:tcPr>
            <w:tcW w:w="216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37" w:type="dxa"/>
            <w:gridSpan w:val="3"/>
            <w:vMerge w:val="continue"/>
            <w:tcBorders/>
            <w:tcMar>
              <w:top w:w="0" w:type="dxa"/>
              <w:left w:w="0" w:type="dxa"/>
              <w:bottom w:w="0" w:type="dxa"/>
              <w:right w:w="0" w:type="dxa"/>
            </w:tcMar>
            <w:vAlign w:val="center"/>
          </w:tcPr>
          <w:p>
            <w:pPr>
              <w:pStyle w:val="Normal"/>
              <w:bidi w:val="0"/>
              <w:jc w:val="left"/>
              <w:rPr/>
            </w:pPr>
            <w:r>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income and expenses not allocated to reportable segments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and restructuring costs</w:t>
            </w:r>
            <w:r>
              <w:rPr>
                <w:rFonts w:ascii="Times New Roman;serif" w:hAnsi="Times New Roman;serif"/>
                <w:b w:val="false"/>
                <w:color w:val="000000"/>
                <w:sz w:val="13"/>
              </w:rPr>
              <w:t>(1)</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3"/>
              </w:rPr>
              <w:t>(2)</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w:t>
            </w:r>
            <w:r>
              <w:rPr>
                <w:rFonts w:ascii="Times New Roman;serif" w:hAnsi="Times New Roman;serif"/>
                <w:b w:val="false"/>
                <w:color w:val="000000"/>
                <w:sz w:val="13"/>
              </w:rPr>
              <w:t>(3)</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integration, severance, and other exit and disposal costs which are considered non-operational in nature.</w:t>
      </w:r>
    </w:p>
    <w:p>
      <w:pPr>
        <w:pStyle w:val="TextBody"/>
        <w:bidi w:val="0"/>
        <w:spacing w:lineRule="auto" w:line="288" w:before="0" w:after="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Represents professional fees related to strategic initiatives which are considered non-operational in nature, as well as certain costs incurred related to the Hardware Business Transition. </w:t>
      </w:r>
    </w:p>
    <w:p>
      <w:pPr>
        <w:pStyle w:val="TextBody"/>
        <w:bidi w:val="0"/>
        <w:spacing w:lineRule="auto" w:line="288" w:before="0" w:after="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costs related to a certain litigation matter, net of expected indemnity recoveries from NCR Atleos, as discussed in Note 9,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is attributed to the geographic area to which the product is delivered or in which the service is provided. The following table presents revenue by geographic area for the Company:</w:t>
      </w:r>
    </w:p>
    <w:tbl>
      <w:tblPr>
        <w:tblW w:w="7738" w:type="dxa"/>
        <w:jc w:val="center"/>
        <w:tblInd w:w="0" w:type="dxa"/>
        <w:tblLayout w:type="fixed"/>
        <w:tblCellMar>
          <w:top w:w="28" w:type="dxa"/>
          <w:left w:w="28" w:type="dxa"/>
          <w:bottom w:w="28" w:type="dxa"/>
          <w:right w:w="28" w:type="dxa"/>
        </w:tblCellMar>
      </w:tblPr>
      <w:tblGrid>
        <w:gridCol w:w="1080"/>
        <w:gridCol w:w="951"/>
        <w:gridCol w:w="953"/>
        <w:gridCol w:w="239"/>
        <w:gridCol w:w="546"/>
        <w:gridCol w:w="123"/>
        <w:gridCol w:w="123"/>
        <w:gridCol w:w="123"/>
        <w:gridCol w:w="123"/>
        <w:gridCol w:w="239"/>
        <w:gridCol w:w="529"/>
        <w:gridCol w:w="123"/>
        <w:gridCol w:w="109"/>
        <w:gridCol w:w="109"/>
        <w:gridCol w:w="109"/>
        <w:gridCol w:w="211"/>
        <w:gridCol w:w="631"/>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84" w:type="dxa"/>
            <w:gridSpan w:val="3"/>
            <w:vMerge w:val="continue"/>
            <w:tcBorders/>
            <w:tcMar>
              <w:top w:w="0" w:type="dxa"/>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(excluding United States)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recurring revenue and all other products and services revenue that is recognized at a point in time for the Company:</w:t>
      </w:r>
    </w:p>
    <w:tbl>
      <w:tblPr>
        <w:tblW w:w="7378" w:type="dxa"/>
        <w:jc w:val="center"/>
        <w:tblInd w:w="0" w:type="dxa"/>
        <w:tblLayout w:type="fixed"/>
        <w:tblCellMar>
          <w:top w:w="28" w:type="dxa"/>
          <w:left w:w="28" w:type="dxa"/>
          <w:bottom w:w="28" w:type="dxa"/>
          <w:right w:w="28" w:type="dxa"/>
        </w:tblCellMar>
      </w:tblPr>
      <w:tblGrid>
        <w:gridCol w:w="950"/>
        <w:gridCol w:w="834"/>
        <w:gridCol w:w="840"/>
        <w:gridCol w:w="239"/>
        <w:gridCol w:w="546"/>
        <w:gridCol w:w="123"/>
        <w:gridCol w:w="123"/>
        <w:gridCol w:w="123"/>
        <w:gridCol w:w="123"/>
        <w:gridCol w:w="239"/>
        <w:gridCol w:w="529"/>
        <w:gridCol w:w="123"/>
        <w:gridCol w:w="109"/>
        <w:gridCol w:w="109"/>
        <w:gridCol w:w="109"/>
        <w:gridCol w:w="211"/>
        <w:gridCol w:w="631"/>
        <w:gridCol w:w="109"/>
        <w:gridCol w:w="109"/>
        <w:gridCol w:w="109"/>
        <w:gridCol w:w="109"/>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Recurring revenue</w:t>
            </w:r>
            <w:r>
              <w:rPr>
                <w:rFonts w:ascii="Times New Roman;serif" w:hAnsi="Times New Roman;serif"/>
                <w:b w:val="false"/>
                <w:color w:val="000000"/>
                <w:sz w:val="13"/>
              </w:rPr>
              <w:t>(1)</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products and 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DEBT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short-term borrowings and long-term debt as of June 30, 2026 and December 31, 2025, respectively:</w:t>
      </w:r>
    </w:p>
    <w:tbl>
      <w:tblPr>
        <w:tblW w:w="10205" w:type="dxa"/>
        <w:jc w:val="center"/>
        <w:tblInd w:w="0" w:type="dxa"/>
        <w:tblLayout w:type="fixed"/>
        <w:tblCellMar>
          <w:top w:w="28" w:type="dxa"/>
          <w:left w:w="28" w:type="dxa"/>
          <w:bottom w:w="28" w:type="dxa"/>
          <w:right w:w="28" w:type="dxa"/>
        </w:tblCellMar>
      </w:tblPr>
      <w:tblGrid>
        <w:gridCol w:w="554"/>
        <w:gridCol w:w="440"/>
        <w:gridCol w:w="440"/>
        <w:gridCol w:w="787"/>
        <w:gridCol w:w="541"/>
        <w:gridCol w:w="540"/>
        <w:gridCol w:w="211"/>
        <w:gridCol w:w="631"/>
        <w:gridCol w:w="109"/>
        <w:gridCol w:w="109"/>
        <w:gridCol w:w="109"/>
        <w:gridCol w:w="109"/>
        <w:gridCol w:w="663"/>
        <w:gridCol w:w="663"/>
        <w:gridCol w:w="665"/>
        <w:gridCol w:w="109"/>
        <w:gridCol w:w="109"/>
        <w:gridCol w:w="109"/>
        <w:gridCol w:w="211"/>
        <w:gridCol w:w="616"/>
        <w:gridCol w:w="109"/>
        <w:gridCol w:w="109"/>
        <w:gridCol w:w="109"/>
        <w:gridCol w:w="109"/>
        <w:gridCol w:w="596"/>
        <w:gridCol w:w="596"/>
        <w:gridCol w:w="852"/>
      </w:tblGrid>
      <w:tr>
        <w:trPr/>
        <w:tc>
          <w:tcPr>
            <w:tcW w:w="5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Short-Term Borrowings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Senior Secured Credit Facility</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Long-Term Debt</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facility</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Senior Notes due 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5.125% Senior Notes due 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Interest rates are weighted-average interest rates as of June 30, 2026 and December 31, 2025. </w:t>
      </w:r>
    </w:p>
    <w:p>
      <w:pPr>
        <w:pStyle w:val="TextBody"/>
        <w:bidi w:val="0"/>
        <w:spacing w:before="100" w:after="283"/>
        <w:ind w:left="0" w:right="0" w:hanging="270"/>
        <w:jc w:val="both"/>
        <w:rPr/>
      </w:pPr>
      <w:r>
        <w:rPr/>
      </w:r>
    </w:p>
    <w:p>
      <w:pPr>
        <w:pStyle w:val="TextBody"/>
        <w:bidi w:val="0"/>
        <w:spacing w:lineRule="auto" w:line="288" w:before="0" w:after="0"/>
        <w:jc w:val="both"/>
        <w:rPr/>
      </w:pPr>
      <w:r>
        <w:rPr>
          <w:rFonts w:ascii="Times New Roman;serif" w:hAnsi="Times New Roman;serif"/>
          <w:b w:val="false"/>
          <w:i/>
          <w:color w:val="000000"/>
          <w:sz w:val="20"/>
        </w:rPr>
        <w:t>Senior Secured Credit Facility</w:t>
      </w:r>
      <w:r>
        <w:rPr>
          <w:color w:val="000000"/>
        </w:rPr>
        <w:t xml:space="preserve"> </w:t>
      </w:r>
      <w:r>
        <w:rPr>
          <w:rFonts w:ascii="Times New Roman;serif" w:hAnsi="Times New Roman;serif"/>
          <w:b w:val="false"/>
          <w:color w:val="000000"/>
          <w:sz w:val="20"/>
        </w:rPr>
        <w:t>On October 16, 2023, the Company entered into a senior secured credit agreement with Bank of America, N.A., as administrative agent (in such capacity, the “Administrative Agent”), the lenders party thereto, and certain of the Company’s subsidiaries, as foreign borrowers. This credit agreement provides for senior secured credit facilities in an aggregate principal amount of $700 million,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five-year term loan “A” facility in an aggregate principal amount of $200 million (the “Term Loan A Facility,” and the loans thereunder, the “Term A Loans” and, the Term Loan A Facility, together with the Revolving Credit Facility, the “Senior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Revolving Loans and ranging from 1.25% to 2.25% per annum for Base Rate-based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Revolving Loans, in each case, depending on the Company’s consolidated leverage ratio. The Revolving Credit Facility is not subject to amortization and will mature on the fifth anniversary of the Closing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Revolving Credit Facility are guaranteed by certain of the Company’s material subsidiaries (the “Guarantors”). The obligations under the Revolving Credit Facility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contains customary representations and warranties, affirmative covenants and negative covenants. The negative covenants limit the Company’s and its subsidiaries’ ability, subject to customary exceptions and permitted baskets,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contains a financial covenant that does not permit the Company to allow its consolidated leverage ratio to exceed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Senior Unsecured Notes </w:t>
      </w:r>
      <w:r>
        <w:rPr>
          <w:rFonts w:ascii="Times New Roman;serif" w:hAnsi="Times New Roman;serif"/>
          <w:b w:val="false"/>
          <w:color w:val="000000"/>
          <w:sz w:val="20"/>
        </w:rPr>
        <w:t>On August 20, 2020, the Company issued $650 million aggregate principal amount of 5.000% senior unsecured notes due in 2028 (the “5.000% Notes”) and $450 million aggregate principal amount of 5.250% senior unsecured notes due in 2030 (the “5.250% Notes”). Interest is payable on each of the 5.000% and 5.250% Notes semi-annually and in arrears on April 1 and October 1. The 5.000% and 5.250% Notes were sold at 100% of the principal amount and will mature on October 1, 2028 and October 1, 2030,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the option to redeem the 5.000% Notes, in whole or in part, at any time, at a redemption price of 101.250% and 100% during the 12-month periods commencing on October 1, 2024 and 2025 and thereafter, respectively, plus accrued and unpaid interest to the redemption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6, 2021, the Company issued $1.2 billion aggregate principal amount of 5.125% senior unsecured notes due 2029 (the “5.125% Notes”). Interest is payable on the 5.125% Notes semi-annually and in arrears on April 15 and October 15 of each year. The 5.125% Notes will mature on April 15,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redeem the 5.125% Notes, in whole or in part, on or after April 15, 2024, at a redemption price of 102.563%, 101.281% and 100% during the 12-month periods commencing on or after April 15, 2024, 2025 and 2026 and thereafter, respectively, plus accrued and unpaid interest to the redemption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 offers and the final settlement, the Company purchased approximately $398 million aggregate principal amount of the 5.250% Notes and $797 million aggregate principal amount of the 5.125%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also include customary covenants typical of high</w:t>
        <w:noBreakHyphen/>
        <w:t>yield indentures, including negative covenants that, subject to customary exceptions and permitted baskets, limit the Company’s and its restricted subsidiaries’ ability to incur additional indebtedness, create liens, sell or otherwise dispose of assets, engage in certain fundamental corporate changes or changes to lines of business, make certain investments or material acquisitions, engage in sale</w:t>
        <w:noBreakHyphen/>
        <w:t xml:space="preserve">leaseback or hedging transactions, repurchase common stock, pay dividends or make similar distributions of capital stock, repay certain indebtedness, engage in certain affiliate transactions and enter into agreements that restrict the ability of subsidiaries to create liens, pay dividends or make loan repayments. If the senior unsecured notes are assigned an “investment grade” rating by Moody’s or S&amp;P and no default has occurred or is continuing, certain covenants will be terminated.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Fair Value of Debt</w:t>
      </w:r>
      <w:r>
        <w:rPr>
          <w:color w:val="000000"/>
        </w:rPr>
        <w:t xml:space="preserve"> </w:t>
      </w:r>
      <w:r>
        <w:rPr>
          <w:rFonts w:ascii="Times New Roman;serif" w:hAnsi="Times New Roman;serif"/>
          <w:b w:val="false"/>
          <w:color w:val="000000"/>
          <w:sz w:val="20"/>
        </w:rPr>
        <w:t>The Company utilized Level 2 inputs, as defined in the fair value hierarchy, to measure the fair value of the long-term debt, which, as of June 30, 2026 and December 31, 2025 was $1.07 billion and $1.09 billion, respectively. Management’s fair value estimates were based on quoted prices for recent trades of the Company’s long-term debt, quoted prices for similar instruments, and inquiries with certain investment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provisions for interim (quarterly) periods are based on an estimated annual effective income tax rate calculated separately from the effect of significant, infrequent or unusual items. Income tax benefit from continuing operations was $1 million for the three months ended June 30, 2026 compared to an income tax benefit of $4 million for the three months ended June 30, 2025. The decrease in the income tax benefit was primarily driven by an unfavorable change in discrete tax expenses and benefits for the three months ended June 30, 2026 compared to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was $40 million for the six months ended June 30, 2026 compared to an income tax benefit of $11 million for the six months ended June 30, 2025. The increase in the income tax benefit was primarily driven by changes to the estimated full-year valuation allowance and withholding taxes, changes in the geographic earnings mix and a higher loss from continuing operations before taxes for the six months ended June 30, 2026. These benefits were partially offset by an unfavorable change in discrete tax expenses and benefits for the six months ended June 30, 2026 compared to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STOCK COMPENSATION PLANS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stock-based compensation consisted of restricted stock units and employee stock purchase plan. Stock-based compensation expense for the following periods were:</w:t>
      </w:r>
    </w:p>
    <w:tbl>
      <w:tblPr>
        <w:tblW w:w="8453" w:type="dxa"/>
        <w:jc w:val="center"/>
        <w:tblInd w:w="0" w:type="dxa"/>
        <w:tblLayout w:type="fixed"/>
        <w:tblCellMar>
          <w:top w:w="28" w:type="dxa"/>
          <w:left w:w="28" w:type="dxa"/>
          <w:bottom w:w="28" w:type="dxa"/>
          <w:right w:w="28" w:type="dxa"/>
        </w:tblCellMar>
      </w:tblPr>
      <w:tblGrid>
        <w:gridCol w:w="1423"/>
        <w:gridCol w:w="1245"/>
        <w:gridCol w:w="1262"/>
        <w:gridCol w:w="287"/>
        <w:gridCol w:w="511"/>
        <w:gridCol w:w="148"/>
        <w:gridCol w:w="148"/>
        <w:gridCol w:w="148"/>
        <w:gridCol w:w="148"/>
        <w:gridCol w:w="287"/>
        <w:gridCol w:w="348"/>
        <w:gridCol w:w="148"/>
        <w:gridCol w:w="109"/>
        <w:gridCol w:w="109"/>
        <w:gridCol w:w="109"/>
        <w:gridCol w:w="244"/>
        <w:gridCol w:w="435"/>
        <w:gridCol w:w="126"/>
        <w:gridCol w:w="126"/>
        <w:gridCol w:w="126"/>
        <w:gridCol w:w="126"/>
        <w:gridCol w:w="244"/>
        <w:gridCol w:w="418"/>
        <w:gridCol w:w="178"/>
      </w:tblGrid>
      <w:tr>
        <w:trPr/>
        <w:tc>
          <w:tcPr>
            <w:tcW w:w="142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30"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tax)</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is recognized in the Condensed Consolidated Financial Statements based upon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 2026, the Company granted market-based restricted stock units vesting on March 2, 2029. 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March 2, 2026: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44.25</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cost of $82 million related to unvested restricted stock grants is expected to be recognized over a weighted average period of approximately 2.3 years under the endpoint method. As of June 30, 2026, all stock option grants have vested.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Employee Stock Purchase Plan </w:t>
      </w:r>
      <w:r>
        <w:rPr>
          <w:rFonts w:ascii="Times New Roman;serif" w:hAnsi="Times New Roman;serif"/>
          <w:b w:val="false"/>
          <w:color w:val="000000"/>
          <w:sz w:val="20"/>
        </w:rPr>
        <w:t xml:space="preserve">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employees purchased 0.4 million shares, at a discounted price of $5.30. For the three months ended June 30, 2025, employees purchased 0.3 million shares, at a discounted price of $8.38.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EMPLOYEE BENEFIT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Employer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Pension</w:t>
      </w:r>
      <w:r>
        <w:rPr>
          <w:color w:val="000000"/>
        </w:rPr>
        <w:t xml:space="preserve"> </w:t>
      </w:r>
      <w:r>
        <w:rPr>
          <w:rFonts w:ascii="Times New Roman;serif" w:hAnsi="Times New Roman;serif"/>
          <w:b w:val="false"/>
          <w:color w:val="000000"/>
          <w:sz w:val="20"/>
        </w:rPr>
        <w:t>For the three and six months ended June 30, 2026, the Company contributed $2 million and $5 million to its international pension plans, respectively. The Company anticipates contributing an additional $7 million to its international pension plans for a total of $12 million in 2026.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Postemployment</w:t>
      </w:r>
      <w:r>
        <w:rPr>
          <w:color w:val="000000"/>
        </w:rPr>
        <w:t xml:space="preserve"> </w:t>
      </w:r>
      <w:r>
        <w:rPr>
          <w:rFonts w:ascii="Times New Roman;serif" w:hAnsi="Times New Roman;serif"/>
          <w:b w:val="false"/>
          <w:color w:val="000000"/>
          <w:sz w:val="20"/>
        </w:rPr>
        <w:t xml:space="preserve">For the three and six months ended June 30, 2026, the Company contributed $7 million and $18 million to its postemployment plan, respectively. The Company anticipates contributing an additional $5 million to its postemployment plan for a total of $23 million in 2026. </w:t>
      </w:r>
    </w:p>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as well as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costs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Condensed Consolidated Financial Statements or will not have a material adverse effect on our consolidated results of operations, capital expenditures, competitive position, financial condition or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Litigation </w:t>
      </w:r>
      <w:r>
        <w:rPr>
          <w:rFonts w:ascii="Times New Roman;serif" w:hAnsi="Times New Roman;serif"/>
          <w:b w:val="false"/>
          <w:color w:val="000000"/>
          <w:sz w:val="20"/>
        </w:rPr>
        <w:t xml:space="preserve">In November 2015, several participants and beneficiaries in five “nonqualified” deferred compensation retirement plans sponsored by the Company (collectively, the “Plans”) filed a putative class action lawsuit against the Company and other named defendants. The plaintiffs alleged, among other things, that the Company breached the terms of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agreements when, upon termination of the Plans, the Company paid lump sum payments based on mortality tables and actuarial calculations. In September 2017, the court certified a class.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(the “Requested Relief Order”). On April 16, 2024, the Company filed its position on the Requested Relief Order.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2024, the Company filed a notice of appeal and a $45 million supersedeas bond to stay execution pending appeal. The appellate court heard oral arguments on August 12, 2025, and on August 26, 2025, the appellate court affirmed the decision of the district court. The Company’s petition for rehearing en banc was denied. In February 2026, the matter was remanded back to the district court for further proceedings to finalize the amount owed to plaintiffs. Prior to resolution by the court, in April 2026, the parties reached a settlement to resolve all issues associated with damages owed to plan participants, interest, and attorney’s fees, for a payment of $48 million. In exchange the Company will receive a class-wide release of claims following final approval by the court. On July 2, 2026, the court granted preliminary approval of the settlement, and on July 16, 2026, the Company funded an escrow account for payment of settlement amounts to plan participants. Following a brief period for objections by plan participants, final approval of this settlement is expected after a final fairness hearing currently scheduled for November 2026. NCR Atleos contributed 50% of the settlement amount pursuant to its indemnity obligation. The Company also intends to seek reimbursement of the settlement amount from its insurance carriers to the extent of its coverage under applicable fiduciary liability insurance policies, however there can be no guarantee as to the extent of any insurance recovery. As of June 30, 2026, the Company has recorded an accrual of $48 million, as well as a receivable from NCR Atleos for $24 million, in connection with this matter.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Environmental Matters</w:t>
      </w:r>
      <w:r>
        <w:rPr>
          <w:color w:val="000000"/>
        </w:rPr>
        <w:t xml:space="preserve"> </w:t>
      </w:r>
      <w:r>
        <w:rPr>
          <w:rFonts w:ascii="Times New Roman;serif" w:hAnsi="Times New Roman;serif"/>
          <w:b w:val="false"/>
          <w:color w:val="000000"/>
          <w:sz w:val="20"/>
        </w:rPr>
        <w:t>The Company’s facilities and operations are subject to a wide range of environmental protection laws, and the Company has 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retains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and Fox River matters discussed below, we currently do not anticipate material expenses and liabilities from these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Fox River</w:t>
      </w:r>
      <w:r>
        <w:rPr>
          <w:color w:val="000000"/>
        </w:rPr>
        <w:t xml:space="preserve"> </w:t>
      </w:r>
      <w:r>
        <w:rPr>
          <w:rFonts w:ascii="Times New Roman;serif" w:hAnsi="Times New Roman;serif"/>
          <w:b w:val="false"/>
          <w:color w:val="000000"/>
          <w:sz w:val="20"/>
        </w:rPr>
        <w:t>The Company was one of eight entities that was formally notified by governmental and other entities that it was a PRP for environmental claims (under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the Fox River remediation has been shared with three parties (a previous party, API, fully satisfied its obligations in 2016 and is now bankrupt): B.A.T. Industries p.l.c. (“BAT”) as co-obligor, and AT&amp;T Corp. (“AT&amp;T”) and Nokia (as the successor to Lucent Technologies and Alcatel-Lucent USA) as indemnitors. Under a 1998 Cost Sharing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2005 arbitration award (collectively, the “Cost Sharing Agreement”), from 2008 through 2014, BAT paid 60% of the cost of the Fox River clean-up and natural resource damages.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June 30, 2026 and December 31, 2025, the Funding Agreement Receivable was approximately $54 million and was included in Other assets in the Consolidated Balance Sheets. The timing of collection of sums related to the receivable is uncertain and is subject and pursuant to the terms of the Funding Agreement and related agreements. This receivable is not taken into account in calculating the Company’s Fox River remaining reserve.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if any. The Divestiture Agreement governs certain aspects of AT&amp;T’s divestiture of the Company and of what was then known as Lucent Technologies. Those companies have generally made the payments requested of them by the Company on an ongoing basis. The Company, AT&amp;T and Nokia are currently discussing a final reconciliation of the Divestiture Agreement Offsets, but the timing for a final reconciliation is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final reconciliation of the Funding Agreement Receivable and the Divestiture Agreement Offsets could result in additional expenditures and liabilities for the Company that could be material. As of June 30, 2026, we have no remaining liability for environmental remedial obligations for the Fox River matter. As of June 30, 2026 and December 31, 2025, the liability subject to final reconciliation with indemnitors under the Divestiture Agreement was approximately $23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Kalamazoo River</w:t>
      </w:r>
      <w:r>
        <w:rPr>
          <w:color w:val="000000"/>
        </w:rPr>
        <w:t> </w:t>
      </w:r>
      <w:r>
        <w:rPr>
          <w:rFonts w:ascii="Times New Roman;serif" w:hAnsi="Times New Roman;serif"/>
          <w:b w:val="false"/>
          <w:color w:val="000000"/>
          <w:sz w:val="20"/>
        </w:rPr>
        <w:t>In November 2010, The United States Environmental Protection Agency (“USEPA”) issued a “general notice letter” to the Company with respect to the Allied Paper, Inc./Portage Creek/Kalamazoo River Superfund Site (“Kalamazoo River site”) in Michigan. USEPA asserted that the site is contaminated by various substances, primarily PCBs, as a result of discharges by various paper mills located along the river. USEPA did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2010, the Company, along with two other defendants, was sued in federal court by three Georgia-Pacific (“GP”) affiliate corporations in a private-party contribution and cost recovery action for alleged pollution at the Kalamazoo River site.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In a ruling following a second trial on the allocation of liability issued on March 29, 2018, the court fixed the past cost amount at approximately $50 million (plus interest to be determined) and the Company and GP were each assigned a 40% share of those costs, and the other two companies were assigned 15% and 5% as their allocations. The court entered final judgment in the case on June 19, 2018, in which it indicated that it would not allocate future costs, but would enter a declaratory judgment that the four companies together had responsibility for future costs, in amounts and shares to be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2018, the Company appealed to the United States Court of Appeals for the Sixth Circuit both the 2013 court decision and the 2018 court decision on various legal grounds. The Company filed a bond to stay execution of the judgment pending appeal and execution of the judgment was stayed until the Company filed its dismissal of the appeal on December 31, 2020 pursuant to the Consent Decree noted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pendency of the Sixth Circuit stay, the Company negotiated a settlement of the Kalamazoo River matter with the USEPA and other government agencies having oversight over the river.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2019, the Company entered into a Consent Decree with the USEPA and other government agencies having oversight over the Kalamazoo River and the District Court having jurisdiction over this matter approved the Consent Decree later that month. The Consent Decree requires the Company to pay GP a 40% share of past costs, to pay the USEPA and state agencies their past and future administrative costs, and take responsibility for the remediation of a portion, but not all, of the Kalamazoo River. The Consent Decree further required the Company to dismiss the pending Sixth Circuit appeal. The Consent Decree provides the Company protection from other potentially responsible parties, including GP, seeking contribution for their costs associated with the clean-up anywhere on the Kalamazoo River, thereby resolving the allocation of future costs left unresolved by prior 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 has meritorious claims against BAT under the Cost Sharing Agreement, discussed above, for the Kalamazoo River remediation expenses as a so-called “future site.” To date, BAT disputes that the Kalamazoo River is a “future site.” In February 2023, the Company filed an action against BAT in the Southern District of New York seeking a declaration that the Kalamazoo River is indeed a “future site” under the Cost Sharing Agreement. In June 2023, BAT filed an answer asserting counterclaims in the proceedings. On September 14, 2024, the Court entered an opinion stating that the Kalamazoo River is a “future site” within the meaning of the Cost Sharing Agreement. The case remains pending with respect to BAT’s remaining counterclaims and affirmative defenses. In December 2022, the contractual threshold set forth in the 1996 Divestiture Agreement for the Kalamazoo River matter was met and as a result the Company also has indemnity or reimbursement claims against AT&amp;T and Nokia. AT&amp;T and Nokia are currently disputing the calculation of that threshold (not the indemnity obligation), and AT&amp;T has withheld certain of its indemnification payments in connection with the dispute. In February 2026, the Company filed an action for preliminary injunction against AT&amp;T in the Southern District of New York seeking an order to compel AT&amp;T’s compliance with the payment obligations under the 1996 Divestiture Agreement. On May 7, 2026, the court denied the Company's motion for preliminary injunction, but retained jurisdiction over the matter pending resolution through arbitration. Separately, the Company commenced a parallel arbitration against AT&amp;T for the recovery of amounts owed, and the Company's motion to compel such payment is pending with the arbitrator.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In March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On August 18, 2025, the USEPA approved the work plan “with modifications” and the Company responded to those modifications as requested by the USEPA. On November 3, 2025, the EPA reviewed the Company’s responses to the modifications and gave final approval to the work plan. In January 2026, a second updated engineering estimate was completed to address scope adjustments of the approved work plan and current market and river conditions. This updated engineering estimate necessitated another increase to the Kalamazoo reserve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total reserve for the Kalamazoo River was $99 million and $111 million, respectively. The reserve is reported on a basis that is net of expected contributions from the Company’s co-obligors and indemnitors. While the Company believes its co-obligors’ and indemnitors’ obligations are as previously reported, the reserve may be adjusted from time to time to reflect changes in our estimates of remediation costs and recoverability from co-obligors and indemnitors with respect to the Kalamazoo River.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estimates of the costs of investigations and studies for areas of the Kalamazoo River where remedies have not yet been determined, and the reserve is informed by those estimates. The extent of the Company’s potential liability remains subject to many uncertainties, notwithstanding the Consent Decree noted above, particularly given that remedy decisions and cost estimates will not be generated until future time periods and most of the work to be performed will take place through the 2030s. Under other assumptions and estimates for possible costs of remediation, which the Company does not at this point consider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reasonably estimable or verifiable, it is possible that the reserve the Company has taken to discontinued operations with respect to the Kalamazoo River could more than double.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Environmental-Related Insurance Recoveries</w:t>
      </w:r>
      <w:r>
        <w:rPr>
          <w:color w:val="000000"/>
        </w:rPr>
        <w:t xml:space="preserve"> </w:t>
      </w:r>
      <w:r>
        <w:rPr>
          <w:rFonts w:ascii="Times New Roman;serif" w:hAnsi="Times New Roman;serif"/>
          <w:b w:val="false"/>
          <w:color w:val="000000"/>
          <w:sz w:val="20"/>
        </w:rPr>
        <w:t>In connection with the Fox River, Kalamazoo River and other environmental sites, through June 30, 2026, the Company has received a combined gross total of approximately $212 million in settlements reached with various of its insurance carriers. Some of the settlements cover other environmental sites in addition to the Fox River and Kalamazoo River and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Environmental Remediation Estimates</w:t>
      </w:r>
      <w:r>
        <w:rPr>
          <w:color w:val="000000"/>
        </w:rPr>
        <w:t> </w:t>
      </w:r>
      <w:r>
        <w:rPr>
          <w:rFonts w:ascii="Times New Roman;serif" w:hAnsi="Times New Roman;serif"/>
          <w:b w:val="false"/>
          <w:color w:val="000000"/>
          <w:sz w:val="20"/>
        </w:rPr>
        <w:t>It is difficult to estimate the future financial impact of environmental laws, including potential liabilities. The 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recorded for environmental matters in the Company’s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For the Fox River and Kalamazoo River sites, as described above, assets relating to the AT&amp;T and Nokia indemnities and the BAT obligations recorded as payments are supported by contractual agreements, public filings, payment history, or other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Guarantees and Product Warranties</w:t>
      </w:r>
      <w:r>
        <w:rPr>
          <w:color w:val="000000"/>
        </w:rPr>
        <w:t xml:space="preserve"> </w:t>
      </w:r>
      <w:r>
        <w:rPr>
          <w:rFonts w:ascii="Times New Roman;serif" w:hAnsi="Times New Roman;serif"/>
          <w:b w:val="false"/>
          <w:color w:val="000000"/>
          <w:sz w:val="20"/>
        </w:rPr>
        <w:t>In the ordinary course of business, the Company may issue performance guarantees on behalf of its subsidiaries to 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June 30, 2026 and December 31, 2025, the Company had no material obligations related to such guarantees, and therefore its Condensed Consolidated Financial Statements do not have any associated liability balance.</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Purchase Commitments</w:t>
      </w:r>
      <w:r>
        <w:rPr>
          <w:color w:val="000000"/>
        </w:rPr>
        <w:t xml:space="preserve"> </w:t>
      </w:r>
      <w:r>
        <w:rPr>
          <w:rFonts w:ascii="Times New Roman;serif" w:hAnsi="Times New Roman;serif"/>
          <w:b w:val="false"/>
          <w:color w:val="000000"/>
          <w:sz w:val="20"/>
        </w:rPr>
        <w:t xml:space="preserve">The Company has purchase commitments for materials, supplies, services, and property, plant and equipment as part of the normal course of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SERIES A CONVERTIBLE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June 30, 2026 and 2025, the Company paid cash dividends of </w:t>
      </w:r>
      <w:r>
        <w:rPr>
          <w:rFonts w:ascii="Times New Roman;serif" w:hAnsi="Times New Roman;serif"/>
          <w:b w:val="false"/>
          <w:color w:val="000000"/>
          <w:sz w:val="20"/>
        </w:rPr>
        <w:t xml:space="preserve">$3 million and $4 million, respectively. </w:t>
      </w: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the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and 2025, the Company paid cash dividends of </w:t>
      </w:r>
      <w:r>
        <w:rPr>
          <w:rFonts w:ascii="Times New Roman;serif" w:hAnsi="Times New Roman;serif"/>
          <w:b w:val="false"/>
          <w:color w:val="000000"/>
          <w:sz w:val="20"/>
        </w:rPr>
        <w:t>$6 million and $8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June 30, 2026 and December 31, 2025, the maximum number of common shares that could be required to be issued upon conversion of the outstanding shares of Series A Convertible Preferred Stock was 11.9 million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EARNINGS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7, “Stock Compensation Plans”, for share information on the Company’s stock compensation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basic and diluted earnings (loss) per share are as follows:</w:t>
      </w:r>
    </w:p>
    <w:tbl>
      <w:tblPr>
        <w:tblW w:w="10205" w:type="dxa"/>
        <w:jc w:val="left"/>
        <w:tblInd w:w="0" w:type="dxa"/>
        <w:tblLayout w:type="fixed"/>
        <w:tblCellMar>
          <w:top w:w="28" w:type="dxa"/>
          <w:left w:w="28" w:type="dxa"/>
          <w:bottom w:w="28" w:type="dxa"/>
          <w:right w:w="28" w:type="dxa"/>
        </w:tblCellMar>
      </w:tblPr>
      <w:tblGrid>
        <w:gridCol w:w="2164"/>
        <w:gridCol w:w="1727"/>
        <w:gridCol w:w="1739"/>
        <w:gridCol w:w="212"/>
        <w:gridCol w:w="568"/>
        <w:gridCol w:w="109"/>
        <w:gridCol w:w="109"/>
        <w:gridCol w:w="109"/>
        <w:gridCol w:w="109"/>
        <w:gridCol w:w="212"/>
        <w:gridCol w:w="568"/>
        <w:gridCol w:w="109"/>
        <w:gridCol w:w="109"/>
        <w:gridCol w:w="109"/>
        <w:gridCol w:w="109"/>
        <w:gridCol w:w="211"/>
        <w:gridCol w:w="562"/>
        <w:gridCol w:w="109"/>
        <w:gridCol w:w="109"/>
        <w:gridCol w:w="109"/>
        <w:gridCol w:w="109"/>
        <w:gridCol w:w="211"/>
        <w:gridCol w:w="562"/>
        <w:gridCol w:w="161"/>
      </w:tblGrid>
      <w:tr>
        <w:trPr/>
        <w:tc>
          <w:tcPr>
            <w:tcW w:w="216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30" w:type="dxa"/>
            <w:gridSpan w:val="3"/>
            <w:vMerge w:val="continue"/>
            <w:tcBorders/>
            <w:tcMar>
              <w:top w:w="0" w:type="dxa"/>
              <w:left w:w="0" w:type="dxa"/>
              <w:bottom w:w="0" w:type="dxa"/>
              <w:right w:w="0" w:type="dxa"/>
            </w:tcMar>
            <w:vAlign w:val="center"/>
          </w:tcPr>
          <w:p>
            <w:pPr>
              <w:pStyle w:val="Normal"/>
              <w:bidi w:val="0"/>
              <w:jc w:val="left"/>
              <w:rPr/>
            </w:pPr>
            <w:r>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dividends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attributable to NCR Voyix common stockholders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 attributable to NCR Voyix common stockholders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 common stockholders</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number of shares outstanding</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(loss) per share:</w:t>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continuing operations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discontinued operations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basic and diluted earnings per share</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11.9 million for the as-if converted Series A Preferred Stock because their effect would have been anti-dilutive. Additionally, weighted average restricted stock units and stock options of 14.8 million were excluded from the diluted share count because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due to the net loss from continuing operations attributable to NCR Voyix common stockholders, shares related to the as-if converted Series A Convertible Preferred Stock of 15.9 million were excluded from the diluted share count because their effect would have been anti-dilutive. Additionally, weighted average restricted stock units and stock options of 10.0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11.9 million for the as-if converted Series A Preferred Stock because their effect would have been anti-dilutive. Additionally, for the six months ended June 30, 2026, weighted average restricted stock units and stock options of 8.1 million were excluded from the diluted share count because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due to the net loss from continuing operations attributable to NCR Voyix common stockholders, shares related to the as-if converted Series A Convertible Preferred Stock of 15.9 million were excluded from the diluted share count because their effect would have been anti-dilutive. Additionally, for the six months ended June 30, 2025, weighted average restricted stock units and stock options of 10.8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DERIVATIVES AND HEDGING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certain risks arising from both our business operations and economic conditions. We principally manage exposures to a wide variety of business and operational risk through management of core business activities.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Interest Rate Risk </w:t>
      </w:r>
      <w:r>
        <w:rPr>
          <w:rFonts w:ascii="Times New Roman;serif" w:hAnsi="Times New Roman;serif"/>
          <w:b w:val="false"/>
          <w:color w:val="000000"/>
          <w:sz w:val="20"/>
        </w:rPr>
        <w:t xml:space="preserve">We manage interest rate risk by managing the amount, sources and duration of debt funding. The Company has historically used interest rate cap agreements or interest rate swap contracts (“Interest Rate Derivatives”) to manage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differences in the amount, timing and duration of known or expected cash payments related to our floating rate-debt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Condensed Consolidated Statements of Cash Flows.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Foreign Currency Exchange Risk </w:t>
      </w:r>
      <w:r>
        <w:rPr>
          <w:rFonts w:ascii="Times New Roman;serif" w:hAnsi="Times New Roman;serif"/>
          <w:b w:val="false"/>
          <w:color w:val="000000"/>
          <w:sz w:val="20"/>
        </w:rPr>
        <w:t>A portion of our operations and revenue occur outside the United States and, as such, the Company has exposure to approximately 25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 We recognize the gains and losses on these types of hedges in earnings as exchange rates 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on the location and amounts of derivative fair values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869"/>
        <w:gridCol w:w="763"/>
        <w:gridCol w:w="769"/>
        <w:gridCol w:w="549"/>
        <w:gridCol w:w="549"/>
        <w:gridCol w:w="550"/>
        <w:gridCol w:w="109"/>
        <w:gridCol w:w="109"/>
        <w:gridCol w:w="109"/>
        <w:gridCol w:w="211"/>
        <w:gridCol w:w="481"/>
        <w:gridCol w:w="109"/>
        <w:gridCol w:w="109"/>
        <w:gridCol w:w="109"/>
        <w:gridCol w:w="109"/>
        <w:gridCol w:w="211"/>
        <w:gridCol w:w="406"/>
        <w:gridCol w:w="109"/>
        <w:gridCol w:w="109"/>
        <w:gridCol w:w="109"/>
        <w:gridCol w:w="109"/>
        <w:gridCol w:w="472"/>
        <w:gridCol w:w="472"/>
        <w:gridCol w:w="473"/>
        <w:gridCol w:w="109"/>
        <w:gridCol w:w="109"/>
        <w:gridCol w:w="109"/>
        <w:gridCol w:w="211"/>
        <w:gridCol w:w="481"/>
        <w:gridCol w:w="109"/>
        <w:gridCol w:w="109"/>
        <w:gridCol w:w="109"/>
        <w:gridCol w:w="109"/>
        <w:gridCol w:w="211"/>
        <w:gridCol w:w="406"/>
        <w:gridCol w:w="15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 of Derivative Instruments</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foreign exchange contracts</w:t>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 of Derivative Instruments</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foreign exchange contracts</w:t>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effects of derivative instruments on the Condensed Consolidated Statements of Operations and Condensed Consolidated Statements of Comprehensive Income for the three and six months ended June 30, 2026 and 2025 were as follows:</w:t>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4"/>
        <w:gridCol w:w="636"/>
        <w:gridCol w:w="642"/>
        <w:gridCol w:w="1040"/>
        <w:gridCol w:w="1040"/>
        <w:gridCol w:w="1042"/>
        <w:gridCol w:w="109"/>
        <w:gridCol w:w="109"/>
        <w:gridCol w:w="109"/>
        <w:gridCol w:w="273"/>
        <w:gridCol w:w="389"/>
        <w:gridCol w:w="140"/>
        <w:gridCol w:w="140"/>
        <w:gridCol w:w="140"/>
        <w:gridCol w:w="140"/>
        <w:gridCol w:w="273"/>
        <w:gridCol w:w="331"/>
        <w:gridCol w:w="140"/>
        <w:gridCol w:w="140"/>
        <w:gridCol w:w="140"/>
        <w:gridCol w:w="140"/>
        <w:gridCol w:w="273"/>
        <w:gridCol w:w="525"/>
        <w:gridCol w:w="140"/>
        <w:gridCol w:w="140"/>
        <w:gridCol w:w="140"/>
        <w:gridCol w:w="140"/>
        <w:gridCol w:w="273"/>
        <w:gridCol w:w="525"/>
        <w:gridCol w:w="212"/>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the Condensed Consolidated Statement of Operations</w:t>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Recognized in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3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and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June 30, 2026 and December 31, 2025, we did not have any major concentration of credit risk related to 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FAIR VALUE OF ASSETS AND LIABILITIES </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as of June 30, 2026 are set forth in the table as follows. Assets and liabilities recorded at fair value on a recurring basis as of December 31, 2025 were zero. </w:t>
      </w:r>
    </w:p>
    <w:tbl>
      <w:tblPr>
        <w:tblW w:w="8639" w:type="dxa"/>
        <w:jc w:val="left"/>
        <w:tblInd w:w="0" w:type="dxa"/>
        <w:tblLayout w:type="fixed"/>
        <w:tblCellMar>
          <w:top w:w="28" w:type="dxa"/>
          <w:left w:w="28" w:type="dxa"/>
          <w:bottom w:w="28" w:type="dxa"/>
          <w:right w:w="28" w:type="dxa"/>
        </w:tblCellMar>
      </w:tblPr>
      <w:tblGrid>
        <w:gridCol w:w="912"/>
        <w:gridCol w:w="801"/>
        <w:gridCol w:w="806"/>
        <w:gridCol w:w="211"/>
        <w:gridCol w:w="271"/>
        <w:gridCol w:w="109"/>
        <w:gridCol w:w="109"/>
        <w:gridCol w:w="109"/>
        <w:gridCol w:w="109"/>
        <w:gridCol w:w="431"/>
        <w:gridCol w:w="831"/>
        <w:gridCol w:w="224"/>
        <w:gridCol w:w="109"/>
        <w:gridCol w:w="109"/>
        <w:gridCol w:w="109"/>
        <w:gridCol w:w="509"/>
        <w:gridCol w:w="653"/>
        <w:gridCol w:w="264"/>
        <w:gridCol w:w="109"/>
        <w:gridCol w:w="109"/>
        <w:gridCol w:w="109"/>
        <w:gridCol w:w="447"/>
        <w:gridCol w:w="861"/>
        <w:gridCol w:w="328"/>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br/>
              <w:t>(Level 3)</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0"/>
        </w:rPr>
        <w:t>(1)</w:t>
      </w:r>
      <w:r>
        <w:rPr>
          <w:rFonts w:ascii="Times New Roman;serif" w:hAnsi="Times New Roman;serif"/>
          <w:b w:val="false"/>
          <w:color w:val="000000"/>
          <w:sz w:val="16"/>
        </w:rPr>
        <w:t>Included in Other current liabilities in the Condensed Consolidated Balance Sheets.</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20"/>
        </w:rPr>
        <w:t xml:space="preserve">Foreign Exchange Contracts </w:t>
      </w:r>
      <w:r>
        <w:rPr>
          <w:rFonts w:ascii="Times New Roman;serif" w:hAnsi="Times New Roman;serif"/>
          <w:b w:val="false"/>
          <w:color w:val="000000"/>
          <w:sz w:val="20"/>
        </w:rPr>
        <w:t xml:space="preserve">As a result of our global operating activities, we are exposed to risks from changes in foreign currency exchange rates, which may 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June 30, 2026, we determined that the credit valuation adjustments are not significant to the overall valuation of our derivatives and therefore, the valuations are classified in Level 2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Assets Measured at Fair Value on a Non-recurring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and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firstLine="72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Accumulated Other Comprehensive Income (Loss) (“AOCI”) by Component</w:t>
      </w:r>
    </w:p>
    <w:tbl>
      <w:tblPr>
        <w:tblW w:w="10205" w:type="dxa"/>
        <w:jc w:val="center"/>
        <w:tblInd w:w="0" w:type="dxa"/>
        <w:tblLayout w:type="fixed"/>
        <w:tblCellMar>
          <w:top w:w="28" w:type="dxa"/>
          <w:left w:w="28" w:type="dxa"/>
          <w:bottom w:w="28" w:type="dxa"/>
          <w:right w:w="28" w:type="dxa"/>
        </w:tblCellMar>
      </w:tblPr>
      <w:tblGrid>
        <w:gridCol w:w="1322"/>
        <w:gridCol w:w="956"/>
        <w:gridCol w:w="962"/>
        <w:gridCol w:w="489"/>
        <w:gridCol w:w="1115"/>
        <w:gridCol w:w="252"/>
        <w:gridCol w:w="513"/>
        <w:gridCol w:w="990"/>
        <w:gridCol w:w="268"/>
        <w:gridCol w:w="712"/>
        <w:gridCol w:w="1370"/>
        <w:gridCol w:w="372"/>
        <w:gridCol w:w="211"/>
        <w:gridCol w:w="512"/>
        <w:gridCol w:w="161"/>
      </w:tblGrid>
      <w:tr>
        <w:trPr/>
        <w:tc>
          <w:tcPr>
            <w:tcW w:w="132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Adjustments</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Employee Benefit Plans</w:t>
            </w:r>
          </w:p>
        </w:tc>
        <w:tc>
          <w:tcPr>
            <w:tcW w:w="2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Effective Cash Flow Hedges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2025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current period other comprehensive (loss) income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June 30, 2026 </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(457)</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(451)</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Reclassifications Out of AOCI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reclassifications out of AOCI during the three and six months ended June 30, 2026 or 2025.</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15. SUPPLEMENTAL FINANCIAL INFORMATION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accounts receivable are summarized as follows:</w:t>
      </w:r>
    </w:p>
    <w:tbl>
      <w:tblPr>
        <w:tblW w:w="5712" w:type="dxa"/>
        <w:jc w:val="center"/>
        <w:tblInd w:w="0" w:type="dxa"/>
        <w:tblLayout w:type="fixed"/>
        <w:tblCellMar>
          <w:top w:w="28" w:type="dxa"/>
          <w:left w:w="28" w:type="dxa"/>
          <w:bottom w:w="28" w:type="dxa"/>
          <w:right w:w="28" w:type="dxa"/>
        </w:tblCellMar>
      </w:tblPr>
      <w:tblGrid>
        <w:gridCol w:w="983"/>
        <w:gridCol w:w="860"/>
        <w:gridCol w:w="872"/>
        <w:gridCol w:w="296"/>
        <w:gridCol w:w="676"/>
        <w:gridCol w:w="153"/>
        <w:gridCol w:w="109"/>
        <w:gridCol w:w="109"/>
        <w:gridCol w:w="109"/>
        <w:gridCol w:w="392"/>
        <w:gridCol w:w="866"/>
        <w:gridCol w:w="287"/>
      </w:tblGrid>
      <w:tr>
        <w:trPr/>
        <w:tc>
          <w:tcPr>
            <w:tcW w:w="9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accounts receivable, net</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allowance for credit losses as of June 30, 2026 and December 31, 2025 was $20 million and $21 million, respectively. We continue to evaluate our reserves in light of the age and quality of our outstanding accounts receivable as well as risks to specific industries or countries and adjust the reserves accordingly. The impact to our allowance for credit losses was expense of $4 million for both the three and six months ended June 30, 2026, respectively, and $3 million and $4 million for the three and six months ended June 30, 2025, respectively. The Company recorded write-offs against the reserve of $3 million and $5 million for the three and six months ended June 30, 2026, respectively, and $2 million and $3 million for the three and six months ended June 30,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5877" w:type="dxa"/>
        <w:jc w:val="left"/>
        <w:tblInd w:w="0" w:type="dxa"/>
        <w:tblLayout w:type="fixed"/>
        <w:tblCellMar>
          <w:top w:w="28" w:type="dxa"/>
          <w:left w:w="28" w:type="dxa"/>
          <w:bottom w:w="28" w:type="dxa"/>
          <w:right w:w="28" w:type="dxa"/>
        </w:tblCellMar>
      </w:tblPr>
      <w:tblGrid>
        <w:gridCol w:w="1042"/>
        <w:gridCol w:w="914"/>
        <w:gridCol w:w="924"/>
        <w:gridCol w:w="296"/>
        <w:gridCol w:w="676"/>
        <w:gridCol w:w="153"/>
        <w:gridCol w:w="109"/>
        <w:gridCol w:w="109"/>
        <w:gridCol w:w="109"/>
        <w:gridCol w:w="392"/>
        <w:gridCol w:w="866"/>
        <w:gridCol w:w="287"/>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raw materials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parts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170"/>
        <w:jc w:val="left"/>
        <w:rPr/>
      </w:pPr>
      <w:r>
        <w:rPr>
          <w:rFonts w:ascii="Times New Roman;serif" w:hAnsi="Times New Roman;serif"/>
          <w:b/>
          <w:color w:val="000000"/>
          <w:sz w:val="20"/>
        </w:rPr>
        <w:t>Item 2.    MANAGEMENT’S DISCUSSION AND ANALYSIS OF FINANCIAL CONDITION AND RESULTS OF OPERATIONS (</w:t>
      </w:r>
      <w:r>
        <w:rPr>
          <w:color w:val="000000"/>
        </w:rPr>
        <w:t>“</w:t>
      </w:r>
      <w:r>
        <w:rPr>
          <w:rFonts w:ascii="Times New Roman;serif" w:hAnsi="Times New Roman;serif"/>
          <w:b/>
          <w:color w:val="000000"/>
          <w:sz w:val="20"/>
        </w:rPr>
        <w:t>MD&amp;A</w:t>
      </w:r>
      <w:r>
        <w:rPr>
          <w:color w:val="000000"/>
        </w:rPr>
        <w:t>”</w:t>
      </w:r>
      <w:r>
        <w:rPr>
          <w:rFonts w:ascii="Times New Roman;serif" w:hAnsi="Times New Roman;serif"/>
          <w:b/>
          <w:color w:val="000000"/>
          <w:sz w:val="2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2025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within MD&amp;A is organized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Overview. </w:t>
      </w:r>
      <w:r>
        <w:rPr>
          <w:rFonts w:ascii="Times New Roman;serif" w:hAnsi="Times New Roman;serif"/>
          <w:b w:val="false"/>
          <w:color w:val="000000"/>
          <w:sz w:val="20"/>
        </w:rPr>
        <w:t>This section contains background information on the Company, a summary of significant events for the quarter, and information regarding strategic initiatives and trends in order to provide context for management’s discussion and analysis of our financial condition and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This section contains an analysis of our results of operations presented in the accompanying condensed consolidated statements of income by comparing the results for the three and six months ended June 30, 2026 to the results for the three and six months ended June 30,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This section provides an analysis of our cash flows and a discussion of our contractual obligations at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OVERVIEW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 is a global platform-powered leader in unified commerce for shopping and dining, empowering our customers to deliver quality experiences to consumers through our cloud-based platform, microservices-based applications and comprehensive service offerings.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Completion of NCR Atleos Spin-Off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2023, the Company completed the spin-off (“Spin-Off”) of its ATM-focused businesses, including our self-service banking, payments &amp; network, and telecommunications and technology businesses, into an independent, publicly traded company, NCR Atleos. Accordingly, the historical financial results of NCR Atleos are reflected as discontinued operations in the Company’s consolidated financial statements. Refer to Note 2, “Discontinued Operations”, in the Notes to Consolidated Financial Statements in Item 1 of this Report,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Sale of Digital Banking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2024, the Company completed the sale of its Digital Banking segment businesses (the “Digital Banking Sale”) to an affiliate of The Veritas Capital Fund VIII, L.P. (the “Buyer”). The historical financial results of the Digital Banking segment businesses are reflected as discontinued operations in the Company’s consolidated financial statements.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Transition of Hardware Business to ODM Model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designs, manufactures, warrants, supplies, and ships self-checkout and point-of-sale hardware directly to the Company’s customers and the Company sells hardware to its customers as a sales agent for Ennoconn and continues to provide its point-of-sale and self-checkout software as well as key support and maintenance services. During the six months ended June 30, 2026, the Company sold inventory to Ennoconn as part of the Hardware Business Transition, and beginning on April 1, 2026, the Company began recording commission revenue from point-of-sale and self-checkout hardware sales as an agent for Ennoconn on a net basis, excluding the costs paid to Ennoconn.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Our Segments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and Digital Banking Sale, we now manage and operate in two reportable segments: Retail and Restaurants.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Retail</w:t>
      </w:r>
      <w:r>
        <w:rPr>
          <w:color w:val="000000"/>
        </w:rPr>
        <w:t xml:space="preserve"> </w:t>
      </w:r>
      <w:r>
        <w:rPr>
          <w:rFonts w:ascii="Times New Roman;serif" w:hAnsi="Times New Roman;serif"/>
          <w:b w:val="false"/>
          <w:color w:val="000000"/>
          <w:sz w:val="20"/>
        </w:rPr>
        <w:t xml:space="preserve">- Our Retail segment serves enterprise and mid-market retailers primarily in the convenience, fuel &amp; retail, grocery, drug &amp; mass merchandise, and department &amp; specialty retail industries. Our retail solutions, including software, services, payments, and hardware offerings, provide end-to-end connectivity within a customer’s operations, including, point-of-sale (“POS”), self-checkout (“SCO”), inventory and supply chain management, fraud and loss prevention, loyalty and consumer engagement.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Restaurants</w:t>
      </w:r>
      <w:r>
        <w:rPr>
          <w:color w:val="000000"/>
        </w:rPr>
        <w:t xml:space="preserve"> </w:t>
      </w:r>
      <w:r>
        <w:rPr>
          <w:rFonts w:ascii="Times New Roman;serif" w:hAnsi="Times New Roman;serif"/>
          <w:b w:val="false"/>
          <w:color w:val="000000"/>
          <w:sz w:val="20"/>
        </w:rPr>
        <w:t xml:space="preserve">- Our Restaurants segment is focused on serving restaurants and food service establishments, including quick-service, table-service and fast casual restaurants of all sizes. Our restaurant solutions include, software, payments, hardware, installation, maintenance, and managed and professional services. These solutions are designed to help streamline order and transaction processing, increase consumer engagement, manage the supply chain, increase kitchen productivity and reduce operating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income and expenses related to corporate functions that are not specifically attributable to either of our two reportable segments, along with certain non-strategic businesses that are considered immaterial operating segment(s), as well as commercial agreements with NCR Atleos 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HIGHLIGHTS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were highlights for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Recurring revenue increased 3% as compared to the prior year period and comprised 83% of total consolidated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Software and services revenue increased 1% compared to the prior year period and comprised 95% of total consolidated revenue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increased 5% compared to the prior year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STRATEGIC INITIATIVES AND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advance our position as the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 store, curbside or through mobile channels. They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can deliver to customers an end-to-end value proposition that we believe is difficult to match. As the adoption of our platform and solutions accelerates, we expect to strengthen customer relationships, enhance recurring revenue streams and broaden monetization opportunities across our Voyix Commerce Platform. To achieve our goals, we are focused on: (i) delivering a modern suite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Software-as-a-Service (“SaaS”) solutions, (ii) expanding adoption of our integrated payment solutions, (iii) scaling our differentiated services offerings and (iv) investing in innovation to further expand our platform capabilities.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Macroeconomic Trends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Trade, Macroeconomic Environment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and other global markets currently are experiencing increased volatility due to the effects of, among other things, recent changes in imposed or threatened tariffs and other trade policy changes by the U.S. and other countries, escalating geopolitical and civil conflicts, including, but not limited to, Eastern Europe and the Middle East, inflationary pressures, such as increasing prices for goods and services (including fuel), changing fiscal and/or monetary policies in the U.S. and elsewhere, and fluctuating currency exchange rates, elevated unemployment rates, global shortages of microchips and other technology components, primarily driven by the adoption of artificial intelligence technologies, and, in some locations around the world, decreased economic conditions that indicate the potential for near-term recessions or slowdowns.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our geographic presence and the multinational composition of our customer base, our business and financial performance could be impacted by the evolving global economic landscape. We are subject to a variety of risks posed by the current macroeconomic environment, and we are continuously monitoring the direct and indirect impacts of these circumstances. Economic pressures on retail and restaurant businesses and on consumers could negatively affect our revenue and profitability in future periods. In addition, U.S. foreign trade policy continues to evolve under the current presidential administration, including the announcement of a number of new tariffs subsequent to the U.S. Supreme Court’s February 2026 decision to uphold a ruling that invalidated certain tariffs previously imposed. It is currently unknown if these tariffs will remain in place, be expanded or be removed, and we do not know whether foreign countries will adopt retaliatory trade policies in response to these new tariffs. The current trade policy environment is expected to continue to evolve, but we cannot anticipate the impact that these or other changes will have on our business and financial performance. As a result of these uncertainties, we may be impacted in the future within the markets in which we operate.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of trends, uncertainties and other factors that could affect our operating results, refer to Part I, Item 1A, “Risk Factors”, contained in our 2025 Form 10-K and subsequent filings we make with the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 the three and six months ended June 30, 2026 compared to the three and six months ended June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show our results for the three and six months ended June 30, 2026 and 2025, respectively, the relative percentage that those amounts represent to revenue, and the change in those amounts year-over-year.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2"/>
        <w:gridCol w:w="1064"/>
        <w:gridCol w:w="1038"/>
        <w:gridCol w:w="109"/>
        <w:gridCol w:w="109"/>
        <w:gridCol w:w="109"/>
        <w:gridCol w:w="246"/>
        <w:gridCol w:w="439"/>
        <w:gridCol w:w="127"/>
        <w:gridCol w:w="127"/>
        <w:gridCol w:w="127"/>
        <w:gridCol w:w="127"/>
        <w:gridCol w:w="246"/>
        <w:gridCol w:w="545"/>
        <w:gridCol w:w="127"/>
        <w:gridCol w:w="109"/>
        <w:gridCol w:w="109"/>
        <w:gridCol w:w="109"/>
        <w:gridCol w:w="314"/>
        <w:gridCol w:w="317"/>
        <w:gridCol w:w="342"/>
        <w:gridCol w:w="123"/>
        <w:gridCol w:w="123"/>
        <w:gridCol w:w="123"/>
        <w:gridCol w:w="307"/>
        <w:gridCol w:w="309"/>
        <w:gridCol w:w="308"/>
        <w:gridCol w:w="123"/>
        <w:gridCol w:w="123"/>
        <w:gridCol w:w="123"/>
        <w:gridCol w:w="298"/>
        <w:gridCol w:w="294"/>
        <w:gridCol w:w="869"/>
      </w:tblGrid>
      <w:tr>
        <w:trPr/>
        <w:tc>
          <w:tcPr>
            <w:tcW w:w="124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94.8</w:t>
            </w: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72"/>
        <w:gridCol w:w="1098"/>
        <w:gridCol w:w="1081"/>
        <w:gridCol w:w="109"/>
        <w:gridCol w:w="109"/>
        <w:gridCol w:w="109"/>
        <w:gridCol w:w="217"/>
        <w:gridCol w:w="495"/>
        <w:gridCol w:w="111"/>
        <w:gridCol w:w="111"/>
        <w:gridCol w:w="111"/>
        <w:gridCol w:w="111"/>
        <w:gridCol w:w="217"/>
        <w:gridCol w:w="480"/>
        <w:gridCol w:w="111"/>
        <w:gridCol w:w="109"/>
        <w:gridCol w:w="109"/>
        <w:gridCol w:w="109"/>
        <w:gridCol w:w="315"/>
        <w:gridCol w:w="316"/>
        <w:gridCol w:w="344"/>
        <w:gridCol w:w="124"/>
        <w:gridCol w:w="124"/>
        <w:gridCol w:w="124"/>
        <w:gridCol w:w="307"/>
        <w:gridCol w:w="309"/>
        <w:gridCol w:w="309"/>
        <w:gridCol w:w="124"/>
        <w:gridCol w:w="124"/>
        <w:gridCol w:w="124"/>
        <w:gridCol w:w="307"/>
        <w:gridCol w:w="300"/>
        <w:gridCol w:w="885"/>
      </w:tblGrid>
      <w:tr>
        <w:trPr/>
        <w:tc>
          <w:tcPr>
            <w:tcW w:w="127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percentage of revenue is calculated for each line item divided by total revenue, except for product gross margin and service gross margin, which are divided by the related component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Strategic Financial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our key strategic financial metrics for the three and six months ended June 30, 2026 and 2025, respectively, the relative percentage that those amounts represent to total revenue, and the change in those amounts year-over-year.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Recurring revenue as a percentage of total revenue</w:t>
      </w:r>
    </w:p>
    <w:tbl>
      <w:tblPr>
        <w:tblW w:w="10205" w:type="dxa"/>
        <w:jc w:val="left"/>
        <w:tblInd w:w="0" w:type="dxa"/>
        <w:tblLayout w:type="fixed"/>
        <w:tblCellMar>
          <w:top w:w="28" w:type="dxa"/>
          <w:left w:w="28" w:type="dxa"/>
          <w:bottom w:w="28" w:type="dxa"/>
          <w:right w:w="28" w:type="dxa"/>
        </w:tblCellMar>
      </w:tblPr>
      <w:tblGrid>
        <w:gridCol w:w="1029"/>
        <w:gridCol w:w="905"/>
        <w:gridCol w:w="906"/>
        <w:gridCol w:w="109"/>
        <w:gridCol w:w="109"/>
        <w:gridCol w:w="109"/>
        <w:gridCol w:w="237"/>
        <w:gridCol w:w="542"/>
        <w:gridCol w:w="122"/>
        <w:gridCol w:w="122"/>
        <w:gridCol w:w="122"/>
        <w:gridCol w:w="122"/>
        <w:gridCol w:w="237"/>
        <w:gridCol w:w="525"/>
        <w:gridCol w:w="122"/>
        <w:gridCol w:w="109"/>
        <w:gridCol w:w="109"/>
        <w:gridCol w:w="109"/>
        <w:gridCol w:w="315"/>
        <w:gridCol w:w="316"/>
        <w:gridCol w:w="487"/>
        <w:gridCol w:w="176"/>
        <w:gridCol w:w="176"/>
        <w:gridCol w:w="176"/>
        <w:gridCol w:w="307"/>
        <w:gridCol w:w="309"/>
        <w:gridCol w:w="438"/>
        <w:gridCol w:w="109"/>
        <w:gridCol w:w="109"/>
        <w:gridCol w:w="109"/>
        <w:gridCol w:w="311"/>
        <w:gridCol w:w="309"/>
        <w:gridCol w:w="913"/>
      </w:tblGrid>
      <w:tr>
        <w:trPr/>
        <w:tc>
          <w:tcPr>
            <w:tcW w:w="102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Recurring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83.2</w:t>
            </w:r>
            <w:r>
              <w:rPr>
                <w:color w:val="000000"/>
              </w:rPr>
              <w:t>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56"/>
        <w:gridCol w:w="924"/>
        <w:gridCol w:w="932"/>
        <w:gridCol w:w="109"/>
        <w:gridCol w:w="109"/>
        <w:gridCol w:w="109"/>
        <w:gridCol w:w="211"/>
        <w:gridCol w:w="631"/>
        <w:gridCol w:w="109"/>
        <w:gridCol w:w="109"/>
        <w:gridCol w:w="109"/>
        <w:gridCol w:w="109"/>
        <w:gridCol w:w="211"/>
        <w:gridCol w:w="616"/>
        <w:gridCol w:w="109"/>
        <w:gridCol w:w="109"/>
        <w:gridCol w:w="109"/>
        <w:gridCol w:w="109"/>
        <w:gridCol w:w="315"/>
        <w:gridCol w:w="316"/>
        <w:gridCol w:w="398"/>
        <w:gridCol w:w="143"/>
        <w:gridCol w:w="143"/>
        <w:gridCol w:w="143"/>
        <w:gridCol w:w="307"/>
        <w:gridCol w:w="309"/>
        <w:gridCol w:w="358"/>
        <w:gridCol w:w="143"/>
        <w:gridCol w:w="143"/>
        <w:gridCol w:w="143"/>
        <w:gridCol w:w="316"/>
        <w:gridCol w:w="316"/>
        <w:gridCol w:w="932"/>
      </w:tblGrid>
      <w:tr>
        <w:trPr/>
        <w:tc>
          <w:tcPr>
            <w:tcW w:w="105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Recurring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w:t>
            </w: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Revenue by type</w:t>
      </w:r>
    </w:p>
    <w:tbl>
      <w:tblPr>
        <w:tblW w:w="9990"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39"/>
        <w:gridCol w:w="546"/>
        <w:gridCol w:w="123"/>
        <w:gridCol w:w="123"/>
        <w:gridCol w:w="123"/>
        <w:gridCol w:w="123"/>
        <w:gridCol w:w="239"/>
        <w:gridCol w:w="529"/>
        <w:gridCol w:w="123"/>
        <w:gridCol w:w="109"/>
        <w:gridCol w:w="109"/>
        <w:gridCol w:w="109"/>
        <w:gridCol w:w="315"/>
        <w:gridCol w:w="316"/>
        <w:gridCol w:w="497"/>
        <w:gridCol w:w="180"/>
        <w:gridCol w:w="180"/>
        <w:gridCol w:w="180"/>
        <w:gridCol w:w="307"/>
        <w:gridCol w:w="309"/>
        <w:gridCol w:w="447"/>
        <w:gridCol w:w="109"/>
        <w:gridCol w:w="109"/>
        <w:gridCol w:w="109"/>
        <w:gridCol w:w="317"/>
        <w:gridCol w:w="317"/>
        <w:gridCol w:w="92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Hardware-related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90"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36"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11"/>
        <w:gridCol w:w="631"/>
        <w:gridCol w:w="109"/>
        <w:gridCol w:w="109"/>
        <w:gridCol w:w="109"/>
        <w:gridCol w:w="109"/>
        <w:gridCol w:w="211"/>
        <w:gridCol w:w="616"/>
        <w:gridCol w:w="109"/>
        <w:gridCol w:w="109"/>
        <w:gridCol w:w="109"/>
        <w:gridCol w:w="109"/>
        <w:gridCol w:w="315"/>
        <w:gridCol w:w="316"/>
        <w:gridCol w:w="497"/>
        <w:gridCol w:w="180"/>
        <w:gridCol w:w="180"/>
        <w:gridCol w:w="180"/>
        <w:gridCol w:w="307"/>
        <w:gridCol w:w="309"/>
        <w:gridCol w:w="447"/>
        <w:gridCol w:w="109"/>
        <w:gridCol w:w="109"/>
        <w:gridCol w:w="109"/>
        <w:gridCol w:w="317"/>
        <w:gridCol w:w="317"/>
        <w:gridCol w:w="92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Hardware-related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490"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Hardware-related revenue includes hardware revenue and hardware commission revenue beginning in the second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rFonts w:ascii="Times New Roman;serif" w:hAnsi="Times New Roman;serif"/>
          <w:b/>
          <w:i/>
          <w:color w:val="000000"/>
          <w:sz w:val="20"/>
        </w:rPr>
        <w:t>Net income (loss) from continuing operations attributable to NCR Voyix and Adjusted EBITDA</w:t>
      </w:r>
      <w:r>
        <w:rPr>
          <w:rFonts w:ascii="Times New Roman;serif" w:hAnsi="Times New Roman;serif"/>
          <w:b/>
          <w:i/>
          <w:color w:val="000000"/>
          <w:sz w:val="13"/>
        </w:rPr>
        <w:t>(3)</w:t>
      </w:r>
      <w:r>
        <w:rPr>
          <w:color w:val="000000"/>
        </w:rPr>
        <w:t xml:space="preserve"> </w:t>
      </w:r>
      <w:r>
        <w:rPr>
          <w:rFonts w:ascii="Times New Roman;serif" w:hAnsi="Times New Roman;serif"/>
          <w:b/>
          <w:i/>
          <w:color w:val="000000"/>
          <w:sz w:val="20"/>
        </w:rPr>
        <w:t>as a percentage of total revenue</w:t>
      </w:r>
    </w:p>
    <w:tbl>
      <w:tblPr>
        <w:tblW w:w="10205" w:type="dxa"/>
        <w:jc w:val="left"/>
        <w:tblInd w:w="0" w:type="dxa"/>
        <w:tblLayout w:type="fixed"/>
        <w:tblCellMar>
          <w:top w:w="28" w:type="dxa"/>
          <w:left w:w="28" w:type="dxa"/>
          <w:bottom w:w="28" w:type="dxa"/>
          <w:right w:w="28" w:type="dxa"/>
        </w:tblCellMar>
      </w:tblPr>
      <w:tblGrid>
        <w:gridCol w:w="1358"/>
        <w:gridCol w:w="1193"/>
        <w:gridCol w:w="1200"/>
        <w:gridCol w:w="109"/>
        <w:gridCol w:w="109"/>
        <w:gridCol w:w="109"/>
        <w:gridCol w:w="238"/>
        <w:gridCol w:w="425"/>
        <w:gridCol w:w="123"/>
        <w:gridCol w:w="123"/>
        <w:gridCol w:w="123"/>
        <w:gridCol w:w="123"/>
        <w:gridCol w:w="238"/>
        <w:gridCol w:w="459"/>
        <w:gridCol w:w="123"/>
        <w:gridCol w:w="109"/>
        <w:gridCol w:w="109"/>
        <w:gridCol w:w="109"/>
        <w:gridCol w:w="262"/>
        <w:gridCol w:w="264"/>
        <w:gridCol w:w="407"/>
        <w:gridCol w:w="147"/>
        <w:gridCol w:w="147"/>
        <w:gridCol w:w="147"/>
        <w:gridCol w:w="255"/>
        <w:gridCol w:w="256"/>
        <w:gridCol w:w="366"/>
        <w:gridCol w:w="109"/>
        <w:gridCol w:w="109"/>
        <w:gridCol w:w="109"/>
        <w:gridCol w:w="251"/>
        <w:gridCol w:w="251"/>
        <w:gridCol w:w="745"/>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attributable to NCR Voyix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97"/>
        <w:gridCol w:w="1227"/>
        <w:gridCol w:w="1234"/>
        <w:gridCol w:w="109"/>
        <w:gridCol w:w="109"/>
        <w:gridCol w:w="109"/>
        <w:gridCol w:w="214"/>
        <w:gridCol w:w="490"/>
        <w:gridCol w:w="110"/>
        <w:gridCol w:w="110"/>
        <w:gridCol w:w="110"/>
        <w:gridCol w:w="110"/>
        <w:gridCol w:w="214"/>
        <w:gridCol w:w="475"/>
        <w:gridCol w:w="110"/>
        <w:gridCol w:w="109"/>
        <w:gridCol w:w="109"/>
        <w:gridCol w:w="109"/>
        <w:gridCol w:w="262"/>
        <w:gridCol w:w="264"/>
        <w:gridCol w:w="356"/>
        <w:gridCol w:w="128"/>
        <w:gridCol w:w="128"/>
        <w:gridCol w:w="128"/>
        <w:gridCol w:w="254"/>
        <w:gridCol w:w="257"/>
        <w:gridCol w:w="320"/>
        <w:gridCol w:w="128"/>
        <w:gridCol w:w="128"/>
        <w:gridCol w:w="128"/>
        <w:gridCol w:w="255"/>
        <w:gridCol w:w="255"/>
        <w:gridCol w:w="759"/>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attributable to NCR Voyix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Refer to our definition of Adjusted EBITDA in the section entitled “Non-GAAP Financial Measures and Use of Certain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 and Use of Certain Terms: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Earnings Before Interest, Taxes, Depreciation and Amortization (“Adjusted EBITDA”) </w:t>
      </w:r>
      <w:r>
        <w:rPr>
          <w:rFonts w:ascii="Times New Roman;serif" w:hAnsi="Times New Roman;serif"/>
          <w:b w:val="false"/>
          <w:color w:val="000000"/>
          <w:sz w:val="20"/>
        </w:rPr>
        <w:t>Our management uses the non-GAAP measure Adjusted 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09"/>
        <w:gridCol w:w="1800"/>
        <w:gridCol w:w="1810"/>
        <w:gridCol w:w="247"/>
        <w:gridCol w:w="441"/>
        <w:gridCol w:w="127"/>
        <w:gridCol w:w="127"/>
        <w:gridCol w:w="127"/>
        <w:gridCol w:w="127"/>
        <w:gridCol w:w="247"/>
        <w:gridCol w:w="477"/>
        <w:gridCol w:w="127"/>
        <w:gridCol w:w="109"/>
        <w:gridCol w:w="109"/>
        <w:gridCol w:w="109"/>
        <w:gridCol w:w="216"/>
        <w:gridCol w:w="492"/>
        <w:gridCol w:w="111"/>
        <w:gridCol w:w="111"/>
        <w:gridCol w:w="111"/>
        <w:gridCol w:w="111"/>
        <w:gridCol w:w="216"/>
        <w:gridCol w:w="476"/>
        <w:gridCol w:w="168"/>
      </w:tblGrid>
      <w:tr>
        <w:trPr/>
        <w:tc>
          <w:tcPr>
            <w:tcW w:w="220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 (GAAP)</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acquisition related amortization of intangibles)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and restructuring costs</w:t>
            </w:r>
            <w:r>
              <w:rPr>
                <w:rFonts w:ascii="Times New Roman;serif" w:hAnsi="Times New Roman;serif"/>
                <w:b w:val="false"/>
                <w:color w:val="000000"/>
                <w:sz w:val="13"/>
              </w:rPr>
              <w:t>(1)</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3"/>
              </w:rPr>
              <w:t>(2)</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w:t>
            </w:r>
            <w:r>
              <w:rPr>
                <w:rFonts w:ascii="Times New Roman;serif" w:hAnsi="Times New Roman;serif"/>
                <w:b w:val="false"/>
                <w:color w:val="000000"/>
                <w:sz w:val="13"/>
              </w:rPr>
              <w:t>(3)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integration, severance, and other exit and disposal costs which are considered non-operational in nature.</w:t>
      </w:r>
    </w:p>
    <w:p>
      <w:pPr>
        <w:pStyle w:val="TextBody"/>
        <w:bidi w:val="0"/>
        <w:spacing w:lineRule="auto" w:line="288" w:before="0" w:after="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professional fees related to strategic initiatives which are considered non-operational in nature, as well as certain costs incurred related to the Hardware Business Transition.</w:t>
      </w:r>
    </w:p>
    <w:p>
      <w:pPr>
        <w:pStyle w:val="TextBody"/>
        <w:bidi w:val="0"/>
        <w:spacing w:lineRule="auto" w:line="288" w:before="0" w:after="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costs related to certain litigation matters, reflecting the costs of the indemnity and associated legal fees, net of expected indemnity recoveries from NCR Atleos, as discussed in Note 9, “Commitments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free cash flow-unrestricted </w:t>
      </w:r>
      <w:r>
        <w:rPr>
          <w:rFonts w:ascii="Times New Roman;serif" w:hAnsi="Times New Roman;serif"/>
          <w:b w:val="false"/>
          <w:color w:val="000000"/>
          <w:sz w:val="20"/>
        </w:rPr>
        <w:t>NCR Voyix management uses the non-GAAP measure called “adjusted free cash flow-unrestricted” to assess the financial 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restricted cash settlement activity, cash activity related to environmental discontinued operations, collections on non-operating receivables related to inventory sold for the Hardware Business Transition, plus acquisition-related items, and pension contributions and settlements.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free cash flow-unrestricted information is useful for investors because it relates the operating cash flows from the Company’s operations to the capital that is spent to continue and improve business operations. In particular, adjusted free cash flow-unrestricted indicates the amount of cash available after capital expenditures for, among other things, investments in the Company’s existing businesses, strategic acquisitions, and repayment of debt obligations. Adjusted free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flow does not represent the residual cash flow available for discretionary expenditures, since there may be other non-discretionary expenditures that are not deducted from the measure. Adjusted free cash flow-unrestricted does not have a uniform definition under GAAP, and therefore the Company’s definition may differ from other companies’ definitions of this measure. These non-GAAP measures should not be considered a substitute for, or superior to, cash flows from operating activities under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section titled “Financial Condition, Liquidity and Capital Resources” in Item 2 of this Form 10-Q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w:t>
      </w:r>
    </w:p>
    <w:tbl>
      <w:tblPr>
        <w:tblW w:w="8879"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39"/>
        <w:gridCol w:w="546"/>
        <w:gridCol w:w="123"/>
        <w:gridCol w:w="123"/>
        <w:gridCol w:w="123"/>
        <w:gridCol w:w="123"/>
        <w:gridCol w:w="239"/>
        <w:gridCol w:w="529"/>
        <w:gridCol w:w="123"/>
        <w:gridCol w:w="109"/>
        <w:gridCol w:w="109"/>
        <w:gridCol w:w="109"/>
        <w:gridCol w:w="314"/>
        <w:gridCol w:w="317"/>
        <w:gridCol w:w="497"/>
        <w:gridCol w:w="180"/>
        <w:gridCol w:w="180"/>
        <w:gridCol w:w="180"/>
        <w:gridCol w:w="307"/>
        <w:gridCol w:w="309"/>
        <w:gridCol w:w="447"/>
        <w:gridCol w:w="109"/>
        <w:gridCol w:w="109"/>
        <w:gridCol w:w="109"/>
        <w:gridCol w:w="317"/>
        <w:gridCol w:w="317"/>
        <w:gridCol w:w="92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94.8</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revenue includes our hardware and software license revenue streams. Service revenue includes SaaS solutions, software maintenance, professional services, installation services, payment processing and hardware maintenance, as well as hardware commission revenue beginning in the second quarter of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For</w:t>
      </w:r>
      <w:r>
        <w:rPr>
          <w:color w:val="000000"/>
        </w:rPr>
        <w:t xml:space="preserve"> </w:t>
      </w:r>
      <w:r>
        <w:rPr>
          <w:rFonts w:ascii="Times New Roman;serif" w:hAnsi="Times New Roman;serif"/>
          <w:b w:val="false"/>
          <w:i/>
          <w:color w:val="000000"/>
          <w:sz w:val="20"/>
        </w:rPr>
        <w:t>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21% for the three months ended June 30, 2026 compared to the three months ended June 30, 2025. Product revenue for the three months ended June 30, 2026 decreased 85% compared to the three months ended June 30, 2025 due to the Hardware Business Transition. Effective April 1, 2026, the Company transitioned from recognizing hardware revenue sales on a gross basis within Product revenue to recognizing net hardware commission revenue as an agent for Ennoconn, reported within Service revenue. Accordingly, the decrease in Product revenue primarily reflects the change in presentation resulting from the Hardware Business Transition. Service revenue for the three months ended June 30, 2026 increased 4% compared to the three months ended June 30, 2025 due to the net hardware commission revenue recognized in the second quarter of 2026 from the Hardware Business Transition, as previously discussed, as well as increases in payments processing revenue, hardware maintenance revenue and software maintenance revenue, offset by a decrease in SaaS solutions and non-recurring installation services revenues as compared to the prior year period. Recurring revenue increased 3% for the three months ended June 30, 2026 compared to the three months ended June 30, 2025 primarily driven by payments processing, software license and hardware maintenance revenues.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36"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11"/>
        <w:gridCol w:w="631"/>
        <w:gridCol w:w="109"/>
        <w:gridCol w:w="109"/>
        <w:gridCol w:w="109"/>
        <w:gridCol w:w="109"/>
        <w:gridCol w:w="211"/>
        <w:gridCol w:w="616"/>
        <w:gridCol w:w="109"/>
        <w:gridCol w:w="109"/>
        <w:gridCol w:w="109"/>
        <w:gridCol w:w="109"/>
        <w:gridCol w:w="315"/>
        <w:gridCol w:w="316"/>
        <w:gridCol w:w="399"/>
        <w:gridCol w:w="144"/>
        <w:gridCol w:w="144"/>
        <w:gridCol w:w="144"/>
        <w:gridCol w:w="307"/>
        <w:gridCol w:w="309"/>
        <w:gridCol w:w="359"/>
        <w:gridCol w:w="144"/>
        <w:gridCol w:w="144"/>
        <w:gridCol w:w="144"/>
        <w:gridCol w:w="317"/>
        <w:gridCol w:w="317"/>
        <w:gridCol w:w="92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11% for the six months ended June 30, 2026 compared to the six months ended June 30, 2025. Product revenue for the six months ended June 30, 2026 decreased 48% compared to the six months ended June 30, 2025 due to the Hardware Business Transition. Effective April 1, 2026, the Company transitioned from recognizing hardware revenue sales on a gross basis within Product revenue to recognizing net hardware commission revenue as an agent for Ennoconn, reported within Service revenue. Accordingly, the decrease in Product revenue primarily reflects the change in presentation during the second quarter resulting from the Hardware Business Transition. Service revenue for the six months ended June 30, 2026 increased 2% compared to the six months ended June 30, 2025 due to the net hardware commission revenue recognized in the second quarter of 2026 from the Hardware Business Transition, as previously discussed, as well as increases in payments processing revenue, hardware maintenance revenue and software maintenance revenue, offset by a decrease in SaaS solutions and non-recurring installation services revenues as compared to the prior year period. Recurring revenue increased 4% for the six months ended June 30, 2026 compared to the six months ended June 30, 2025 primarily driven by payments processing, hardware maintenance revenues and software license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Gross Margin</w:t>
      </w:r>
    </w:p>
    <w:tbl>
      <w:tblPr>
        <w:tblW w:w="8669"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39"/>
        <w:gridCol w:w="546"/>
        <w:gridCol w:w="123"/>
        <w:gridCol w:w="123"/>
        <w:gridCol w:w="123"/>
        <w:gridCol w:w="123"/>
        <w:gridCol w:w="239"/>
        <w:gridCol w:w="529"/>
        <w:gridCol w:w="123"/>
        <w:gridCol w:w="109"/>
        <w:gridCol w:w="109"/>
        <w:gridCol w:w="109"/>
        <w:gridCol w:w="263"/>
        <w:gridCol w:w="263"/>
        <w:gridCol w:w="350"/>
        <w:gridCol w:w="126"/>
        <w:gridCol w:w="126"/>
        <w:gridCol w:w="126"/>
        <w:gridCol w:w="255"/>
        <w:gridCol w:w="256"/>
        <w:gridCol w:w="315"/>
        <w:gridCol w:w="126"/>
        <w:gridCol w:w="126"/>
        <w:gridCol w:w="126"/>
        <w:gridCol w:w="317"/>
        <w:gridCol w:w="317"/>
        <w:gridCol w:w="9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percentage of revenue is calculated for each line item divided by the related component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G</w:t>
      </w:r>
      <w:r>
        <w:rPr>
          <w:rFonts w:ascii="Times New Roman;serif" w:hAnsi="Times New Roman;serif"/>
          <w:b w:val="false"/>
          <w:color w:val="000000"/>
          <w:sz w:val="20"/>
          <w:shd w:fill="FFFFFF" w:val="clear"/>
        </w:rPr>
        <w:t xml:space="preserve">ross margin as a percentage of revenue in </w:t>
      </w:r>
      <w:r>
        <w:rPr>
          <w:rFonts w:ascii="Times New Roman;serif" w:hAnsi="Times New Roman;serif"/>
          <w:b w:val="false"/>
          <w:color w:val="000000"/>
          <w:sz w:val="20"/>
        </w:rPr>
        <w:t>the three months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29.8%</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22.7%</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three months ended</w:t>
      </w:r>
      <w:r>
        <w:rPr>
          <w:color w:val="000000"/>
          <w:shd w:fill="FFFFFF" w:val="clear"/>
        </w:rPr>
        <w:t xml:space="preserve"> </w:t>
      </w:r>
      <w:r>
        <w:rPr>
          <w:rFonts w:ascii="Times New Roman;serif" w:hAnsi="Times New Roman;serif"/>
          <w:b w:val="false"/>
          <w:color w:val="000000"/>
          <w:sz w:val="20"/>
        </w:rPr>
        <w:t>June 30, 2025. Product gross margin for the three months ended</w:t>
      </w:r>
      <w:r>
        <w:rPr>
          <w:color w:val="000000"/>
          <w:shd w:fill="FFFFFF" w:val="clear"/>
        </w:rPr>
        <w:t xml:space="preserve"> </w:t>
      </w:r>
      <w:r>
        <w:rPr>
          <w:rFonts w:ascii="Times New Roman;serif" w:hAnsi="Times New Roman;serif"/>
          <w:b w:val="false"/>
          <w:color w:val="000000"/>
          <w:sz w:val="20"/>
        </w:rPr>
        <w:t>June 30, 2026 was impacted by the Company’s Hardware Business Transition. Beginning April 1, 2026, the Company transitioned from recognizing hardware revenue sales on a gross basis within Product revenue to recognizing net commission revenue as an agent for Ennoconn within Service revenue. As a result, hardware revenue and the related cost of product revenue were largely excluded from Product gross margin in the 2026 period. The remaining Product gross margin benefited from an improved mix of higher-margin software license revenue compared to the prior-year period. Service gross margin increased due to hardware commission gross margin related to the Hardware Business Transition, as well as increases in hardware maintenance, professional services, software maintenance and payments processing gross margin, offset by declines in gross margin for SaaS solutions and installation services in the three months ended</w:t>
      </w:r>
      <w:r>
        <w:rPr>
          <w:color w:val="000000"/>
          <w:shd w:fill="FFFFFF" w:val="clear"/>
        </w:rPr>
        <w:t xml:space="preserve"> </w:t>
      </w:r>
      <w:r>
        <w:rPr>
          <w:rFonts w:ascii="Times New Roman;serif" w:hAnsi="Times New Roman;serif"/>
          <w:b w:val="false"/>
          <w:color w:val="000000"/>
          <w:sz w:val="20"/>
        </w:rPr>
        <w:t>June 30, 2026 as compared to the three months ended</w:t>
      </w:r>
      <w:r>
        <w:rPr>
          <w:color w:val="000000"/>
          <w:shd w:fill="FFFFFF" w:val="clear"/>
        </w:rPr>
        <w:t xml:space="preserve"> </w:t>
      </w:r>
      <w:r>
        <w:rPr>
          <w:rFonts w:ascii="Times New Roman;serif" w:hAnsi="Times New Roman;serif"/>
          <w:b w:val="false"/>
          <w:color w:val="000000"/>
          <w:sz w:val="20"/>
        </w:rPr>
        <w:t xml:space="preserve">June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685"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18"/>
        <w:gridCol w:w="497"/>
        <w:gridCol w:w="112"/>
        <w:gridCol w:w="112"/>
        <w:gridCol w:w="112"/>
        <w:gridCol w:w="112"/>
        <w:gridCol w:w="218"/>
        <w:gridCol w:w="482"/>
        <w:gridCol w:w="112"/>
        <w:gridCol w:w="109"/>
        <w:gridCol w:w="109"/>
        <w:gridCol w:w="109"/>
        <w:gridCol w:w="262"/>
        <w:gridCol w:w="264"/>
        <w:gridCol w:w="436"/>
        <w:gridCol w:w="158"/>
        <w:gridCol w:w="158"/>
        <w:gridCol w:w="158"/>
        <w:gridCol w:w="255"/>
        <w:gridCol w:w="256"/>
        <w:gridCol w:w="393"/>
        <w:gridCol w:w="109"/>
        <w:gridCol w:w="109"/>
        <w:gridCol w:w="109"/>
        <w:gridCol w:w="317"/>
        <w:gridCol w:w="317"/>
        <w:gridCol w:w="9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G</w:t>
      </w:r>
      <w:r>
        <w:rPr>
          <w:rFonts w:ascii="Times New Roman;serif" w:hAnsi="Times New Roman;serif"/>
          <w:b w:val="false"/>
          <w:color w:val="000000"/>
          <w:sz w:val="20"/>
          <w:shd w:fill="FFFFFF" w:val="clear"/>
        </w:rPr>
        <w:t xml:space="preserve">ross margin as a percentage of revenue in </w:t>
      </w:r>
      <w:r>
        <w:rPr>
          <w:rFonts w:ascii="Times New Roman;serif" w:hAnsi="Times New Roman;serif"/>
          <w:b w:val="false"/>
          <w:color w:val="000000"/>
          <w:sz w:val="20"/>
        </w:rPr>
        <w:t>the six months ended</w:t>
      </w:r>
      <w:r>
        <w:rPr>
          <w:color w:val="000000"/>
          <w:shd w:fill="FFFFFF" w:val="clear"/>
        </w:rPr>
        <w:t xml:space="preserve">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25.3%</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22.3%</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six months ended</w:t>
      </w:r>
      <w:r>
        <w:rPr>
          <w:color w:val="000000"/>
          <w:shd w:fill="FFFFFF" w:val="clear"/>
        </w:rPr>
        <w:t xml:space="preserve"> </w:t>
      </w:r>
      <w:r>
        <w:rPr>
          <w:rFonts w:ascii="Times New Roman;serif" w:hAnsi="Times New Roman;serif"/>
          <w:b w:val="false"/>
          <w:color w:val="000000"/>
          <w:sz w:val="20"/>
        </w:rPr>
        <w:t>June 30, 2025. Product gross margin for the six months ended</w:t>
      </w:r>
      <w:r>
        <w:rPr>
          <w:color w:val="000000"/>
          <w:shd w:fill="FFFFFF" w:val="clear"/>
        </w:rPr>
        <w:t xml:space="preserve"> </w:t>
      </w:r>
      <w:r>
        <w:rPr>
          <w:rFonts w:ascii="Times New Roman;serif" w:hAnsi="Times New Roman;serif"/>
          <w:b w:val="false"/>
          <w:color w:val="000000"/>
          <w:sz w:val="20"/>
        </w:rPr>
        <w:t>June 30, 2026 was impacted by the Company’s Hardware Business Transition. Beginning April 1, 2026, the Company transitioned from recognizing hardware revenue sales on a gross basis within Product revenue to recognizing net commission revenue as an agent for Ennoconn within Service revenue. As a result, hardware revenue and the related cost of product revenue were largely excluded from Product gross margin in the second quarter 2026 period. The remaining Product gross margin benefited from an improved mix of higher-margin software license revenue compared to the prior-year period. Also i</w:t>
      </w:r>
      <w:r>
        <w:rPr>
          <w:rFonts w:ascii="Times New Roman;serif" w:hAnsi="Times New Roman;serif"/>
          <w:b w:val="false"/>
          <w:color w:val="000000"/>
          <w:sz w:val="20"/>
          <w:shd w:fill="FFFFFF" w:val="clear"/>
        </w:rPr>
        <w:t>ncluded in product g</w:t>
      </w:r>
      <w:r>
        <w:rPr>
          <w:rFonts w:ascii="Times New Roman;serif" w:hAnsi="Times New Roman;serif"/>
          <w:b w:val="false"/>
          <w:color w:val="000000"/>
          <w:sz w:val="20"/>
        </w:rPr>
        <w:t>ross margin were strategic initiative costs of $5 million for the six months ended</w:t>
      </w:r>
      <w:r>
        <w:rPr>
          <w:color w:val="000000"/>
          <w:shd w:fill="FFFFFF" w:val="clear"/>
        </w:rPr>
        <w:t xml:space="preserve"> </w:t>
      </w:r>
      <w:r>
        <w:rPr>
          <w:rFonts w:ascii="Times New Roman;serif" w:hAnsi="Times New Roman;serif"/>
          <w:b w:val="false"/>
          <w:color w:val="000000"/>
          <w:sz w:val="20"/>
        </w:rPr>
        <w:t>June 30, 2026 compared to $2 million for the six months ended</w:t>
      </w:r>
      <w:r>
        <w:rPr>
          <w:color w:val="000000"/>
          <w:shd w:fill="FFFFFF" w:val="clear"/>
        </w:rPr>
        <w:t xml:space="preserve"> </w:t>
      </w:r>
      <w:r>
        <w:rPr>
          <w:rFonts w:ascii="Times New Roman;serif" w:hAnsi="Times New Roman;serif"/>
          <w:b w:val="false"/>
          <w:color w:val="000000"/>
          <w:sz w:val="20"/>
        </w:rPr>
        <w:t xml:space="preserve">June 30, 2025. These one-time strategic initiative costs relate to expense incurred for the Hardware Business Transition. Service gross margin increased due to hardware commission gross margin related to the Hardware Business Transition, as well as improved margins for hardware maintenance, professional services, payments processing and software maintenance, offset by declines in gross margin for SaaS solutions and installation services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six months ended</w:t>
      </w:r>
      <w:r>
        <w:rPr>
          <w:color w:val="000000"/>
          <w:shd w:fill="FFFFFF" w:val="clear"/>
        </w:rPr>
        <w:t xml:space="preserve"> </w:t>
      </w:r>
      <w:r>
        <w:rPr>
          <w:rFonts w:ascii="Times New Roman;serif" w:hAnsi="Times New Roman;serif"/>
          <w:b w:val="false"/>
          <w:color w:val="000000"/>
          <w:sz w:val="20"/>
        </w:rPr>
        <w:t xml:space="preserve">June 30, 2026 as compared to the six months ended June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8"/>
        <w:gridCol w:w="1069"/>
        <w:gridCol w:w="1080"/>
        <w:gridCol w:w="109"/>
        <w:gridCol w:w="109"/>
        <w:gridCol w:w="109"/>
        <w:gridCol w:w="234"/>
        <w:gridCol w:w="536"/>
        <w:gridCol w:w="120"/>
        <w:gridCol w:w="120"/>
        <w:gridCol w:w="120"/>
        <w:gridCol w:w="120"/>
        <w:gridCol w:w="234"/>
        <w:gridCol w:w="519"/>
        <w:gridCol w:w="120"/>
        <w:gridCol w:w="109"/>
        <w:gridCol w:w="109"/>
        <w:gridCol w:w="109"/>
        <w:gridCol w:w="263"/>
        <w:gridCol w:w="263"/>
        <w:gridCol w:w="384"/>
        <w:gridCol w:w="138"/>
        <w:gridCol w:w="138"/>
        <w:gridCol w:w="138"/>
        <w:gridCol w:w="255"/>
        <w:gridCol w:w="256"/>
        <w:gridCol w:w="345"/>
        <w:gridCol w:w="138"/>
        <w:gridCol w:w="138"/>
        <w:gridCol w:w="138"/>
        <w:gridCol w:w="295"/>
        <w:gridCol w:w="295"/>
        <w:gridCol w:w="87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Selling, general, and administrative expenses were $112 million in the three months ended June 30, 2026, compared to $105 million in the three months ended</w:t>
      </w:r>
      <w:r>
        <w:rPr>
          <w:color w:val="000000"/>
          <w:shd w:fill="FFFFFF" w:val="clear"/>
        </w:rPr>
        <w:t xml:space="preserve"> </w:t>
      </w:r>
      <w:r>
        <w:rPr>
          <w:rFonts w:ascii="Times New Roman;serif" w:hAnsi="Times New Roman;serif"/>
          <w:b w:val="false"/>
          <w:color w:val="000000"/>
          <w:sz w:val="20"/>
        </w:rPr>
        <w:t>June 30, 2025. As a percentage of revenue, selling, general and administrative expenses were 21.4% and 15.9% in the three months ended June 30, 2026 and 2025, respectively. The increase in selling, general and administrative expenses for the three months ended June 30, 2026 compared to the prior year period is due to an increase in employee related costs during the current period, as well as the impact of the now terminated transition services agreement related to the Digital Banking Sale.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58"/>
        <w:gridCol w:w="1104"/>
        <w:gridCol w:w="1115"/>
        <w:gridCol w:w="109"/>
        <w:gridCol w:w="109"/>
        <w:gridCol w:w="109"/>
        <w:gridCol w:w="217"/>
        <w:gridCol w:w="495"/>
        <w:gridCol w:w="111"/>
        <w:gridCol w:w="111"/>
        <w:gridCol w:w="111"/>
        <w:gridCol w:w="111"/>
        <w:gridCol w:w="217"/>
        <w:gridCol w:w="480"/>
        <w:gridCol w:w="111"/>
        <w:gridCol w:w="109"/>
        <w:gridCol w:w="109"/>
        <w:gridCol w:w="109"/>
        <w:gridCol w:w="263"/>
        <w:gridCol w:w="263"/>
        <w:gridCol w:w="388"/>
        <w:gridCol w:w="140"/>
        <w:gridCol w:w="140"/>
        <w:gridCol w:w="140"/>
        <w:gridCol w:w="255"/>
        <w:gridCol w:w="256"/>
        <w:gridCol w:w="349"/>
        <w:gridCol w:w="140"/>
        <w:gridCol w:w="140"/>
        <w:gridCol w:w="140"/>
        <w:gridCol w:w="302"/>
        <w:gridCol w:w="302"/>
        <w:gridCol w:w="892"/>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$222 million compared to $220 million in the six months ended June 30, 2026 and 2025, respectively. As a percentage of revenue, selling, general and administrative expenses were 19.7% and 17.3% in the six months ended June 30, 2026 and 2025, respectively. The overall increase in selling, general and administrative expenses during the six months ended June 30, 2026 compared to the prior year period is related to an increase in employee related costs during the current period, as well as the impact of the now terminated transition services agreement related to the Digital Banking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before="0" w:after="0"/>
        <w:jc w:val="left"/>
        <w:rPr/>
      </w:pPr>
      <w:r>
        <w:rPr/>
      </w:r>
    </w:p>
    <w:tbl>
      <w:tblPr>
        <w:tblW w:w="10115"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69"/>
        <w:gridCol w:w="480"/>
        <w:gridCol w:w="139"/>
        <w:gridCol w:w="139"/>
        <w:gridCol w:w="139"/>
        <w:gridCol w:w="139"/>
        <w:gridCol w:w="269"/>
        <w:gridCol w:w="460"/>
        <w:gridCol w:w="139"/>
        <w:gridCol w:w="109"/>
        <w:gridCol w:w="109"/>
        <w:gridCol w:w="109"/>
        <w:gridCol w:w="210"/>
        <w:gridCol w:w="211"/>
        <w:gridCol w:w="497"/>
        <w:gridCol w:w="180"/>
        <w:gridCol w:w="180"/>
        <w:gridCol w:w="180"/>
        <w:gridCol w:w="203"/>
        <w:gridCol w:w="203"/>
        <w:gridCol w:w="447"/>
        <w:gridCol w:w="109"/>
        <w:gridCol w:w="109"/>
        <w:gridCol w:w="109"/>
        <w:gridCol w:w="317"/>
        <w:gridCol w:w="317"/>
        <w:gridCol w:w="92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Research and development expenses were $30 million in the three months ended June 30, 2026, compared to $32 million in the three months ended</w:t>
      </w:r>
      <w:r>
        <w:rPr>
          <w:color w:val="000000"/>
          <w:shd w:fill="FFFFFF" w:val="clear"/>
        </w:rPr>
        <w:t xml:space="preserve"> </w:t>
      </w:r>
      <w:r>
        <w:rPr>
          <w:rFonts w:ascii="Times New Roman;serif" w:hAnsi="Times New Roman;serif"/>
          <w:b w:val="false"/>
          <w:color w:val="000000"/>
          <w:sz w:val="20"/>
        </w:rPr>
        <w:t xml:space="preserve">June 30, 2025. As a percentage of revenue, research and development costs were 5.7% and 4.8% in the three months ended June 30, 2026 and 2025, respectively. Research and development expenses in the three months ended June 30, 2026 have decreased compared to the prior year period due to cost reduction initiatives implemented during the period, including the use of artificial intelligence as a software development tool.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29"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45"/>
        <w:gridCol w:w="437"/>
        <w:gridCol w:w="126"/>
        <w:gridCol w:w="126"/>
        <w:gridCol w:w="126"/>
        <w:gridCol w:w="126"/>
        <w:gridCol w:w="245"/>
        <w:gridCol w:w="419"/>
        <w:gridCol w:w="126"/>
        <w:gridCol w:w="109"/>
        <w:gridCol w:w="109"/>
        <w:gridCol w:w="109"/>
        <w:gridCol w:w="210"/>
        <w:gridCol w:w="211"/>
        <w:gridCol w:w="399"/>
        <w:gridCol w:w="144"/>
        <w:gridCol w:w="144"/>
        <w:gridCol w:w="144"/>
        <w:gridCol w:w="203"/>
        <w:gridCol w:w="203"/>
        <w:gridCol w:w="359"/>
        <w:gridCol w:w="144"/>
        <w:gridCol w:w="144"/>
        <w:gridCol w:w="144"/>
        <w:gridCol w:w="317"/>
        <w:gridCol w:w="317"/>
        <w:gridCol w:w="92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$69 million compared to $72 million in the six months ended June 30, 2026 and 2025, respectively. As a percentage of revenue, these costs were 6.1% and 5.7% in the six months ended June 30, 2026 and 2025, respectively. The overall decrease in research and development expenses in the six months ended June 30, 2026 compared to the prior year period is due to cost reduction initiatives implemented during the year, including the use of artificial intelligence as a software development tool.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tbl>
      <w:tblPr>
        <w:tblW w:w="5812"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69"/>
        <w:gridCol w:w="480"/>
        <w:gridCol w:w="139"/>
        <w:gridCol w:w="139"/>
        <w:gridCol w:w="139"/>
        <w:gridCol w:w="139"/>
        <w:gridCol w:w="269"/>
        <w:gridCol w:w="460"/>
        <w:gridCol w:w="139"/>
        <w:gridCol w:w="109"/>
        <w:gridCol w:w="109"/>
        <w:gridCol w:w="109"/>
        <w:gridCol w:w="317"/>
        <w:gridCol w:w="317"/>
        <w:gridCol w:w="92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$15 million and $14 million for the three months ended June 30, 2026 and 2025, respectively. Interest expense is primarily related to our senior unsecured notes and borrowings under the Senior Secured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15"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45"/>
        <w:gridCol w:w="437"/>
        <w:gridCol w:w="126"/>
        <w:gridCol w:w="126"/>
        <w:gridCol w:w="126"/>
        <w:gridCol w:w="126"/>
        <w:gridCol w:w="245"/>
        <w:gridCol w:w="419"/>
        <w:gridCol w:w="126"/>
        <w:gridCol w:w="109"/>
        <w:gridCol w:w="109"/>
        <w:gridCol w:w="109"/>
        <w:gridCol w:w="317"/>
        <w:gridCol w:w="317"/>
        <w:gridCol w:w="92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$30 million compared to $29 million for the six months ended June 30, 2026 and 2025, respectively. Interest expense is primarily related to our senior unsecured notes and borrowings under the Senior Secured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 net was expense of $1 million and $3 million for the three months ended June 30, 2026 and 2025, respectively, and expense of $8 million and income of $5 million for the six months ended June 30, 2026 and 2025, respectively, with the components reflected in the following table:</w:t>
      </w:r>
    </w:p>
    <w:tbl>
      <w:tblPr>
        <w:tblW w:w="9949" w:type="dxa"/>
        <w:jc w:val="left"/>
        <w:tblInd w:w="0" w:type="dxa"/>
        <w:tblLayout w:type="fixed"/>
        <w:tblCellMar>
          <w:top w:w="28" w:type="dxa"/>
          <w:left w:w="28" w:type="dxa"/>
          <w:bottom w:w="28" w:type="dxa"/>
          <w:right w:w="28" w:type="dxa"/>
        </w:tblCellMar>
      </w:tblPr>
      <w:tblGrid>
        <w:gridCol w:w="1847"/>
        <w:gridCol w:w="1623"/>
        <w:gridCol w:w="1630"/>
        <w:gridCol w:w="109"/>
        <w:gridCol w:w="109"/>
        <w:gridCol w:w="109"/>
        <w:gridCol w:w="281"/>
        <w:gridCol w:w="442"/>
        <w:gridCol w:w="145"/>
        <w:gridCol w:w="145"/>
        <w:gridCol w:w="145"/>
        <w:gridCol w:w="145"/>
        <w:gridCol w:w="281"/>
        <w:gridCol w:w="442"/>
        <w:gridCol w:w="145"/>
        <w:gridCol w:w="109"/>
        <w:gridCol w:w="109"/>
        <w:gridCol w:w="109"/>
        <w:gridCol w:w="267"/>
        <w:gridCol w:w="419"/>
        <w:gridCol w:w="138"/>
        <w:gridCol w:w="138"/>
        <w:gridCol w:w="138"/>
        <w:gridCol w:w="138"/>
        <w:gridCol w:w="267"/>
        <w:gridCol w:w="324"/>
        <w:gridCol w:w="195"/>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fluctuations and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Other, net for the three and six months ended June 30, 2026 are strategic initiative costs of $3 million and $15 million, respectively, related to the Hardware Business Transition. Additionally, included in Other, net for the three and six months ended June 30, 2026 is income related to the sale of IP addresses of $3 million and $6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w:t>
      </w:r>
    </w:p>
    <w:tbl>
      <w:tblPr>
        <w:tblW w:w="7306"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281"/>
        <w:gridCol w:w="442"/>
        <w:gridCol w:w="145"/>
        <w:gridCol w:w="145"/>
        <w:gridCol w:w="145"/>
        <w:gridCol w:w="145"/>
        <w:gridCol w:w="281"/>
        <w:gridCol w:w="442"/>
        <w:gridCol w:w="145"/>
        <w:gridCol w:w="109"/>
        <w:gridCol w:w="109"/>
        <w:gridCol w:w="109"/>
        <w:gridCol w:w="226"/>
        <w:gridCol w:w="468"/>
        <w:gridCol w:w="117"/>
        <w:gridCol w:w="117"/>
        <w:gridCol w:w="117"/>
        <w:gridCol w:w="117"/>
        <w:gridCol w:w="226"/>
        <w:gridCol w:w="468"/>
        <w:gridCol w:w="165"/>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provisions for interim (quarterly) periods are based on an estimated annual effective income tax rate calculated separately from the effect of significant, infrequent, or unusual items. Income tax benefit from continuing operations was $1 million for the three months ended June 30, 2026 compared to an income tax benefit of $4 million for the three months ended June 30, 2025. The decrease in the income tax benefit was primarily driven by an unfavorable change in discrete tax expenses and benefits for the three months ended June 30, 2026 compared to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was $40 million for the six months ended June 30, 2026 compared to an income tax benefit of $11 million for the six months ended June 30, 2025. The increase in the income tax benefit was primarily driven by changes to the estimated full-year valuation allowance and withholding taxes, changes in the geographic earnings mix, and a higher loss from continuing operations before taxes for the six months ended June 30, 2026. These benefits were partially offset by an unfavorable change in discrete tax expenses and benefits for the six months ended June 30, 2026 compared to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(Loss) from Discontinued Operations</w:t>
      </w:r>
    </w:p>
    <w:tbl>
      <w:tblPr>
        <w:tblW w:w="9331" w:type="dxa"/>
        <w:jc w:val="left"/>
        <w:tblInd w:w="0" w:type="dxa"/>
        <w:tblLayout w:type="fixed"/>
        <w:tblCellMar>
          <w:top w:w="28" w:type="dxa"/>
          <w:left w:w="28" w:type="dxa"/>
          <w:bottom w:w="28" w:type="dxa"/>
          <w:right w:w="28" w:type="dxa"/>
        </w:tblCellMar>
      </w:tblPr>
      <w:tblGrid>
        <w:gridCol w:w="1622"/>
        <w:gridCol w:w="1425"/>
        <w:gridCol w:w="1437"/>
        <w:gridCol w:w="109"/>
        <w:gridCol w:w="109"/>
        <w:gridCol w:w="109"/>
        <w:gridCol w:w="279"/>
        <w:gridCol w:w="358"/>
        <w:gridCol w:w="144"/>
        <w:gridCol w:w="144"/>
        <w:gridCol w:w="144"/>
        <w:gridCol w:w="144"/>
        <w:gridCol w:w="279"/>
        <w:gridCol w:w="537"/>
        <w:gridCol w:w="144"/>
        <w:gridCol w:w="109"/>
        <w:gridCol w:w="109"/>
        <w:gridCol w:w="109"/>
        <w:gridCol w:w="255"/>
        <w:gridCol w:w="491"/>
        <w:gridCol w:w="131"/>
        <w:gridCol w:w="131"/>
        <w:gridCol w:w="131"/>
        <w:gridCol w:w="131"/>
        <w:gridCol w:w="255"/>
        <w:gridCol w:w="309"/>
        <w:gridCol w:w="186"/>
      </w:tblGrid>
      <w:tr>
        <w:trPr/>
        <w:tc>
          <w:tcPr>
            <w:tcW w:w="16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from discontinued operations, net of tax, of $3 million for the three months ended June 30, 2026, consisting of $1 million of income from discontinued operations related to the sale of the Japan Bank Technology Solutions business and $2 million of income from discontinued operations related to the Company’s environmental remediation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no income or loss from discontinued operations, net of tax, for the three months ended June 30, 2025, consisting of $1 million of income related to the sale of the Japan Bank Technology Solutions business and $1 million of loss from discontinued operations related to the Company’s environmental remediation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no income or loss from discontinued operations, net of tax, for the six months ended June 30, 2026, consisting of $1 million of loss from from discontinued operations related to the sale of the Japan Bank Technology Solutions business and $1 million of income from discontinued operations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from discontinued operations, net of tax, of $4 million for the six months ended June 30, 2025, consisting of $2 million of income related to the sale of the Japan Bank Technology Solutions business and $2 million of income from discontinued operations related to the Company’s environmental remediation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2, “Discontinued Operations” of the Notes to Condensed Consolidated Financial Statements,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and Adjusted EBITDA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manages and reports its businesses in the following two segments: Retail and Restaurants.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income and expenses related to corporate functions that are not specifically attributable to any of our two individual reportable segments along with certain non-strategic businesses that are considered immaterial operating segment(s) and commercial agreements with NCR Atleos.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our segment revenue and Adjusted EBITDA for the three and six months ended June 30, the relative percentage that those amounts represent to segment revenue, and the change in those amounts year-over-year. </w:t>
      </w:r>
    </w:p>
    <w:p>
      <w:pPr>
        <w:pStyle w:val="TextBody"/>
        <w:bidi w:val="0"/>
        <w:spacing w:before="0" w:after="0"/>
        <w:jc w:val="left"/>
        <w:rPr/>
      </w:pPr>
      <w:r>
        <w:rPr/>
      </w:r>
    </w:p>
    <w:tbl>
      <w:tblPr>
        <w:tblW w:w="10147" w:type="dxa"/>
        <w:jc w:val="left"/>
        <w:tblInd w:w="0" w:type="dxa"/>
        <w:tblLayout w:type="fixed"/>
        <w:tblCellMar>
          <w:top w:w="28" w:type="dxa"/>
          <w:left w:w="28" w:type="dxa"/>
          <w:bottom w:w="28" w:type="dxa"/>
          <w:right w:w="28" w:type="dxa"/>
        </w:tblCellMar>
      </w:tblPr>
      <w:tblGrid>
        <w:gridCol w:w="999"/>
        <w:gridCol w:w="879"/>
        <w:gridCol w:w="792"/>
        <w:gridCol w:w="109"/>
        <w:gridCol w:w="109"/>
        <w:gridCol w:w="109"/>
        <w:gridCol w:w="239"/>
        <w:gridCol w:w="546"/>
        <w:gridCol w:w="123"/>
        <w:gridCol w:w="123"/>
        <w:gridCol w:w="123"/>
        <w:gridCol w:w="123"/>
        <w:gridCol w:w="239"/>
        <w:gridCol w:w="529"/>
        <w:gridCol w:w="123"/>
        <w:gridCol w:w="109"/>
        <w:gridCol w:w="109"/>
        <w:gridCol w:w="109"/>
        <w:gridCol w:w="315"/>
        <w:gridCol w:w="316"/>
        <w:gridCol w:w="436"/>
        <w:gridCol w:w="158"/>
        <w:gridCol w:w="158"/>
        <w:gridCol w:w="158"/>
        <w:gridCol w:w="307"/>
        <w:gridCol w:w="309"/>
        <w:gridCol w:w="393"/>
        <w:gridCol w:w="109"/>
        <w:gridCol w:w="109"/>
        <w:gridCol w:w="109"/>
        <w:gridCol w:w="336"/>
        <w:gridCol w:w="336"/>
        <w:gridCol w:w="843"/>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percentage of revenue is calculated for each line item divided by total revenue, except for Adjusted EBITDA, which are divided by the related component of revenue.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both"/>
        <w:rPr/>
      </w:pPr>
      <w:r>
        <w:rPr/>
      </w:r>
    </w:p>
    <w:tbl>
      <w:tblPr>
        <w:tblW w:w="10084" w:type="dxa"/>
        <w:jc w:val="left"/>
        <w:tblInd w:w="0" w:type="dxa"/>
        <w:tblLayout w:type="fixed"/>
        <w:tblCellMar>
          <w:top w:w="28" w:type="dxa"/>
          <w:left w:w="28" w:type="dxa"/>
          <w:bottom w:w="28" w:type="dxa"/>
          <w:right w:w="28" w:type="dxa"/>
        </w:tblCellMar>
      </w:tblPr>
      <w:tblGrid>
        <w:gridCol w:w="999"/>
        <w:gridCol w:w="879"/>
        <w:gridCol w:w="792"/>
        <w:gridCol w:w="109"/>
        <w:gridCol w:w="109"/>
        <w:gridCol w:w="109"/>
        <w:gridCol w:w="211"/>
        <w:gridCol w:w="631"/>
        <w:gridCol w:w="109"/>
        <w:gridCol w:w="109"/>
        <w:gridCol w:w="109"/>
        <w:gridCol w:w="109"/>
        <w:gridCol w:w="211"/>
        <w:gridCol w:w="616"/>
        <w:gridCol w:w="109"/>
        <w:gridCol w:w="109"/>
        <w:gridCol w:w="109"/>
        <w:gridCol w:w="109"/>
        <w:gridCol w:w="315"/>
        <w:gridCol w:w="316"/>
        <w:gridCol w:w="436"/>
        <w:gridCol w:w="158"/>
        <w:gridCol w:w="158"/>
        <w:gridCol w:w="158"/>
        <w:gridCol w:w="307"/>
        <w:gridCol w:w="309"/>
        <w:gridCol w:w="393"/>
        <w:gridCol w:w="109"/>
        <w:gridCol w:w="109"/>
        <w:gridCol w:w="109"/>
        <w:gridCol w:w="336"/>
        <w:gridCol w:w="336"/>
        <w:gridCol w:w="843"/>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Percentage of Revenue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70.2</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percentage of revenue is calculated for each line item divided by total revenue, except for Adjusted EBITDA, which are divided by the related component of revenue.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revenue decreased 20% and 9% for the three and six months ended June 30, 2026, respectively, compared to the prior year periods.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non-recurring installation service revenues, offset by an increase in payment processing, software license, software maintenance, hardware maintenance and professional services revenues. Retail recurring revenue grew by 6% when comparing both the three and six months ended June 30, 2026 to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Restaurants revenue decreased 23% and 15% for the three and six months ended June 30, 2026, respectively, compared to the prior year periods. The decrease in revenue was primarily attributable to the Company’s Hardware Business Transition. As previously disclosed, effective April 1, 2026, the Company transitioned from recognizing hardware sales on a gross basis to recognizing net commission revenue as an agent for Ennoconn. The decrease in revenue was also due to a decline in SaaS solutions, software license, software maintenance and non-recurring installation service revenues. These decreases in revenue were partially offset by an increase in hardware maintenance and payment processing revenues, as well as the new net hardware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commission revenue recognized in the second quarter of 2026. Restaurants recurring revenue was flat when comparing the six months ended June 30, 2026 to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Segment Adjusted EBITDA</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Adjusted EBITDA increased 20% for both the three and six months ended June 30, 2026 compared to the prior year periods, mainly due to a favorable software revenue mix and the Company’s cost reduction initiatives implemented during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Restaurants Adjusted EBITDA decreased 15% and 12% for the three and six months ended June 30, 2026, respectively, compared to the prior year periods, due to the decrease in revenue,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liquidity needs in the ordinary course of business are: (i) normal operating expenses; (ii) interest and principal requirements of our outstanding indebtedness; (iii) capital expenditures and lease payments; (iv) remediation payments related to environmental matters; (v) pension and postemployment plan contributions; and (vi) transformation and restructuring initiatives. We believe these needs will be satisfied in both the short and long term based on our current cash position, cash flows generated by our operations, and existing financing arrangements.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totaled $237 million and our total debt was $1.1 billion. Our borrowing capacity under our senior secured credit facilities was $474 million as of June 30, 2026.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operating activities, investing activities and financing activities for both of the six months ended June 30, 2026 and 2025. The Consolidated Statements of Cash Flows include the results of continuing and discontinued operations.</w:t>
      </w:r>
    </w:p>
    <w:tbl>
      <w:tblPr>
        <w:tblW w:w="6235" w:type="dxa"/>
        <w:jc w:val="left"/>
        <w:tblInd w:w="0" w:type="dxa"/>
        <w:tblLayout w:type="fixed"/>
        <w:tblCellMar>
          <w:top w:w="28" w:type="dxa"/>
          <w:left w:w="28" w:type="dxa"/>
          <w:bottom w:w="28" w:type="dxa"/>
          <w:right w:w="28" w:type="dxa"/>
        </w:tblCellMar>
      </w:tblPr>
      <w:tblGrid>
        <w:gridCol w:w="1524"/>
        <w:gridCol w:w="1340"/>
        <w:gridCol w:w="1350"/>
        <w:gridCol w:w="221"/>
        <w:gridCol w:w="394"/>
        <w:gridCol w:w="114"/>
        <w:gridCol w:w="114"/>
        <w:gridCol w:w="114"/>
        <w:gridCol w:w="114"/>
        <w:gridCol w:w="221"/>
        <w:gridCol w:w="568"/>
        <w:gridCol w:w="161"/>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Operating Activities </w:t>
      </w:r>
      <w:r>
        <w:rPr>
          <w:rFonts w:ascii="Times New Roman;serif" w:hAnsi="Times New Roman;serif"/>
          <w:b w:val="false"/>
          <w:color w:val="000000"/>
          <w:sz w:val="20"/>
        </w:rPr>
        <w:t>Cash provided by operating activities was $59 million in the six months ended June 30, 2026, compared to cash used in operating activities of $284 million in the six months ended June 30, 2025. The increase in cash provided by operating activities was driven by the payment of taxes related to the Digital Banking Sale of $284 million during the three months ended June 30, 2025, as well as movement in the net working capital accounts.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Capital Expenditures and Other Investing Activities </w:t>
      </w:r>
      <w:r>
        <w:rPr>
          <w:rFonts w:ascii="Times New Roman;serif" w:hAnsi="Times New Roman;serif"/>
          <w:b w:val="false"/>
          <w:color w:val="000000"/>
          <w:sz w:val="20"/>
        </w:rPr>
        <w:t>Our principal capital expenditures are for software (purchased and internally developed) and additions to property and equipment. We invested approximately $77 million and $81 million in capital expenditures during the six months ended June 30, 2026 and 2025, respectively. We expect to continue investing in property and equipment, purchased software and internally developed software to support our business. Additionally, $67 million of cash was collected on the non-operating receivables with Ennoconn from the Hardware Business Transition during the six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xml:space="preserve">Cash used in financing activities was $39 million in the six months ended June 30, 2026, compared to cash used in financing activities of $86 million in the six months ended June 30, 2025. During the six months ended June 30, 2026, the Company repurchased $20 million under our share repurchase program, compared to $69 million in the six months ended June 30, 2025. Additional financing activities included dividends paid on the Series A preferred stock, proceeds from employee stock plans as well as payments made for share repurchases and tax withholding payments on behalf of employees for stock based awards that vested. Financing activities also includes borrowings and repayments under our senior secured credit facilities as well as our unsecured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or used in operating activities of discontinued operations related to the Japan bank technology solutions business was cash provided by operating activities of $1 million and $5 million for the six months ended June 30, 2026 and 2025, respectively. Net cash provided by or used in operating activities of discontinued operations related to environmental obligations was cash used in operating activities of $7 million and $11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free cash flow </w:t>
      </w:r>
      <w:r>
        <w:rPr>
          <w:rFonts w:ascii="Times New Roman;serif" w:hAnsi="Times New Roman;serif"/>
          <w:b w:val="false"/>
          <w:color w:val="000000"/>
          <w:sz w:val="20"/>
        </w:rPr>
        <w:t>NCR Voyix management uses a non-GAAP measure called “adjusted free cash flow-unrestricted” to assess the financial performance of the Company. We define adjusted free cash flow-unrestricted within the section titled “Non-GAAP Financial Measures and Use of Certain Terms” in Item 2 of this Form 10-Q. The table below reconciles net cash provided by operating activities to NCR Voyix’s non-GAAP measure of adjusted free cash flow-unrestricted for the six months ended June 30, 2026:</w:t>
      </w:r>
    </w:p>
    <w:tbl>
      <w:tblPr>
        <w:tblW w:w="8159" w:type="dxa"/>
        <w:jc w:val="left"/>
        <w:tblInd w:w="0" w:type="dxa"/>
        <w:tblLayout w:type="fixed"/>
        <w:tblCellMar>
          <w:top w:w="28" w:type="dxa"/>
          <w:left w:w="28" w:type="dxa"/>
          <w:bottom w:w="28" w:type="dxa"/>
          <w:right w:w="28" w:type="dxa"/>
        </w:tblCellMar>
      </w:tblPr>
      <w:tblGrid>
        <w:gridCol w:w="1898"/>
        <w:gridCol w:w="1670"/>
        <w:gridCol w:w="1681"/>
        <w:gridCol w:w="736"/>
        <w:gridCol w:w="1313"/>
        <w:gridCol w:w="380"/>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(GAAP)</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settlement activity</w:t>
            </w:r>
          </w:p>
        </w:tc>
        <w:tc>
          <w:tcPr>
            <w:tcW w:w="2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on purchased trade receivables</w:t>
            </w:r>
          </w:p>
        </w:tc>
        <w:tc>
          <w:tcPr>
            <w:tcW w:w="2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activity related to environmental discontinued operations</w:t>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on non-operating receivables</w:t>
            </w:r>
          </w:p>
        </w:tc>
        <w:tc>
          <w:tcPr>
            <w:tcW w:w="2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flow-unrestricted (non-GAAP)</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Long Term Borrowings</w:t>
      </w:r>
      <w:r>
        <w:rPr>
          <w:color w:val="000000"/>
        </w:rPr>
        <w:t xml:space="preserve"> </w:t>
      </w:r>
      <w:r>
        <w:rPr>
          <w:rFonts w:ascii="Times New Roman;serif" w:hAnsi="Times New Roman;serif"/>
          <w:b w:val="false"/>
          <w:color w:val="000000"/>
          <w:sz w:val="20"/>
        </w:rPr>
        <w:t>The senior secured credit facilities include a term loan facility in an initial aggregate principal amount of $200 million, of which the Company repaid in full as of June 30, 2026. Additionally, the senior secured credit facilities include a five-year revolving credit facility with an aggregate principal amount of $500 million, of which zero was outstanding as of June 30, 2026. The revolving credit facility also contains a sub-facility to be used for letters of credit, and as of June 30, 2026, there were $26 million letters of credit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outstanding $650 million aggregate principal balance of 5.000% senior unsecured notes due in 2028, $403 million in aggregate principal balance of 5.125% senior unsecured notes due in 2029 and $52 million in aggregate principal balance of 5.250% senior unsecured notes due in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5, “Debt Obligations”, of the Notes to Condensed Consolidated Financial Statements, for additional information regarding debt transactions.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Employee Benefit Plans </w:t>
      </w:r>
      <w:r>
        <w:rPr>
          <w:rFonts w:ascii="Times New Roman;serif" w:hAnsi="Times New Roman;serif"/>
          <w:b w:val="false"/>
          <w:color w:val="000000"/>
          <w:sz w:val="20"/>
        </w:rPr>
        <w:t xml:space="preserve">In 2026, we expect to make contributions of $12 million to our international pension plans and $23 million to our postemployment plan. For additional information, refer to Note 8, “Employee Benefit Plans”, of the Notes to Condensed Consolidated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Series A Convertible Preferred Stock</w:t>
      </w:r>
      <w:r>
        <w:rPr>
          <w:color w:val="000000"/>
        </w:rPr>
        <w:t xml:space="preserve"> </w:t>
      </w:r>
      <w:r>
        <w:rPr>
          <w:rFonts w:ascii="Times New Roman;serif" w:hAnsi="Times New Roman;serif"/>
          <w:b w:val="false"/>
          <w:color w:val="000000"/>
          <w:sz w:val="20"/>
        </w:rPr>
        <w:t xml:space="preserve">As of June 30, 2026, the redemption value of the Series A Preferred Stock was approximately $207 million. Holders of Series A Convertible Preferred Stock are entitled to a cumulative dividend at the rate of 5.5% per annum, payable quarterly in arrears. Beginning in the first quarter of 2020, dividends are payable in cash or in-kind at the option of the Company. </w:t>
      </w:r>
      <w:r>
        <w:rPr>
          <w:rFonts w:ascii="Times New Roman;serif" w:hAnsi="Times New Roman;serif"/>
          <w:b w:val="false"/>
          <w:color w:val="000000"/>
          <w:sz w:val="20"/>
          <w:shd w:fill="FFFFFF" w:val="clear"/>
        </w:rPr>
        <w:t xml:space="preserve">During the three months ended June 30, 2026 and 2025, the Company paid cash dividends of </w:t>
      </w:r>
      <w:r>
        <w:rPr>
          <w:rFonts w:ascii="Times New Roman;serif" w:hAnsi="Times New Roman;serif"/>
          <w:b w:val="false"/>
          <w:color w:val="000000"/>
          <w:sz w:val="20"/>
        </w:rPr>
        <w:t xml:space="preserve">$3 million and $4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June 30, 2026, the maximum number of common shares that could be required to be issued upon conversion of the outstanding shares of the Series A Convertible Preferred Stock was 11.9 million shares, which would represent approximately 10% of our outstanding common stock as of June 30, 2026, including the preferred shares on an as-converted basis.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 xml:space="preserve">Cash and Cash Equivalents Held by Foreign Subsidiaries </w:t>
      </w:r>
      <w:r>
        <w:rPr>
          <w:rFonts w:ascii="Times New Roman;serif" w:hAnsi="Times New Roman;serif"/>
          <w:b w:val="false"/>
          <w:color w:val="000000"/>
          <w:sz w:val="20"/>
        </w:rPr>
        <w:t>Cash and cash equivalents held by the Company’s foreign subsidiaries at June 30, 2026 and December 31, 2025 were $115 million</w:t>
      </w:r>
      <w:r>
        <w:rPr>
          <w:color w:val="000000"/>
          <w:shd w:fill="FFFFFF" w:val="clear"/>
        </w:rPr>
        <w:t xml:space="preserve"> </w:t>
      </w:r>
      <w:r>
        <w:rPr>
          <w:rFonts w:ascii="Times New Roman;serif" w:hAnsi="Times New Roman;serif"/>
          <w:b w:val="false"/>
          <w:color w:val="000000"/>
          <w:sz w:val="20"/>
        </w:rPr>
        <w:t>and $120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Summary </w:t>
      </w:r>
      <w:r>
        <w:rPr>
          <w:rFonts w:ascii="Times New Roman;serif" w:hAnsi="Times New Roman;serif"/>
          <w:b w:val="false"/>
          <w:color w:val="000000"/>
          <w:sz w:val="20"/>
        </w:rPr>
        <w:t>As of June 30, 2026, our cash and cash equivalents totaled $237 million and our total debt was $1.1 billion, excluding deferred fees. As of June 30, 2026, our borrowing capacity under the revolving credit facility was approximately $474 million. Our ability to generate positive cash flows from operations is dependent on general economic conditions, the competitive environment in our industry, and is subject to the business and other risk factors described in Item 1A of Part I of the Company’s 2025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June 30, 2027) to meet our material cash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Material Cash Requirements from Contractual and Other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contractual and other commercial obligations as described in our Form 10-K for the year ended December 31, 2025. </w:t>
      </w:r>
    </w:p>
    <w:p>
      <w:pPr>
        <w:pStyle w:val="TextBody"/>
        <w:bidi w:val="0"/>
        <w:spacing w:lineRule="auto" w:line="288" w:before="18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Critical Accounting Policies and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2025 Form 10-K. </w:t>
      </w:r>
    </w:p>
    <w:p>
      <w:pPr>
        <w:pStyle w:val="TextBody"/>
        <w:bidi w:val="0"/>
        <w:spacing w:lineRule="auto" w:line="288" w:before="18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New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discussion in Note 1, “Basis of Presentation and Summary of Significant Accounting Policies”, of the Notes to Condensed Consolidated Financial Statements for new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contains “forward-looking statements” within the meaning of the Private Securities Litigation Reform Act of 1995 (the “Act”), Section 27A of the Securities Act of 1933, and Section 21E of the Securities Exchange Act of 1934 (the “Exchange Act”). Forward-looking statements may appear throughout this Quarterly Report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Quarterly Report include, without limitation, statements regarding: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expected benefits resulting from the Hardware Business Transition; the estimated or anticipated future results and benefits of the Company’s plans and operations; the expected timing for the closing of the Japan bank technology solutions sale; the Company’s expectations of demand for its solutions and service offerings;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potential indemnification obligations to NCR Atleos or a refusal of NCR Atleos to indemnify us pursuant to agreements executed in the spin-off; our ability to protect our systems and data from cybersecurity threats (including artificial intelligence) or other technological risks; risks related to evolving global laws and regulations relating to data privacy, data protection and information security; our ability to protect our intellectual property;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of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may employ derivatives according to documented policies and procedures, including foreign currency contracts and interest rate swaps. We do not use derivatives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Exchange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Since a portion of our operations and revenue occur outside the United States, and in currencies other than the U.S. Dollar, our results can be significantly impacted by changes in foreign currency exchange rates. We have exposure to approximately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 xml:space="preserve">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less than </w:t>
      </w:r>
      <w:r>
        <w:rPr>
          <w:rFonts w:ascii="Times New Roman;serif" w:hAnsi="Times New Roman;serif"/>
          <w:b w:val="false"/>
          <w:color w:val="000000"/>
          <w:sz w:val="20"/>
        </w:rPr>
        <w:t>$21 million</w:t>
      </w:r>
      <w:r>
        <w:rPr>
          <w:color w:val="000000"/>
          <w:shd w:fill="FFFFFF" w:val="clear"/>
        </w:rPr>
        <w:t xml:space="preserve"> </w:t>
      </w:r>
      <w:r>
        <w:rPr>
          <w:rFonts w:ascii="Times New Roman;serif" w:hAnsi="Times New Roman;serif"/>
          <w:b w:val="false"/>
          <w:color w:val="000000"/>
          <w:sz w:val="20"/>
          <w:shd w:fill="FFFFFF" w:val="clear"/>
        </w:rPr>
        <w:t xml:space="preserve">as of June 30, 2026. A 10% depreciation in the value of the U.S. Dollar against foreign currencies from the prevailing market rates would have resulted in a corresponding increase in the fair value of the hedge portfolio of </w:t>
      </w:r>
      <w:r>
        <w:rPr>
          <w:rFonts w:ascii="Times New Roman;serif" w:hAnsi="Times New Roman;serif"/>
          <w:b w:val="false"/>
          <w:color w:val="000000"/>
          <w:sz w:val="20"/>
        </w:rPr>
        <w:t xml:space="preserve">$23 million </w:t>
      </w:r>
      <w:r>
        <w:rPr>
          <w:rFonts w:ascii="Times New Roman;serif" w:hAnsi="Times New Roman;serif"/>
          <w:b w:val="false"/>
          <w:color w:val="000000"/>
          <w:sz w:val="20"/>
          <w:shd w:fill="FFFFFF" w:val="clear"/>
        </w:rPr>
        <w:t>as of June 30, 2026. The Company expects that any increase or decrease in the fair value of the portfolio would be substantially offset by increases or decreases in the underlying exposures being hedged.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Dollar was weaker in the second quarter of 2026 compared to the second quarter of 2025 based on comparable weighted averages for our functional currencies. This excludes the effects of our hedging activities and, therefore, does not reflect the actual impact of fluctuations in exchange rates on our operating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Approximately 100% of our borrowings were on a fixed rate basis as of June 30, 2026 </w:t>
      </w:r>
      <w:r>
        <w:rPr>
          <w:rFonts w:ascii="Times New Roman;serif" w:hAnsi="Times New Roman;serif"/>
          <w:b w:val="false"/>
          <w:color w:val="000000"/>
          <w:sz w:val="20"/>
        </w:rPr>
        <w:t xml:space="preserve">and we did not have any outstanding interest rate derivative contracts as of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We are subject to interest rate risk related to variable-rate debt when we borrow from our Revolving Credit Facility. As of June 30, 2026 and December 31, 2025, we had no borrowings under the facility.</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12, “Derivatives and Hedging Instruments”,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Concentrations of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ability of our customers to pay their obligations on a timely basis. We believe that the reserves for potential losses are adequate. As of June 30, 2026, we did not have any significant concentration of credit risk related to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June 30, 2026. Based on this evaluation, the Company’s Chief Executive and Chief Financial Officers have concluded that the Company’s disclosure controls and procedures were effective as of June 30, 2026 to provide reasonable assurance that the information required to be disclosed by the Company in reports that it files or submits under the Exchange Act is (i) recorded, processed, summarized and reported within the time periods specified in the SEC rules and forms and (ii) accumulated and communicated to management, including the Company’s Chief Executive and Chief Financial Officers, as appropriate, to allow timely decisions regarding required disclosure.</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three months ended June 30, 2026 that have materially affected, or are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9, “Commitments and Contingencies”, of the Notes to Condensed Consolidated Financial Statements in this quarterly report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you should carefully consider the risk factors and other cautionary statements described under Part I, Item 1A. “Risk Factors” in the Company’s 2025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2025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May 2025, the Board approved an amended and restated share repurchase program (the “Repurchase Program”), with no expiration from the date of authorization, that provided for a total aggregate repurchase authority of $200 million, to repurchase shares of the Company’s common stock and Series A preferred stock. Taking into account prior repurchases under the Repurchase Program, on February 12, 2026, the Board amended the Repurchase Program to add an incremental $178 million of repurchase authority under the program, which brought the total remaining aggregate repurchase authority under the program at the time to $300 million.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Repurchase Program had an existing aggregate remaining repurchase authority of $280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utilize the Repurchase Program from time to time to opportunistically repurchase common stock and Series A preferred stock based on varying factors. The timing and amount of repurchases under the Repurchase Program will depend upon varying factors, including stock price, the Company’s performance, market conditions and other possible uses of cash. Repurchases under the Repurchase Program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2026 Stock Incentive Plan and 2017 Stock Incentive Plan allow shares to be surrendered to the Company to satisfy tax withholding obligations associated with the vesting of restricted stock units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following table sets forth information with respect to our repurchases of shares of common stock (including shares surrendered to satisfy tax withholding) during the three months ended </w:t>
      </w:r>
      <w:r>
        <w:rPr>
          <w:rFonts w:ascii="Times New Roman;serif" w:hAnsi="Times New Roman;serif"/>
          <w:b w:val="false"/>
          <w:color w:val="000000"/>
          <w:sz w:val="20"/>
          <w:shd w:fill="FFFFFF" w:val="clear"/>
        </w:rPr>
        <w:t>June 30, 2026.</w:t>
      </w:r>
    </w:p>
    <w:tbl>
      <w:tblPr>
        <w:tblW w:w="10205" w:type="dxa"/>
        <w:jc w:val="left"/>
        <w:tblInd w:w="0" w:type="dxa"/>
        <w:tblLayout w:type="fixed"/>
        <w:tblCellMar>
          <w:top w:w="28" w:type="dxa"/>
          <w:left w:w="28" w:type="dxa"/>
          <w:bottom w:w="28" w:type="dxa"/>
          <w:right w:w="28" w:type="dxa"/>
        </w:tblCellMar>
      </w:tblPr>
      <w:tblGrid>
        <w:gridCol w:w="336"/>
        <w:gridCol w:w="296"/>
        <w:gridCol w:w="297"/>
        <w:gridCol w:w="682"/>
        <w:gridCol w:w="523"/>
        <w:gridCol w:w="525"/>
        <w:gridCol w:w="318"/>
        <w:gridCol w:w="757"/>
        <w:gridCol w:w="177"/>
        <w:gridCol w:w="1064"/>
        <w:gridCol w:w="906"/>
        <w:gridCol w:w="908"/>
        <w:gridCol w:w="864"/>
        <w:gridCol w:w="1861"/>
        <w:gridCol w:w="691"/>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17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2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4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plans or programs (in millions)</w:t>
            </w:r>
            <w:r>
              <w:rPr>
                <w:rFonts w:ascii="Times New Roman;serif" w:hAnsi="Times New Roman;serif"/>
                <w:b/>
                <w:color w:val="000000"/>
                <w:sz w:val="12"/>
              </w:rPr>
              <w:t>(2)</w:t>
            </w:r>
          </w:p>
        </w:tc>
      </w:tr>
      <w:tr>
        <w:trPr/>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4/1/2026 - 4/30/2026</w:t>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1,253,698 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1,250,011 </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5/1/2026 - 5/31/2026</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292,377 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288,431 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6/1/2026 - 6/30/2026</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For the three months ended </w:t>
      </w:r>
      <w:r>
        <w:rPr>
          <w:rFonts w:ascii="Times New Roman;serif" w:hAnsi="Times New Roman;serif"/>
          <w:b w:val="false"/>
          <w:color w:val="000000"/>
          <w:sz w:val="18"/>
          <w:shd w:fill="FFFFFF" w:val="clear"/>
        </w:rPr>
        <w:t xml:space="preserve">June 30, 2026, approximately </w:t>
      </w:r>
      <w:r>
        <w:rPr>
          <w:rFonts w:ascii="Times New Roman;serif" w:hAnsi="Times New Roman;serif"/>
          <w:b w:val="false"/>
          <w:color w:val="000000"/>
          <w:sz w:val="18"/>
        </w:rPr>
        <w:t>12,578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pStyle w:val="TextBody"/>
        <w:bidi w:val="0"/>
        <w:spacing w:lineRule="auto" w:line="276"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Represents amounts available for repurchases under the Repurchase Program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ability to repurchase its common stock and preferred stock is subject to (i) certain restrictions under the terms of the Company’s senior secured revolving credit facility and the indentures governing its senior unsecured notes and (ii) the discretion of the Company’s Board of Directors. These restrictions are described in greater detail in the Company’s senior secured credit facilities and the indentures governing its senior unsecured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11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 director or officer of the Company adopted or terminated a “Rule 10b5-1 trading arrangement” or “non-Rule 10b5-1 trading arrangement,” as each term is defined in Item 408(a) of the SEC’s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2977"/>
        <w:gridCol w:w="2792"/>
        <w:gridCol w:w="395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2026ncrvoyixcorp.htm">
              <w:r>
                <w:rPr>
                  <w:rStyle w:val="InternetLink"/>
                  <w:rFonts w:ascii="Times New Roman;serif" w:hAnsi="Times New Roman;serif"/>
                  <w:b w:val="false"/>
                  <w:color w:val="0000FF"/>
                  <w:sz w:val="20"/>
                  <w:u w:val="single"/>
                </w:rPr>
                <w:t>10.1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NCR Voyix Corporation 2026 Stock Incentive Plan (Appendix A to the NCR Voyix Corporation Proxy Statement on Schedule 14A for the NCR Voyix Corporation 2026 Annual Meeting of Stockholders)*</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sec302ceocert-06.htm">
              <w:r>
                <w:rPr>
                  <w:rStyle w:val="InternetLink"/>
                  <w:rFonts w:ascii="Times New Roman;serif" w:hAnsi="Times New Roman;serif"/>
                  <w:b w:val="false"/>
                  <w:color w:val="0000FF"/>
                  <w:sz w:val="20"/>
                  <w:u w:val="single"/>
                </w:rPr>
                <w:t>31.1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Certification pursuant to Rule 13a-14(a) and Rule 15d-14(a) of the Securities Exchange Act of 1934.</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sec302cfocert-06.htm">
              <w:r>
                <w:rPr>
                  <w:rStyle w:val="InternetLink"/>
                  <w:rFonts w:ascii="Times New Roman;serif" w:hAnsi="Times New Roman;serif"/>
                  <w:b w:val="false"/>
                  <w:color w:val="0000FF"/>
                  <w:sz w:val="20"/>
                  <w:u w:val="single"/>
                </w:rPr>
                <w:t>31.2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Certification pursuant to Rule 13a-14(a) and Rule 15d-14(a) of the Securities Exchange Act of 1934.</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sec906ceoandcfoce.htm">
              <w:r>
                <w:rPr>
                  <w:rStyle w:val="InternetLink"/>
                  <w:rFonts w:ascii="Times New Roman;serif" w:hAnsi="Times New Roman;serif"/>
                  <w:b w:val="false"/>
                  <w:color w:val="0000FF"/>
                  <w:sz w:val="20"/>
                  <w:u w:val="single"/>
                </w:rPr>
                <w:t>32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Certification pursuant to 18 U.S.C. Section 1350 as adopted pursuant to Section 906 of the Sarbanes-Oxley Act of 2002.</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NCR Voyix Corporation’s Quarterly Report on Form 10-Q for the quarter ended June 30, 2026, formatted in iXBRL (Inline Extensible Business Reporting Language): (i) our condensed consolidated statements of operations for the three and six months ended June 30, 2026 and 2025; (ii) our condensed consolidated statements of comprehensive income (loss) for the three and six months ended June 30, 2026 and 2025; (iii) our condensed consolidated balance sheets as of June 30, 2026 and December 31, 2025; (iv) our condensed consolidated statements of cash flows for the six months ended June 30, 2026 and 2025; (v) our condensed consolidated statements of changes in stockholder’s equity for the three and six months ended June 30, 2026 and 2025; and (vi) the notes to our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Management contracts or compensatory plans/arrangements.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8"/>
        </w:rPr>
        <w:t>Filed herewith.</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8"/>
        </w:rPr>
        <w:t>Furnished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b6e05bb095546e680f754a1cf33717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8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77"/>
        <w:gridCol w:w="277"/>
        <w:gridCol w:w="277"/>
        <w:gridCol w:w="277"/>
        <w:gridCol w:w="277"/>
        <w:gridCol w:w="277"/>
        <w:gridCol w:w="1058"/>
        <w:gridCol w:w="1058"/>
        <w:gridCol w:w="14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NCR VOYIX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Wise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Wise</w:t>
              <w:br/>
              <w:t>Senior Vice President, Chief Accounting Officer</w:t>
              <w:br/>
              <w:t>(Principal Accounting Officer)</w:t>
            </w:r>
          </w:p>
        </w:tc>
      </w:tr>
    </w:tbl>
    <w:p>
      <w:pPr>
        <w:pStyle w:val="TextBody"/>
        <w:bidi w:val="0"/>
        <w:spacing w:lineRule="auto" w:line="288" w:before="10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33" w:before="0" w:after="240"/>
        <w:jc w:val="right"/>
        <w:rPr>
          <w:rFonts w:ascii="JostAST Book;serif" w:hAnsi="JostAST Book;serif"/>
          <w:b/>
          <w:color w:val="666666"/>
          <w:sz w:val="16"/>
          <w:shd w:fill="FFFFFF" w:val="clear"/>
        </w:rPr>
      </w:pPr>
      <w:r>
        <w:rPr>
          <w:rFonts w:ascii="JostAST Book;serif" w:hAnsi="JostAST Book;serif"/>
          <w:b/>
          <w:color w:val="666666"/>
          <w:sz w:val="16"/>
          <w:shd w:fill="FFFFFF" w:val="clear"/>
        </w:rPr>
        <w:t>Exhibit 10.1</w:t>
      </w:r>
    </w:p>
    <w:p>
      <w:pPr>
        <w:pStyle w:val="TextBody"/>
        <w:bidi w:val="0"/>
        <w:spacing w:before="0" w:after="160"/>
        <w:jc w:val="left"/>
        <w:rPr/>
      </w:pPr>
      <w:r>
        <w:rPr/>
      </w:r>
    </w:p>
    <w:p>
      <w:pPr>
        <w:pStyle w:val="TextBody"/>
        <w:bidi w:val="0"/>
        <w:spacing w:lineRule="auto" w:line="333"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NCR VOYIX CORPORATION</w:t>
      </w:r>
    </w:p>
    <w:p>
      <w:pPr>
        <w:pStyle w:val="TextBody"/>
        <w:bidi w:val="0"/>
        <w:spacing w:lineRule="auto" w:line="333" w:before="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2026 STOCK INCENTIVE PLAN</w:t>
      </w:r>
    </w:p>
    <w:p>
      <w:pPr>
        <w:pStyle w:val="TextBody"/>
        <w:bidi w:val="0"/>
        <w:spacing w:lineRule="auto" w:line="333" w:before="360" w:after="240"/>
        <w:ind w:left="0" w:right="0" w:firstLine="3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I.</w:t>
      </w:r>
    </w:p>
    <w:p>
      <w:pPr>
        <w:pStyle w:val="TextBody"/>
        <w:bidi w:val="0"/>
        <w:spacing w:lineRule="auto" w:line="333" w:before="160" w:after="120"/>
        <w:ind w:left="0" w:right="0" w:firstLine="36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PURPOSE; DEFINITIONS</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purpose of the Plan is to give the Company a competitive advantage in attracting, retaining and motivating officers, employees, directors and consultants and to provide the Company and its Subsidiaries and Affiliates with an equity plan providing incentives directly linked to stockholder value.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Certain terms used herein have definitions given to them in the first place in which they are used. In addition, for purposes of the Plan, the following terms are defined as set forth below:</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(a)</w:t>
      </w:r>
      <w:r>
        <w:rPr>
          <w:color w:val="000000"/>
          <w:shd w:fill="FFFFFF" w:val="clear"/>
        </w:rPr>
        <w:t>    “</w:t>
      </w:r>
      <w:r>
        <w:rPr>
          <w:rFonts w:ascii="Times New Roman;serif" w:hAnsi="Times New Roman;serif"/>
          <w:b/>
          <w:color w:val="000000"/>
          <w:sz w:val="22"/>
          <w:shd w:fill="FFFFFF" w:val="clear"/>
        </w:rPr>
        <w:t>Affiliate”</w:t>
      </w:r>
      <w:r>
        <w:rPr>
          <w:color w:val="000000"/>
          <w:shd w:fill="FFFFFF" w:val="clear"/>
        </w:rPr>
        <w:t xml:space="preserve"> </w:t>
      </w:r>
      <w:r>
        <w:rPr>
          <w:rFonts w:ascii="Times New Roman;serif" w:hAnsi="Times New Roman;serif"/>
          <w:b w:val="false"/>
          <w:color w:val="000000"/>
          <w:sz w:val="22"/>
          <w:shd w:fill="FFFFFF" w:val="clear"/>
        </w:rPr>
        <w:t>means a corporation or other entity controlled by, controlling or under common control with, the Company.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(b)</w:t>
      </w:r>
      <w:r>
        <w:rPr>
          <w:color w:val="000000"/>
          <w:shd w:fill="FFFFFF" w:val="clear"/>
        </w:rPr>
        <w:t>    “</w:t>
      </w:r>
      <w:r>
        <w:rPr>
          <w:rFonts w:ascii="Times New Roman;serif" w:hAnsi="Times New Roman;serif"/>
          <w:b/>
          <w:color w:val="000000"/>
          <w:sz w:val="22"/>
          <w:shd w:fill="FFFFFF" w:val="clear"/>
        </w:rPr>
        <w:t>Applicable Exchange”</w:t>
      </w:r>
      <w:r>
        <w:rPr>
          <w:color w:val="000000"/>
          <w:shd w:fill="FFFFFF" w:val="clear"/>
        </w:rPr>
        <w:t xml:space="preserve"> </w:t>
      </w:r>
      <w:r>
        <w:rPr>
          <w:rFonts w:ascii="Times New Roman;serif" w:hAnsi="Times New Roman;serif"/>
          <w:b w:val="false"/>
          <w:color w:val="000000"/>
          <w:sz w:val="22"/>
          <w:shd w:fill="FFFFFF" w:val="clear"/>
        </w:rPr>
        <w:t>means the New York Stock Exchange or such other securities exchange as may at the applicable time be the principal market for the Common Stock.</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(c)</w:t>
      </w:r>
      <w:r>
        <w:rPr>
          <w:color w:val="000000"/>
          <w:shd w:fill="FFFFFF" w:val="clear"/>
        </w:rPr>
        <w:t>    “</w:t>
      </w:r>
      <w:r>
        <w:rPr>
          <w:rFonts w:ascii="Times New Roman;serif" w:hAnsi="Times New Roman;serif"/>
          <w:b/>
          <w:color w:val="000000"/>
          <w:sz w:val="22"/>
          <w:shd w:fill="FFFFFF" w:val="clear"/>
        </w:rPr>
        <w:t>Award”</w:t>
      </w:r>
      <w:r>
        <w:rPr>
          <w:color w:val="000000"/>
          <w:shd w:fill="FFFFFF" w:val="clear"/>
        </w:rPr>
        <w:t xml:space="preserve"> </w:t>
      </w:r>
      <w:r>
        <w:rPr>
          <w:rFonts w:ascii="Times New Roman;serif" w:hAnsi="Times New Roman;serif"/>
          <w:b w:val="false"/>
          <w:color w:val="000000"/>
          <w:sz w:val="22"/>
          <w:shd w:fill="FFFFFF" w:val="clear"/>
        </w:rPr>
        <w:t>means an Option, SAR, Restricted Stock, Restricted Stock Unit, Other Stock-Based Award, or Cash Award granted pursuant to the terms of the Plan.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(d)</w:t>
      </w:r>
      <w:r>
        <w:rPr>
          <w:color w:val="000000"/>
          <w:shd w:fill="FFFFFF" w:val="clear"/>
        </w:rPr>
        <w:t>    “</w:t>
      </w:r>
      <w:r>
        <w:rPr>
          <w:rFonts w:ascii="Times New Roman;serif" w:hAnsi="Times New Roman;serif"/>
          <w:b/>
          <w:color w:val="000000"/>
          <w:sz w:val="22"/>
          <w:shd w:fill="FFFFFF" w:val="clear"/>
        </w:rPr>
        <w:t>Award Agreement”</w:t>
      </w:r>
      <w:r>
        <w:rPr>
          <w:color w:val="000000"/>
          <w:shd w:fill="FFFFFF" w:val="clear"/>
        </w:rPr>
        <w:t xml:space="preserve"> </w:t>
      </w:r>
      <w:r>
        <w:rPr>
          <w:rFonts w:ascii="Times New Roman;serif" w:hAnsi="Times New Roman;serif"/>
          <w:b w:val="false"/>
          <w:color w:val="000000"/>
          <w:sz w:val="22"/>
          <w:shd w:fill="FFFFFF" w:val="clear"/>
        </w:rPr>
        <w:t>means a written (including electronic) document or agreement setting forth the terms and conditions of a specific Award.</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(e)</w:t>
      </w:r>
      <w:r>
        <w:rPr>
          <w:color w:val="000000"/>
          <w:shd w:fill="FFFFFF" w:val="clear"/>
        </w:rPr>
        <w:t>    “</w:t>
      </w:r>
      <w:r>
        <w:rPr>
          <w:rFonts w:ascii="Times New Roman;serif" w:hAnsi="Times New Roman;serif"/>
          <w:b/>
          <w:color w:val="000000"/>
          <w:sz w:val="22"/>
          <w:shd w:fill="FFFFFF" w:val="clear"/>
        </w:rPr>
        <w:t>Board”</w:t>
      </w:r>
      <w:r>
        <w:rPr>
          <w:color w:val="000000"/>
          <w:shd w:fill="FFFFFF" w:val="clear"/>
        </w:rPr>
        <w:t xml:space="preserve"> </w:t>
      </w:r>
      <w:r>
        <w:rPr>
          <w:rFonts w:ascii="Times New Roman;serif" w:hAnsi="Times New Roman;serif"/>
          <w:b w:val="false"/>
          <w:color w:val="000000"/>
          <w:sz w:val="22"/>
          <w:shd w:fill="FFFFFF" w:val="clear"/>
        </w:rPr>
        <w:t>means the Board of Directors of the Company.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(f)</w:t>
      </w:r>
      <w:r>
        <w:rPr>
          <w:color w:val="000000"/>
          <w:shd w:fill="FFFFFF" w:val="clear"/>
        </w:rPr>
        <w:t>    “</w:t>
      </w:r>
      <w:r>
        <w:rPr>
          <w:rFonts w:ascii="Times New Roman;serif" w:hAnsi="Times New Roman;serif"/>
          <w:b/>
          <w:color w:val="000000"/>
          <w:sz w:val="22"/>
          <w:shd w:fill="FFFFFF" w:val="clear"/>
        </w:rPr>
        <w:t>Cash Award”</w:t>
      </w:r>
      <w:r>
        <w:rPr>
          <w:color w:val="000000"/>
          <w:shd w:fill="FFFFFF" w:val="clear"/>
        </w:rPr>
        <w:t xml:space="preserve"> </w:t>
      </w:r>
      <w:r>
        <w:rPr>
          <w:rFonts w:ascii="Times New Roman;serif" w:hAnsi="Times New Roman;serif"/>
          <w:b w:val="false"/>
          <w:color w:val="000000"/>
          <w:sz w:val="22"/>
          <w:shd w:fill="FFFFFF" w:val="clear"/>
        </w:rPr>
        <w:t xml:space="preserve">means a cash-based award granted under Section 8.02. </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(g)    </w:t>
      </w:r>
      <w:r>
        <w:rPr>
          <w:color w:val="000000"/>
          <w:shd w:fill="FFFFFF" w:val="clear"/>
        </w:rPr>
        <w:t>“</w:t>
      </w:r>
      <w:r>
        <w:rPr>
          <w:rFonts w:ascii="Times New Roman;serif" w:hAnsi="Times New Roman;serif"/>
          <w:b/>
          <w:color w:val="000000"/>
          <w:sz w:val="22"/>
          <w:shd w:fill="FFFFFF" w:val="clear"/>
        </w:rPr>
        <w:t xml:space="preserve">Cause” </w:t>
      </w:r>
      <w:r>
        <w:rPr>
          <w:rFonts w:ascii="Times New Roman;serif" w:hAnsi="Times New Roman;serif"/>
          <w:b w:val="false"/>
          <w:color w:val="000000"/>
          <w:sz w:val="22"/>
          <w:shd w:fill="FFFFFF" w:val="clear"/>
        </w:rPr>
        <w:t>means, unless otherwise provided in the applicable Award Agreement, (i) “Cause” as defined in any Individual Agreement to which the Participant is a party, or (ii) if there is no such Individual Agreement or if it does not define Cause: (A) conviction of the Participant for committing a felony under Federal law, the law of the state in which such action occurred or any comparable provision of foreign law, (B) dishonesty in the course of fulfilling the Participant’s employment duties, (C) failure on the part of the Participant to perform substantially such Participant’s employment duties in any material respect, (D) a material violation of the Company’s ethics and compliance program, or (E) before a Change in Control, such other events as shall be determined by the Committee and set forth in the applicable Award Agreement. Notwithstanding the general rule of Section 2.03, following a Change in Control, any determination by the Committee as to whether “Cause” exists shall be subject to de novo review</w:t>
      </w:r>
      <w:r>
        <w:rPr>
          <w:rFonts w:ascii="Times New Roman;serif" w:hAnsi="Times New Roman;serif"/>
          <w:b/>
          <w:color w:val="000000"/>
          <w:sz w:val="22"/>
          <w:shd w:fill="FFFFFF" w:val="clear"/>
        </w:rPr>
        <w: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(h)    </w:t>
      </w:r>
      <w:r>
        <w:rPr>
          <w:color w:val="000000"/>
          <w:shd w:fill="FFFFFF" w:val="clear"/>
        </w:rPr>
        <w:t>“</w:t>
      </w:r>
      <w:r>
        <w:rPr>
          <w:rFonts w:ascii="Times New Roman;serif" w:hAnsi="Times New Roman;serif"/>
          <w:b/>
          <w:color w:val="000000"/>
          <w:sz w:val="22"/>
          <w:shd w:fill="FFFFFF" w:val="clear"/>
        </w:rPr>
        <w:t>Change in Capitalization”</w:t>
      </w:r>
      <w:r>
        <w:rPr>
          <w:color w:val="000000"/>
          <w:shd w:fill="FFFFFF" w:val="clear"/>
        </w:rPr>
        <w:t xml:space="preserve"> </w:t>
      </w:r>
      <w:r>
        <w:rPr>
          <w:rFonts w:ascii="Times New Roman;serif" w:hAnsi="Times New Roman;serif"/>
          <w:b w:val="false"/>
          <w:color w:val="000000"/>
          <w:sz w:val="22"/>
          <w:shd w:fill="FFFFFF" w:val="clear"/>
        </w:rPr>
        <w:t xml:space="preserve">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 (iii) combination or exchange of </w:t>
      </w:r>
    </w:p>
    <w:p>
      <w:pPr>
        <w:pStyle w:val="TextBody"/>
        <w:bidi w:val="0"/>
        <w:spacing w:before="0" w:after="12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shares; or (iv) other change in corporate structure, which, in any such case, the Committee determines, in its sole discretion, affects the Common Stock such that an adjustment pursuant to Section 3.04 is appropriate.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(i)    </w:t>
      </w:r>
      <w:r>
        <w:rPr>
          <w:color w:val="000000"/>
          <w:shd w:fill="FFFFFF" w:val="clear"/>
        </w:rPr>
        <w:t>“</w:t>
      </w:r>
      <w:r>
        <w:rPr>
          <w:rFonts w:ascii="Times New Roman;serif" w:hAnsi="Times New Roman;serif"/>
          <w:b/>
          <w:color w:val="000000"/>
          <w:sz w:val="22"/>
          <w:shd w:fill="FFFFFF" w:val="clear"/>
        </w:rPr>
        <w:t>Change in Control”</w:t>
      </w:r>
      <w:r>
        <w:rPr>
          <w:color w:val="000000"/>
          <w:shd w:fill="FFFFFF" w:val="clear"/>
        </w:rPr>
        <w:t xml:space="preserve"> </w:t>
      </w:r>
      <w:r>
        <w:rPr>
          <w:rFonts w:ascii="Times New Roman;serif" w:hAnsi="Times New Roman;serif"/>
          <w:b w:val="false"/>
          <w:color w:val="000000"/>
          <w:sz w:val="22"/>
          <w:shd w:fill="FFFFFF" w:val="clear"/>
        </w:rPr>
        <w:t>has the meaning set forth in Section 9.02</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(j)    </w:t>
      </w:r>
      <w:r>
        <w:rPr>
          <w:color w:val="000000"/>
          <w:shd w:fill="FFFFFF" w:val="clear"/>
        </w:rPr>
        <w:t>“</w:t>
      </w:r>
      <w:r>
        <w:rPr>
          <w:rFonts w:ascii="Times New Roman;serif" w:hAnsi="Times New Roman;serif"/>
          <w:b/>
          <w:color w:val="000000"/>
          <w:sz w:val="22"/>
          <w:shd w:fill="FFFFFF" w:val="clear"/>
        </w:rPr>
        <w:t>Code”</w:t>
      </w:r>
      <w:r>
        <w:rPr>
          <w:color w:val="000000"/>
          <w:shd w:fill="FFFFFF" w:val="clear"/>
        </w:rPr>
        <w:t xml:space="preserve"> </w:t>
      </w:r>
      <w:r>
        <w:rPr>
          <w:rFonts w:ascii="Times New Roman;serif" w:hAnsi="Times New Roman;serif"/>
          <w:b w:val="false"/>
          <w:color w:val="000000"/>
          <w:sz w:val="22"/>
          <w:shd w:fill="FFFFFF" w:val="clear"/>
        </w:rPr>
        <w:t>means the Internal Revenue Code of 1986, as amended from time to time, or any successor thereto, and the regulations promulgated thereunder.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(k)    </w:t>
      </w:r>
      <w:r>
        <w:rPr>
          <w:color w:val="000000"/>
          <w:shd w:fill="FFFFFF" w:val="clear"/>
        </w:rPr>
        <w:t>“</w:t>
      </w:r>
      <w:r>
        <w:rPr>
          <w:rFonts w:ascii="Times New Roman;serif" w:hAnsi="Times New Roman;serif"/>
          <w:b/>
          <w:color w:val="000000"/>
          <w:sz w:val="22"/>
          <w:shd w:fill="FFFFFF" w:val="clear"/>
        </w:rPr>
        <w:t>Committee”</w:t>
      </w:r>
      <w:r>
        <w:rPr>
          <w:color w:val="000000"/>
          <w:shd w:fill="FFFFFF" w:val="clear"/>
        </w:rPr>
        <w:t xml:space="preserve"> </w:t>
      </w:r>
      <w:r>
        <w:rPr>
          <w:rFonts w:ascii="Times New Roman;serif" w:hAnsi="Times New Roman;serif"/>
          <w:b w:val="false"/>
          <w:color w:val="000000"/>
          <w:sz w:val="22"/>
          <w:shd w:fill="FFFFFF" w:val="clear"/>
        </w:rPr>
        <w:t>has the meaning set forth in Section 2.01.</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(l)</w:t>
      </w:r>
      <w:r>
        <w:rPr>
          <w:color w:val="000000"/>
          <w:shd w:fill="FFFFFF" w:val="clear"/>
        </w:rPr>
        <w:t>    “</w:t>
      </w:r>
      <w:r>
        <w:rPr>
          <w:rFonts w:ascii="Times New Roman;serif" w:hAnsi="Times New Roman;serif"/>
          <w:b/>
          <w:color w:val="000000"/>
          <w:sz w:val="22"/>
          <w:shd w:fill="FFFFFF" w:val="clear"/>
        </w:rPr>
        <w:t>Common Stock”</w:t>
      </w:r>
      <w:r>
        <w:rPr>
          <w:color w:val="000000"/>
          <w:shd w:fill="FFFFFF" w:val="clear"/>
        </w:rPr>
        <w:t xml:space="preserve"> </w:t>
      </w:r>
      <w:r>
        <w:rPr>
          <w:rFonts w:ascii="Times New Roman;serif" w:hAnsi="Times New Roman;serif"/>
          <w:b w:val="false"/>
          <w:color w:val="000000"/>
          <w:sz w:val="22"/>
          <w:shd w:fill="FFFFFF" w:val="clear"/>
        </w:rPr>
        <w:t>means the common stock, par value $0.01 per share, of the Company.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(m)    </w:t>
      </w:r>
      <w:r>
        <w:rPr>
          <w:color w:val="000000"/>
          <w:shd w:fill="FFFFFF" w:val="clear"/>
        </w:rPr>
        <w:t>“</w:t>
      </w:r>
      <w:r>
        <w:rPr>
          <w:rFonts w:ascii="Times New Roman;serif" w:hAnsi="Times New Roman;serif"/>
          <w:b/>
          <w:color w:val="000000"/>
          <w:sz w:val="22"/>
          <w:shd w:fill="FFFFFF" w:val="clear"/>
        </w:rPr>
        <w:t>Company”</w:t>
      </w:r>
      <w:r>
        <w:rPr>
          <w:color w:val="000000"/>
          <w:shd w:fill="FFFFFF" w:val="clear"/>
        </w:rPr>
        <w:t xml:space="preserve"> </w:t>
      </w:r>
      <w:r>
        <w:rPr>
          <w:rFonts w:ascii="Times New Roman;serif" w:hAnsi="Times New Roman;serif"/>
          <w:b w:val="false"/>
          <w:color w:val="000000"/>
          <w:sz w:val="22"/>
          <w:shd w:fill="FFFFFF" w:val="clear"/>
        </w:rPr>
        <w:t>means NCR Voyix Corporation, a Maryland corporation, or any successor entity, as applicable.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(n)    </w:t>
      </w:r>
      <w:r>
        <w:rPr>
          <w:color w:val="000000"/>
          <w:shd w:fill="FFFFFF" w:val="clear"/>
        </w:rPr>
        <w:t>“</w:t>
      </w:r>
      <w:r>
        <w:rPr>
          <w:rFonts w:ascii="Times New Roman;serif" w:hAnsi="Times New Roman;serif"/>
          <w:b/>
          <w:color w:val="000000"/>
          <w:sz w:val="22"/>
          <w:shd w:fill="FFFFFF" w:val="clear"/>
        </w:rPr>
        <w:t>Disability”</w:t>
      </w:r>
      <w:r>
        <w:rPr>
          <w:color w:val="000000"/>
          <w:shd w:fill="FFFFFF" w:val="clear"/>
        </w:rPr>
        <w:t xml:space="preserve"> </w:t>
      </w:r>
      <w:r>
        <w:rPr>
          <w:rFonts w:ascii="Times New Roman;serif" w:hAnsi="Times New Roman;serif"/>
          <w:b w:val="false"/>
          <w:color w:val="000000"/>
          <w:sz w:val="22"/>
          <w:shd w:fill="FFFFFF" w:val="clear"/>
        </w:rPr>
        <w:t>means, unless otherwise provided in the applicable Award Agreement (i) “Disability” as defined in any Individual Agreement to which the Participant is a party, or (ii) if there is no such Individual Agreement or it does not define Disability: (A) permanent and total disability as determined under the Company’s long-term disability plan applicable to the Participant, or (B) if there is no such plan applicable to the Participant, “Disability” as determined by the Committee. Notwithstanding the foregoing, to the extent required to avoid accelerated taxation and/or tax penalties under Section 409A of the Code, a Participant will be considered to have a Disability only if such condition also constitutes a “disability” within the meaning of Section 409A(a)(2)(C).</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(o)    </w:t>
      </w:r>
      <w:r>
        <w:rPr>
          <w:color w:val="000000"/>
          <w:shd w:fill="FFFFFF" w:val="clear"/>
        </w:rPr>
        <w:t>“</w:t>
      </w:r>
      <w:r>
        <w:rPr>
          <w:rFonts w:ascii="Times New Roman;serif" w:hAnsi="Times New Roman;serif"/>
          <w:b/>
          <w:color w:val="000000"/>
          <w:sz w:val="22"/>
          <w:shd w:fill="FFFFFF" w:val="clear"/>
        </w:rPr>
        <w:t>Disaffiliation”</w:t>
      </w:r>
      <w:r>
        <w:rPr>
          <w:color w:val="000000"/>
          <w:shd w:fill="FFFFFF" w:val="clear"/>
        </w:rPr>
        <w:t xml:space="preserve"> </w:t>
      </w:r>
      <w:r>
        <w:rPr>
          <w:rFonts w:ascii="Times New Roman;serif" w:hAnsi="Times New Roman;serif"/>
          <w:b w:val="false"/>
          <w:color w:val="000000"/>
          <w:sz w:val="22"/>
          <w:shd w:fill="FFFFFF" w:val="clear"/>
        </w:rPr>
        <w:t>means a Subsidiary’s or Affiliate’s ceasing to be a Subsidiary or Affiliate for any reason (including as a result of a public offering, or a spinoff or sale by the Company, of the stock of the Subsidiary or Affiliate) or a sale of a division of the Company and its Affiliates.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(p)</w:t>
      </w:r>
      <w:r>
        <w:rPr>
          <w:color w:val="000000"/>
          <w:shd w:fill="FFFFFF" w:val="clear"/>
        </w:rPr>
        <w:t>    “</w:t>
      </w:r>
      <w:r>
        <w:rPr>
          <w:rFonts w:ascii="Times New Roman;serif" w:hAnsi="Times New Roman;serif"/>
          <w:b/>
          <w:color w:val="000000"/>
          <w:sz w:val="22"/>
          <w:shd w:fill="FFFFFF" w:val="clear"/>
        </w:rPr>
        <w:t>Effective Date”</w:t>
      </w:r>
      <w:r>
        <w:rPr>
          <w:color w:val="000000"/>
          <w:shd w:fill="FFFFFF" w:val="clear"/>
        </w:rPr>
        <w:t xml:space="preserve"> </w:t>
      </w:r>
      <w:r>
        <w:rPr>
          <w:rFonts w:ascii="Times New Roman;serif" w:hAnsi="Times New Roman;serif"/>
          <w:b w:val="false"/>
          <w:color w:val="000000"/>
          <w:sz w:val="22"/>
          <w:shd w:fill="FFFFFF" w:val="clear"/>
        </w:rPr>
        <w:t>has the meaning set forth in Section 10.01.</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(q)    </w:t>
      </w:r>
      <w:r>
        <w:rPr>
          <w:color w:val="000000"/>
          <w:shd w:fill="FFFFFF" w:val="clear"/>
        </w:rPr>
        <w:t>“</w:t>
      </w:r>
      <w:r>
        <w:rPr>
          <w:rFonts w:ascii="Times New Roman;serif" w:hAnsi="Times New Roman;serif"/>
          <w:b/>
          <w:color w:val="000000"/>
          <w:sz w:val="22"/>
          <w:shd w:fill="FFFFFF" w:val="clear"/>
        </w:rPr>
        <w:t xml:space="preserve">Eligible Individuals” </w:t>
      </w:r>
      <w:r>
        <w:rPr>
          <w:rFonts w:ascii="Times New Roman;serif" w:hAnsi="Times New Roman;serif"/>
          <w:b w:val="false"/>
          <w:color w:val="000000"/>
          <w:sz w:val="22"/>
          <w:shd w:fill="FFFFFF" w:val="clear"/>
        </w:rPr>
        <w:t>mean directors, officers, employees, independent contractors and consultants of the Company or any of its Subsidiaries or Affiliates, and prospective employees, independent contractors and consultants who have accepted offers of employment or service from the Company or a Subsidiary or Affiliate.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(r)    </w:t>
      </w:r>
      <w:r>
        <w:rPr>
          <w:color w:val="000000"/>
          <w:shd w:fill="FFFFFF" w:val="clear"/>
        </w:rPr>
        <w:t>“</w:t>
      </w:r>
      <w:r>
        <w:rPr>
          <w:rFonts w:ascii="Times New Roman;serif" w:hAnsi="Times New Roman;serif"/>
          <w:b/>
          <w:color w:val="000000"/>
          <w:sz w:val="22"/>
          <w:shd w:fill="FFFFFF" w:val="clear"/>
        </w:rPr>
        <w:t>Exchange Act”</w:t>
      </w:r>
      <w:r>
        <w:rPr>
          <w:color w:val="000000"/>
          <w:shd w:fill="FFFFFF" w:val="clear"/>
        </w:rPr>
        <w:t xml:space="preserve"> </w:t>
      </w:r>
      <w:r>
        <w:rPr>
          <w:rFonts w:ascii="Times New Roman;serif" w:hAnsi="Times New Roman;serif"/>
          <w:b w:val="false"/>
          <w:color w:val="000000"/>
          <w:sz w:val="22"/>
          <w:shd w:fill="FFFFFF" w:val="clear"/>
        </w:rPr>
        <w:t>means the Securities Exchange Act of 1934, as amended from time to time, and any successor thereto.</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    </w:t>
      </w:r>
      <w:r>
        <w:rPr>
          <w:color w:val="000000"/>
          <w:shd w:fill="FFFFFF" w:val="clear"/>
        </w:rPr>
        <w:t>“</w:t>
      </w:r>
      <w:r>
        <w:rPr>
          <w:rFonts w:ascii="Times New Roman;serif" w:hAnsi="Times New Roman;serif"/>
          <w:b/>
          <w:color w:val="000000"/>
          <w:sz w:val="22"/>
          <w:shd w:fill="FFFFFF" w:val="clear"/>
        </w:rPr>
        <w:t>Fair Market Value”</w:t>
      </w:r>
      <w:r>
        <w:rPr>
          <w:color w:val="000000"/>
          <w:shd w:fill="FFFFFF" w:val="clear"/>
        </w:rPr>
        <w:t xml:space="preserve"> </w:t>
      </w:r>
      <w:r>
        <w:rPr>
          <w:rFonts w:ascii="Times New Roman;serif" w:hAnsi="Times New Roman;serif"/>
          <w:b w:val="false"/>
          <w:color w:val="000000"/>
          <w:sz w:val="22"/>
          <w:shd w:fill="FFFFFF" w:val="clear"/>
        </w:rPr>
        <w:t>means, unless otherwise determined by the Committee, the closing price of a share of Common Stock on the Applicable Exchange on the trading date, or if Shares were not traded on the Applicable Exchange on the trading date, then on the immediately preceding date on which Shares were traded, all as reported by such source as the Committee may select. If the Common Stock is not listed on a national securities exchange, Fair Market Value shall be determined by the Committee in its good faith discretion.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(t)    </w:t>
      </w:r>
      <w:r>
        <w:rPr>
          <w:color w:val="000000"/>
          <w:shd w:fill="FFFFFF" w:val="clear"/>
        </w:rPr>
        <w:t>“</w:t>
      </w:r>
      <w:r>
        <w:rPr>
          <w:rFonts w:ascii="Times New Roman;serif" w:hAnsi="Times New Roman;serif"/>
          <w:b/>
          <w:color w:val="000000"/>
          <w:sz w:val="22"/>
          <w:shd w:fill="FFFFFF" w:val="clear"/>
        </w:rPr>
        <w:t>Grant Date”</w:t>
      </w:r>
      <w:r>
        <w:rPr>
          <w:color w:val="000000"/>
          <w:shd w:fill="FFFFFF" w:val="clear"/>
        </w:rPr>
        <w:t xml:space="preserve"> </w:t>
      </w:r>
      <w:r>
        <w:rPr>
          <w:rFonts w:ascii="Times New Roman;serif" w:hAnsi="Times New Roman;serif"/>
          <w:b w:val="false"/>
          <w:color w:val="000000"/>
          <w:sz w:val="22"/>
          <w:shd w:fill="FFFFFF" w:val="clear"/>
        </w:rPr>
        <w:t>means (i) the date on which the Committee by resolution selects an Eligible Individual to receive a grant of an Award and determines the number of Shares to be subject to such Award, or (ii) such later date as the Committee shall provide in such resolution.</w:t>
      </w:r>
    </w:p>
    <w:p>
      <w:pPr>
        <w:pStyle w:val="TextBody"/>
        <w:bidi w:val="0"/>
        <w:spacing w:before="0" w:after="12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71855"/>
                <wp:effectExtent l="0" t="0" r="0" b="0"/>
                <wp:wrapNone/>
                <wp:docPr id="53" name="Frame53"/>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(u)    </w:t>
      </w:r>
      <w:r>
        <w:rPr>
          <w:color w:val="000000"/>
          <w:shd w:fill="FFFFFF" w:val="clear"/>
        </w:rPr>
        <w:t>“</w:t>
      </w:r>
      <w:r>
        <w:rPr>
          <w:rFonts w:ascii="Times New Roman;serif" w:hAnsi="Times New Roman;serif"/>
          <w:b/>
          <w:color w:val="000000"/>
          <w:sz w:val="22"/>
          <w:shd w:fill="FFFFFF" w:val="clear"/>
        </w:rPr>
        <w:t>Incentive Stock Option”</w:t>
      </w:r>
      <w:r>
        <w:rPr>
          <w:color w:val="000000"/>
          <w:shd w:fill="FFFFFF" w:val="clear"/>
        </w:rPr>
        <w:t xml:space="preserve"> </w:t>
      </w:r>
      <w:r>
        <w:rPr>
          <w:rFonts w:ascii="Times New Roman;serif" w:hAnsi="Times New Roman;serif"/>
          <w:b w:val="false"/>
          <w:color w:val="000000"/>
          <w:sz w:val="22"/>
          <w:shd w:fill="FFFFFF" w:val="clear"/>
        </w:rPr>
        <w:t>means any Option that is designated in the applicable Award Agreement as an “incentive stock option” within the meaning of Section 422 of the Code, and that in fact so qualifies.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(v)    </w:t>
      </w:r>
      <w:r>
        <w:rPr>
          <w:color w:val="000000"/>
          <w:shd w:fill="FFFFFF" w:val="clear"/>
        </w:rPr>
        <w:t>“</w:t>
      </w:r>
      <w:r>
        <w:rPr>
          <w:rFonts w:ascii="Times New Roman;serif" w:hAnsi="Times New Roman;serif"/>
          <w:b/>
          <w:color w:val="000000"/>
          <w:sz w:val="22"/>
          <w:shd w:fill="FFFFFF" w:val="clear"/>
        </w:rPr>
        <w:t>Individual Agreement”</w:t>
      </w:r>
      <w:r>
        <w:rPr>
          <w:color w:val="000000"/>
          <w:shd w:fill="FFFFFF" w:val="clear"/>
        </w:rPr>
        <w:t xml:space="preserve"> </w:t>
      </w:r>
      <w:r>
        <w:rPr>
          <w:rFonts w:ascii="Times New Roman;serif" w:hAnsi="Times New Roman;serif"/>
          <w:b w:val="false"/>
          <w:color w:val="000000"/>
          <w:sz w:val="22"/>
          <w:shd w:fill="FFFFFF" w:val="clear"/>
        </w:rPr>
        <w:t>means an employment, consulting or similar agreement between a Participant and the Company or one of its Subsidiaries or Affiliates.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(w)    </w:t>
      </w:r>
      <w:r>
        <w:rPr>
          <w:color w:val="000000"/>
          <w:shd w:fill="FFFFFF" w:val="clear"/>
        </w:rPr>
        <w:t>“</w:t>
      </w:r>
      <w:r>
        <w:rPr>
          <w:rFonts w:ascii="Times New Roman;serif" w:hAnsi="Times New Roman;serif"/>
          <w:b/>
          <w:color w:val="000000"/>
          <w:sz w:val="22"/>
          <w:shd w:fill="FFFFFF" w:val="clear"/>
        </w:rPr>
        <w:t>Nonqualified Option”</w:t>
      </w:r>
      <w:r>
        <w:rPr>
          <w:color w:val="000000"/>
          <w:shd w:fill="FFFFFF" w:val="clear"/>
        </w:rPr>
        <w:t xml:space="preserve"> </w:t>
      </w:r>
      <w:r>
        <w:rPr>
          <w:rFonts w:ascii="Times New Roman;serif" w:hAnsi="Times New Roman;serif"/>
          <w:b w:val="false"/>
          <w:color w:val="000000"/>
          <w:sz w:val="22"/>
          <w:shd w:fill="FFFFFF" w:val="clear"/>
        </w:rPr>
        <w:t>means any Option that is not an Incentive Stock Option.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(x)    </w:t>
      </w:r>
      <w:r>
        <w:rPr>
          <w:color w:val="000000"/>
          <w:shd w:fill="FFFFFF" w:val="clear"/>
        </w:rPr>
        <w:t>“</w:t>
      </w:r>
      <w:r>
        <w:rPr>
          <w:rFonts w:ascii="Times New Roman;serif" w:hAnsi="Times New Roman;serif"/>
          <w:b/>
          <w:color w:val="000000"/>
          <w:sz w:val="22"/>
          <w:shd w:fill="FFFFFF" w:val="clear"/>
        </w:rPr>
        <w:t>Option”</w:t>
      </w:r>
      <w:r>
        <w:rPr>
          <w:color w:val="000000"/>
          <w:shd w:fill="FFFFFF" w:val="clear"/>
        </w:rPr>
        <w:t xml:space="preserve"> </w:t>
      </w:r>
      <w:r>
        <w:rPr>
          <w:rFonts w:ascii="Times New Roman;serif" w:hAnsi="Times New Roman;serif"/>
          <w:b w:val="false"/>
          <w:color w:val="000000"/>
          <w:sz w:val="22"/>
          <w:shd w:fill="FFFFFF" w:val="clear"/>
        </w:rPr>
        <w:t>means an Award granted under Article V that is not a SAR.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(y)    </w:t>
      </w:r>
      <w:r>
        <w:rPr>
          <w:color w:val="000000"/>
          <w:shd w:fill="FFFFFF" w:val="clear"/>
        </w:rPr>
        <w:t>“</w:t>
      </w:r>
      <w:r>
        <w:rPr>
          <w:rFonts w:ascii="Times New Roman;serif" w:hAnsi="Times New Roman;serif"/>
          <w:b/>
          <w:color w:val="000000"/>
          <w:sz w:val="22"/>
          <w:shd w:fill="FFFFFF" w:val="clear"/>
        </w:rPr>
        <w:t>Other Stock-Based Award”</w:t>
      </w:r>
      <w:r>
        <w:rPr>
          <w:color w:val="000000"/>
          <w:shd w:fill="FFFFFF" w:val="clear"/>
        </w:rPr>
        <w:t xml:space="preserve"> </w:t>
      </w:r>
      <w:r>
        <w:rPr>
          <w:rFonts w:ascii="Times New Roman;serif" w:hAnsi="Times New Roman;serif"/>
          <w:b w:val="false"/>
          <w:color w:val="000000"/>
          <w:sz w:val="22"/>
          <w:shd w:fill="FFFFFF" w:val="clear"/>
        </w:rPr>
        <w:t>means Awards of Common Stock and other Awards granted under Section 8.01 that are valued in whole or in part by reference to, or are otherwise based upon, Common Stock, including unrestricted stock, dividend equivalents, and convertible debentures.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(z)    </w:t>
      </w:r>
      <w:r>
        <w:rPr>
          <w:color w:val="000000"/>
          <w:shd w:fill="FFFFFF" w:val="clear"/>
        </w:rPr>
        <w:t>“</w:t>
      </w:r>
      <w:r>
        <w:rPr>
          <w:rFonts w:ascii="Times New Roman;serif" w:hAnsi="Times New Roman;serif"/>
          <w:b/>
          <w:color w:val="000000"/>
          <w:sz w:val="22"/>
          <w:shd w:fill="FFFFFF" w:val="clear"/>
        </w:rPr>
        <w:t>Participant”</w:t>
      </w:r>
      <w:r>
        <w:rPr>
          <w:color w:val="000000"/>
          <w:shd w:fill="FFFFFF" w:val="clear"/>
        </w:rPr>
        <w:t xml:space="preserve"> </w:t>
      </w:r>
      <w:r>
        <w:rPr>
          <w:rFonts w:ascii="Times New Roman;serif" w:hAnsi="Times New Roman;serif"/>
          <w:b w:val="false"/>
          <w:color w:val="000000"/>
          <w:sz w:val="22"/>
          <w:shd w:fill="FFFFFF" w:val="clear"/>
        </w:rPr>
        <w:t>means an Eligible Individual to whom an Award is or has been granted.</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(aa)    </w:t>
      </w:r>
      <w:r>
        <w:rPr>
          <w:color w:val="000000"/>
          <w:shd w:fill="FFFFFF" w:val="clear"/>
        </w:rPr>
        <w:t>“</w:t>
      </w:r>
      <w:r>
        <w:rPr>
          <w:rFonts w:ascii="Times New Roman;serif" w:hAnsi="Times New Roman;serif"/>
          <w:b/>
          <w:color w:val="000000"/>
          <w:sz w:val="22"/>
          <w:shd w:fill="FFFFFF" w:val="clear"/>
        </w:rPr>
        <w:t>Performance Goals”</w:t>
      </w:r>
      <w:r>
        <w:rPr>
          <w:color w:val="000000"/>
          <w:shd w:fill="FFFFFF" w:val="clear"/>
        </w:rPr>
        <w:t xml:space="preserve"> </w:t>
      </w:r>
      <w:r>
        <w:rPr>
          <w:rFonts w:ascii="Times New Roman;serif" w:hAnsi="Times New Roman;serif"/>
          <w:b w:val="false"/>
          <w:color w:val="000000"/>
          <w:sz w:val="22"/>
          <w:shd w:fill="FFFFFF" w:val="clear"/>
        </w:rPr>
        <w:t>means any performance goals established by the Committee in its sole discretion in connection with the grant of Awards under the Plan. The Committee shall have the authority to make equitable adjustments to the Performance Goals as may be determined by the Committee in its sole discretion.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(bb)    </w:t>
      </w:r>
      <w:r>
        <w:rPr>
          <w:color w:val="000000"/>
          <w:shd w:fill="FFFFFF" w:val="clear"/>
        </w:rPr>
        <w:t>“</w:t>
      </w:r>
      <w:r>
        <w:rPr>
          <w:rFonts w:ascii="Times New Roman;serif" w:hAnsi="Times New Roman;serif"/>
          <w:b/>
          <w:color w:val="000000"/>
          <w:sz w:val="22"/>
          <w:shd w:fill="FFFFFF" w:val="clear"/>
        </w:rPr>
        <w:t>Performance Period”</w:t>
      </w:r>
      <w:r>
        <w:rPr>
          <w:color w:val="000000"/>
          <w:shd w:fill="FFFFFF" w:val="clear"/>
        </w:rPr>
        <w:t xml:space="preserve"> </w:t>
      </w:r>
      <w:r>
        <w:rPr>
          <w:rFonts w:ascii="Times New Roman;serif" w:hAnsi="Times New Roman;serif"/>
          <w:b w:val="false"/>
          <w:color w:val="000000"/>
          <w:sz w:val="22"/>
          <w:shd w:fill="FFFFFF" w:val="clear"/>
        </w:rPr>
        <w:t>means that period established by the Committee at the time any Award is granted or at any time thereafter during which any Performance Goals specified by the Committee with respect to such Award are to be measured.</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(cc)    </w:t>
      </w:r>
      <w:r>
        <w:rPr>
          <w:color w:val="000000"/>
          <w:shd w:fill="FFFFFF" w:val="clear"/>
        </w:rPr>
        <w:t>“</w:t>
      </w:r>
      <w:r>
        <w:rPr>
          <w:rFonts w:ascii="Times New Roman;serif" w:hAnsi="Times New Roman;serif"/>
          <w:b/>
          <w:color w:val="000000"/>
          <w:sz w:val="22"/>
          <w:shd w:fill="FFFFFF" w:val="clear"/>
        </w:rPr>
        <w:t>Plan”</w:t>
      </w:r>
      <w:r>
        <w:rPr>
          <w:color w:val="000000"/>
          <w:shd w:fill="FFFFFF" w:val="clear"/>
        </w:rPr>
        <w:t xml:space="preserve"> </w:t>
      </w:r>
      <w:r>
        <w:rPr>
          <w:rFonts w:ascii="Times New Roman;serif" w:hAnsi="Times New Roman;serif"/>
          <w:b w:val="false"/>
          <w:color w:val="000000"/>
          <w:sz w:val="22"/>
          <w:shd w:fill="FFFFFF" w:val="clear"/>
        </w:rPr>
        <w:t>means this NCR Voyix Corporation 2026 Stock Incentive Plan, as may be amended and/or restated from time to time.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(dd)    </w:t>
      </w:r>
      <w:r>
        <w:rPr>
          <w:color w:val="000000"/>
          <w:shd w:fill="FFFFFF" w:val="clear"/>
        </w:rPr>
        <w:t>“</w:t>
      </w:r>
      <w:r>
        <w:rPr>
          <w:rFonts w:ascii="Times New Roman;serif" w:hAnsi="Times New Roman;serif"/>
          <w:b/>
          <w:color w:val="000000"/>
          <w:sz w:val="22"/>
          <w:shd w:fill="FFFFFF" w:val="clear"/>
        </w:rPr>
        <w:t>Prior Plan”</w:t>
      </w:r>
      <w:r>
        <w:rPr>
          <w:color w:val="000000"/>
          <w:shd w:fill="FFFFFF" w:val="clear"/>
        </w:rPr>
        <w:t xml:space="preserve"> </w:t>
      </w:r>
      <w:r>
        <w:rPr>
          <w:rFonts w:ascii="Times New Roman;serif" w:hAnsi="Times New Roman;serif"/>
          <w:b w:val="false"/>
          <w:color w:val="000000"/>
          <w:sz w:val="22"/>
          <w:shd w:fill="FFFFFF" w:val="clear"/>
        </w:rPr>
        <w:t>means the NCR Corporation 2017 Stock Incentive Plan, as amended.</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(ee)    </w:t>
      </w:r>
      <w:r>
        <w:rPr>
          <w:color w:val="000000"/>
          <w:shd w:fill="FFFFFF" w:val="clear"/>
        </w:rPr>
        <w:t>“</w:t>
      </w:r>
      <w:r>
        <w:rPr>
          <w:rFonts w:ascii="Times New Roman;serif" w:hAnsi="Times New Roman;serif"/>
          <w:b/>
          <w:color w:val="000000"/>
          <w:sz w:val="22"/>
          <w:shd w:fill="FFFFFF" w:val="clear"/>
        </w:rPr>
        <w:t>Restricted Stock”</w:t>
      </w:r>
      <w:r>
        <w:rPr>
          <w:color w:val="000000"/>
          <w:shd w:fill="FFFFFF" w:val="clear"/>
        </w:rPr>
        <w:t xml:space="preserve"> </w:t>
      </w:r>
      <w:r>
        <w:rPr>
          <w:rFonts w:ascii="Times New Roman;serif" w:hAnsi="Times New Roman;serif"/>
          <w:b w:val="false"/>
          <w:color w:val="000000"/>
          <w:sz w:val="22"/>
          <w:shd w:fill="FFFFFF" w:val="clear"/>
        </w:rPr>
        <w:t>means an Award granted under Article VI.</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(ff)    </w:t>
      </w:r>
      <w:r>
        <w:rPr>
          <w:color w:val="000000"/>
          <w:shd w:fill="FFFFFF" w:val="clear"/>
        </w:rPr>
        <w:t>“</w:t>
      </w:r>
      <w:r>
        <w:rPr>
          <w:rFonts w:ascii="Times New Roman;serif" w:hAnsi="Times New Roman;serif"/>
          <w:b/>
          <w:color w:val="000000"/>
          <w:sz w:val="22"/>
          <w:shd w:fill="FFFFFF" w:val="clear"/>
        </w:rPr>
        <w:t>Restricted Stock Units”</w:t>
      </w:r>
      <w:r>
        <w:rPr>
          <w:color w:val="000000"/>
          <w:shd w:fill="FFFFFF" w:val="clear"/>
        </w:rPr>
        <w:t xml:space="preserve"> </w:t>
      </w:r>
      <w:r>
        <w:rPr>
          <w:rFonts w:ascii="Times New Roman;serif" w:hAnsi="Times New Roman;serif"/>
          <w:b w:val="false"/>
          <w:color w:val="000000"/>
          <w:sz w:val="22"/>
          <w:shd w:fill="FFFFFF" w:val="clear"/>
        </w:rPr>
        <w:t>means an Award granted under Article VII.</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(gg)    </w:t>
      </w:r>
      <w:r>
        <w:rPr>
          <w:color w:val="000000"/>
          <w:shd w:fill="FFFFFF" w:val="clear"/>
        </w:rPr>
        <w:t>“</w:t>
      </w:r>
      <w:r>
        <w:rPr>
          <w:rFonts w:ascii="Times New Roman;serif" w:hAnsi="Times New Roman;serif"/>
          <w:b/>
          <w:color w:val="000000"/>
          <w:sz w:val="22"/>
          <w:shd w:fill="FFFFFF" w:val="clear"/>
        </w:rPr>
        <w:t>SAR”</w:t>
      </w:r>
      <w:r>
        <w:rPr>
          <w:color w:val="000000"/>
          <w:shd w:fill="FFFFFF" w:val="clear"/>
        </w:rPr>
        <w:t xml:space="preserve"> </w:t>
      </w:r>
      <w:r>
        <w:rPr>
          <w:rFonts w:ascii="Times New Roman;serif" w:hAnsi="Times New Roman;serif"/>
          <w:b w:val="false"/>
          <w:color w:val="000000"/>
          <w:sz w:val="22"/>
          <w:shd w:fill="FFFFFF" w:val="clear"/>
        </w:rPr>
        <w:t>means a stock appreciation right, as described in Section 5.02.</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(hh)    </w:t>
      </w:r>
      <w:r>
        <w:rPr>
          <w:color w:val="000000"/>
          <w:shd w:fill="FFFFFF" w:val="clear"/>
        </w:rPr>
        <w:t>“</w:t>
      </w:r>
      <w:r>
        <w:rPr>
          <w:rFonts w:ascii="Times New Roman;serif" w:hAnsi="Times New Roman;serif"/>
          <w:b/>
          <w:color w:val="000000"/>
          <w:sz w:val="22"/>
          <w:shd w:fill="FFFFFF" w:val="clear"/>
        </w:rPr>
        <w:t>Share”</w:t>
      </w:r>
      <w:r>
        <w:rPr>
          <w:color w:val="000000"/>
          <w:shd w:fill="FFFFFF" w:val="clear"/>
        </w:rPr>
        <w:t xml:space="preserve"> </w:t>
      </w:r>
      <w:r>
        <w:rPr>
          <w:rFonts w:ascii="Times New Roman;serif" w:hAnsi="Times New Roman;serif"/>
          <w:b w:val="false"/>
          <w:color w:val="000000"/>
          <w:sz w:val="22"/>
          <w:shd w:fill="FFFFFF" w:val="clear"/>
        </w:rPr>
        <w:t>means a share of Common Stock.</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(ii)    </w:t>
      </w:r>
      <w:r>
        <w:rPr>
          <w:color w:val="000000"/>
          <w:shd w:fill="FFFFFF" w:val="clear"/>
        </w:rPr>
        <w:t>“</w:t>
      </w:r>
      <w:r>
        <w:rPr>
          <w:rFonts w:ascii="Times New Roman;serif" w:hAnsi="Times New Roman;serif"/>
          <w:b/>
          <w:color w:val="000000"/>
          <w:sz w:val="22"/>
          <w:shd w:fill="FFFFFF" w:val="clear"/>
        </w:rPr>
        <w:t>Subsidiary”</w:t>
      </w:r>
      <w:r>
        <w:rPr>
          <w:color w:val="000000"/>
          <w:shd w:fill="FFFFFF" w:val="clear"/>
        </w:rPr>
        <w:t xml:space="preserve"> </w:t>
      </w:r>
      <w:r>
        <w:rPr>
          <w:rFonts w:ascii="Times New Roman;serif" w:hAnsi="Times New Roman;serif"/>
          <w:b w:val="false"/>
          <w:color w:val="000000"/>
          <w:sz w:val="22"/>
          <w:shd w:fill="FFFFFF" w:val="clear"/>
        </w:rPr>
        <w:t>means any corporation, partnership, joint venture or other entity during any period in which at least 50% of the voting shares or other similar interests of, or a sole general partner interest or managing member or similar interest in, such corporation, partnership, joint venture or other entity, is owned, directly or indirectly, by the Company or any successor to the Company.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(jj)    </w:t>
      </w:r>
      <w:r>
        <w:rPr>
          <w:color w:val="000000"/>
          <w:shd w:fill="FFFFFF" w:val="clear"/>
        </w:rPr>
        <w:t>“</w:t>
      </w:r>
      <w:r>
        <w:rPr>
          <w:rFonts w:ascii="Times New Roman;serif" w:hAnsi="Times New Roman;serif"/>
          <w:b/>
          <w:color w:val="000000"/>
          <w:sz w:val="22"/>
          <w:shd w:fill="FFFFFF" w:val="clear"/>
        </w:rPr>
        <w:t>Term”</w:t>
      </w:r>
      <w:r>
        <w:rPr>
          <w:color w:val="000000"/>
          <w:shd w:fill="FFFFFF" w:val="clear"/>
        </w:rPr>
        <w:t xml:space="preserve"> </w:t>
      </w:r>
      <w:r>
        <w:rPr>
          <w:rFonts w:ascii="Times New Roman;serif" w:hAnsi="Times New Roman;serif"/>
          <w:b w:val="false"/>
          <w:color w:val="000000"/>
          <w:sz w:val="22"/>
          <w:shd w:fill="FFFFFF" w:val="clear"/>
        </w:rPr>
        <w:t>means the maximum period during which an Option or SAR may remain outstanding, subject to earlier termination upon Termination of Employment or otherwise, as specified in the applicable Award Agreement.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(kk)    </w:t>
      </w:r>
      <w:r>
        <w:rPr>
          <w:color w:val="000000"/>
          <w:shd w:fill="FFFFFF" w:val="clear"/>
        </w:rPr>
        <w:t>“</w:t>
      </w:r>
      <w:r>
        <w:rPr>
          <w:rFonts w:ascii="Times New Roman;serif" w:hAnsi="Times New Roman;serif"/>
          <w:b/>
          <w:color w:val="000000"/>
          <w:sz w:val="22"/>
          <w:shd w:fill="FFFFFF" w:val="clear"/>
        </w:rPr>
        <w:t>Termination of Employment”</w:t>
      </w:r>
      <w:r>
        <w:rPr>
          <w:color w:val="000000"/>
          <w:shd w:fill="FFFFFF" w:val="clear"/>
        </w:rPr>
        <w:t xml:space="preserve"> </w:t>
      </w:r>
      <w:r>
        <w:rPr>
          <w:rFonts w:ascii="Times New Roman;serif" w:hAnsi="Times New Roman;serif"/>
          <w:b w:val="false"/>
          <w:color w:val="000000"/>
          <w:sz w:val="22"/>
          <w:shd w:fill="FFFFFF" w:val="clear"/>
        </w:rPr>
        <w:t xml:space="preserve">means, unless otherwise provided in the applicable Award Agreement, the termination of the applicable Participant’s employment with, or performance of services for, the Company and any of its Subsidiaries or Affiliates. Unless otherwise determined by the Committee, if a </w:t>
      </w:r>
    </w:p>
    <w:p>
      <w:pPr>
        <w:pStyle w:val="TextBody"/>
        <w:bidi w:val="0"/>
        <w:spacing w:before="0" w:after="12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1855"/>
                <wp:effectExtent l="0" t="0" r="0" b="0"/>
                <wp:wrapNone/>
                <wp:docPr id="54" name="Frame54"/>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Participant’s employment with the Company and its Affiliates terminates but such Participant continues to provide services to the Company and its Affiliates in a nonemployee capacity, such change in status shall not be deemed a Termination of Employment. Unless otherwise determined by the Committee,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II.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ADMINISTRATION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2.01.        </w:t>
      </w:r>
      <w:r>
        <w:rPr>
          <w:rFonts w:ascii="Times New Roman;serif" w:hAnsi="Times New Roman;serif"/>
          <w:b w:val="false"/>
          <w:color w:val="000000"/>
          <w:sz w:val="22"/>
          <w:u w:val="single"/>
          <w:shd w:fill="FFFFFF" w:val="clear"/>
        </w:rPr>
        <w:t>Committee</w:t>
      </w:r>
      <w:r>
        <w:rPr>
          <w:rFonts w:ascii="Times New Roman;serif" w:hAnsi="Times New Roman;serif"/>
          <w:b w:val="false"/>
          <w:color w:val="000000"/>
          <w:sz w:val="22"/>
          <w:shd w:fill="FFFFFF" w:val="clear"/>
        </w:rPr>
        <w:t xml:space="preserve">. The Plan shall be administered by the Compensation and Human Resource Committee of the Board or such other committee of the Board as the Board may from time to time designate (the </w:t>
      </w:r>
      <w:r>
        <w:rPr>
          <w:color w:val="000000"/>
          <w:shd w:fill="FFFFFF" w:val="clear"/>
        </w:rPr>
        <w:t>“</w:t>
      </w:r>
      <w:r>
        <w:rPr>
          <w:rFonts w:ascii="Times New Roman;serif" w:hAnsi="Times New Roman;serif"/>
          <w:b/>
          <w:color w:val="000000"/>
          <w:sz w:val="22"/>
          <w:shd w:fill="FFFFFF" w:val="clear"/>
        </w:rPr>
        <w:t>Committee”</w:t>
      </w:r>
      <w:r>
        <w:rPr>
          <w:rFonts w:ascii="Times New Roman;serif" w:hAnsi="Times New Roman;serif"/>
          <w:b w:val="false"/>
          <w:color w:val="000000"/>
          <w:sz w:val="22"/>
          <w:shd w:fill="FFFFFF" w:val="clear"/>
        </w:rPr>
        <w:t>), which shall be composed of not less than two directors, and shall be appointed by and serve at the pleasure of the Board. The Committee shall have plenary authority to grant Awards pursuant to the terms of the Plan to Eligible Individuals. Among other things, the Committee shall have the authority, subject to the terms of the Plan:</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to select the Eligible Individuals to whom Awards may from time to time be granted;</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to determine whether and to what extent Awards are to be granted hereunder;</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to determine the number of Shares to be covered by each Award granted hereunder;</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to determine the terms and conditions of each Award granted hereunder, based on such factors as the Committee shall determine;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    subject to Article X, to modify, amend or adjust the terms and conditions of any Award;</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    to adopt, alter and repeal such administrative rules, guidelines and practices governing the Plan as it shall from time to time deem advisable;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    to interpret the terms and provisions of the Plan and any Award issued under the Plan (and any agreement relating thereto) and to define terms not otherwise defined herein or therein;</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(h)    to determine whether, to what extent and under what circumstances cash, Shares and other property and other amounts payable with respect to an Award under the Plan shall be deferred either automatically or at the election of the Participant;</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    to establish any “blackout” period that the Committee in its sole discretion deems necessary or advisable;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(j)    to correct any defect, supply any omission, or reconcile any inconsistency in the Plan or any Award granted under the Plan in the manner and to the extent the Committee determines appropriate to reflect the intended provisions of the Plan or that Award or to meet any law that is applicable to the Plan (or the provisions of any law which must be met in order for the normal tax consequences of the award to apply), including any provision of Federal or state law or comparable provision of foreign law; and</w:t>
      </w:r>
    </w:p>
    <w:p>
      <w:pPr>
        <w:pStyle w:val="TextBody"/>
        <w:bidi w:val="0"/>
        <w:spacing w:before="0" w:after="12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71855"/>
                <wp:effectExtent l="0" t="0" r="0" b="0"/>
                <wp:wrapNone/>
                <wp:docPr id="55" name="Frame55"/>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(k)    to otherwise make such other determinations as the Committee determines appropriate to administer the Plan.</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2.02.        </w:t>
      </w:r>
      <w:r>
        <w:rPr>
          <w:rFonts w:ascii="Times New Roman;serif" w:hAnsi="Times New Roman;serif"/>
          <w:b w:val="false"/>
          <w:color w:val="000000"/>
          <w:sz w:val="22"/>
          <w:u w:val="single"/>
          <w:shd w:fill="FFFFFF" w:val="clear"/>
        </w:rPr>
        <w:t>Procedures</w:t>
      </w:r>
      <w:r>
        <w:rPr>
          <w:rFonts w:ascii="Times New Roman;serif" w:hAnsi="Times New Roman;serif"/>
          <w:b w:val="false"/>
          <w:color w:val="000000"/>
          <w:sz w:val="22"/>
          <w:shd w:fill="FFFFFF" w:val="clear"/>
        </w:rPr>
        <w:t>.</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The Committee may act only by a majority of its members then in office, except that the Committee may, except to the extent prohibited by applicable law or the rules of the Applicable Exchange, allocate all or any portion of its responsibilities and powers to any one or more of its members and may delegate all or any part of its responsibilities and powers to any person or persons selected by it.</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Any authority granted to the Committee may also be exercised by the full Board. To the extent that any permitted action taken by the Board conflicts with action taken by the Committee, the Board action shall control.</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2.03.    </w:t>
      </w:r>
      <w:r>
        <w:rPr>
          <w:rFonts w:ascii="Times New Roman;serif" w:hAnsi="Times New Roman;serif"/>
          <w:b w:val="false"/>
          <w:color w:val="000000"/>
          <w:sz w:val="22"/>
          <w:u w:val="single"/>
          <w:shd w:fill="FFFFFF" w:val="clear"/>
        </w:rPr>
        <w:t>Discretion of Committee</w:t>
      </w:r>
      <w:r>
        <w:rPr>
          <w:rFonts w:ascii="Times New Roman;serif" w:hAnsi="Times New Roman;serif"/>
          <w:b w:val="false"/>
          <w:color w:val="000000"/>
          <w:sz w:val="22"/>
          <w:shd w:fill="FFFFFF" w:val="clear"/>
        </w:rPr>
        <w:t>. Any determination made by the Committee or its delegate under the provisions of the Plan with respect to any Award shall be made in the sole discretion of the Committee or such delegate at the time of the grant of the Award or, unless in contravention of any express term of the Plan, at any time thereafter. Subject to Article I(g), all decisions made by the Committee or its delegate pursuant to the provisions of the Plan shall be final and binding on all persons, including the Company, Participants, and Eligible Individuals.</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2.04.    </w:t>
      </w:r>
      <w:r>
        <w:rPr>
          <w:rFonts w:ascii="Times New Roman;serif" w:hAnsi="Times New Roman;serif"/>
          <w:b w:val="false"/>
          <w:color w:val="000000"/>
          <w:sz w:val="22"/>
          <w:u w:val="single"/>
          <w:shd w:fill="FFFFFF" w:val="clear"/>
        </w:rPr>
        <w:t>Cancellation or Suspension</w:t>
      </w:r>
      <w:r>
        <w:rPr>
          <w:rFonts w:ascii="Times New Roman;serif" w:hAnsi="Times New Roman;serif"/>
          <w:b w:val="false"/>
          <w:color w:val="000000"/>
          <w:sz w:val="22"/>
          <w:shd w:fill="FFFFFF" w:val="clear"/>
        </w:rPr>
        <w:t>. The Committee shall have full power and authority to determine whether, to what extent and under what circumstances any Award shall be cancelled or suspended. In particular, but without limitation (except as otherwise required by applicable law), all outstanding Awards held by any Participant may be cancelled if the Participant, without the consent of the Committee, while employed by the Company or after termination of such employment, becomes associated with, employed by, renders services to, or owns any interest in (other than any nonsubstantial interest, as determined by the Committee), any business that is in competition with the Company or with any business in which the Company has a substantial interest, as determined by the Committee or its delegate.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2.05.</w:t>
      </w:r>
      <w:r>
        <w:rPr>
          <w:color w:val="5F259F"/>
          <w:shd w:fill="FFFFFF" w:val="clear"/>
        </w:rPr>
        <w:t>    </w:t>
      </w:r>
      <w:r>
        <w:rPr>
          <w:rFonts w:ascii="Times New Roman;serif" w:hAnsi="Times New Roman;serif"/>
          <w:b w:val="false"/>
          <w:color w:val="000000"/>
          <w:sz w:val="22"/>
          <w:u w:val="single"/>
          <w:shd w:fill="FFFFFF" w:val="clear"/>
        </w:rPr>
        <w:t>Award Agreements</w:t>
      </w:r>
      <w:r>
        <w:rPr>
          <w:rFonts w:ascii="Times New Roman;serif" w:hAnsi="Times New Roman;serif"/>
          <w:b w:val="false"/>
          <w:color w:val="000000"/>
          <w:sz w:val="22"/>
          <w:shd w:fill="FFFFFF" w:val="clear"/>
        </w:rPr>
        <w:t>. The terms and conditions of each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Article X.</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III.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COMMON STOCK SUBJECT TO PLAN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3.01.        </w:t>
      </w:r>
      <w:r>
        <w:rPr>
          <w:rFonts w:ascii="Times New Roman;serif" w:hAnsi="Times New Roman;serif"/>
          <w:b w:val="false"/>
          <w:color w:val="000000"/>
          <w:sz w:val="22"/>
          <w:u w:val="single"/>
          <w:shd w:fill="FFFFFF" w:val="clear"/>
        </w:rPr>
        <w:t>Plan Maximum</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2"/>
          <w:shd w:fill="FFFFFF" w:val="clear"/>
        </w:rPr>
        <w:t xml:space="preserve">The maximum number of Shares that may be granted pursuant to Awards under the Plan shall be a total of 10,700,000 Shares (subject to the rules for calculating Shares delivered pursuant to Section 3.03 and any future adjustment as may be made pursuant to Section 3.04), less one Share for every one Share subject to an Award granted under the Prior Plan after March 16, 2026 and prior to the </w:t>
      </w:r>
    </w:p>
    <w:p>
      <w:pPr>
        <w:pStyle w:val="TextBody"/>
        <w:bidi w:val="0"/>
        <w:spacing w:before="0" w:after="12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1855"/>
                <wp:effectExtent l="0" t="0" r="0" b="0"/>
                <wp:wrapNone/>
                <wp:docPr id="56" name="Frame56"/>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Effective Date. Shares subject to an Award under the Plan may be authorized and unissued Shares. No additional awards shall be granted under the Prior Plan on or after the Effective Date.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3.02.    </w:t>
      </w:r>
      <w:r>
        <w:rPr>
          <w:rFonts w:ascii="Times New Roman;serif" w:hAnsi="Times New Roman;serif"/>
          <w:b w:val="false"/>
          <w:color w:val="000000"/>
          <w:sz w:val="22"/>
          <w:u w:val="single"/>
          <w:shd w:fill="FFFFFF" w:val="clear"/>
        </w:rPr>
        <w:t>Annual Director Compensation Limit</w:t>
      </w:r>
      <w:r>
        <w:rPr>
          <w:rFonts w:ascii="Times New Roman;serif" w:hAnsi="Times New Roman;serif"/>
          <w:b w:val="false"/>
          <w:color w:val="000000"/>
          <w:sz w:val="22"/>
          <w:shd w:fill="FFFFFF" w:val="clear"/>
        </w:rPr>
        <w:t xml:space="preserve">. No Participant who is a non-employee director shall, in respect of service as a non-employee director, be granted Awards during any calendar year that, when aggregated with such non-employee director’s cash fees with respect to such calendar year, exceed $1,000,000 in total value (calculating the value of any such Awards based on the grant date fair value of such Awards for the Company’s financial reporting purposes). The Committee may make exceptions to increase such limit for an individual non-employee director in extraordinary circumstances, such as where a non-employee director serves as the non-executive chairman of the Board or lead independent director, or as a member of a special litigation or transaction committee of the Board, as the Committee may determine in its sole discretion;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the non-employee director receiving such additional compensation may not participate in the decision to award such compensation involving such non-employee director.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3.03.    </w:t>
      </w:r>
      <w:r>
        <w:rPr>
          <w:rFonts w:ascii="Times New Roman;serif" w:hAnsi="Times New Roman;serif"/>
          <w:b w:val="false"/>
          <w:color w:val="000000"/>
          <w:sz w:val="22"/>
          <w:u w:val="single"/>
          <w:shd w:fill="FFFFFF" w:val="clear"/>
        </w:rPr>
        <w:t>Rules for Calculating Shares Delivered</w:t>
      </w:r>
      <w:r>
        <w:rPr>
          <w:rFonts w:ascii="Times New Roman;serif" w:hAnsi="Times New Roman;serif"/>
          <w:b w:val="false"/>
          <w:color w:val="000000"/>
          <w:sz w:val="22"/>
          <w:shd w:fill="FFFFFF" w:val="clear"/>
        </w:rPr>
        <w:t>.</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To the extent that any Award is forfeited or cancelled, or any Option or SAR terminates, expires or lapses without being exercised, or any Award is settled for cash, the Shares subject to such Awards not delivered as a result thereof shall again be available for Awards under the Plan.</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If the tax withholding obligations relating to any Award (other than an Option or SAR) are satisfied by delivering Shares (either actually or through attestation) or withholding Shares relating to such Award, only the net number of Shares received by the Participant with respect to such Award shall be deemed to have been issued for purposes of the maximum number of Shares set forth in Section 3.01. However, if the exercise price of any Option and/or the tax withholding obligations relating to any Option or SAR are satisfied by delivering Shares (either actually or through attestation) or withholding Shares relating to such Option or SAR or if any Shares subject to a SAR are delivered upon the exercise of such SAR, the full number of Shares subject to such Option or SAR shall be deemed to have been issued for purposes of the maximum number of Shares set forth in Section 3.01. For the avoidance of doubt, any Shares repurchased by the Company on the open market with the proceeds of the exercise price of an Option or SAR (including any option or stock appreciation right granted under the Prior Plan that are outstanding on the Effective Date) shall not be added to the maximum number of Shares set forth in Section 3.01.</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The provisions of Section 3.03(a) and 3.03(b) shall also apply to awards granted under the Prior Plan that are outstanding on the Effective Date such that (i) any Shares subject to such awards granted under the Prior Plan that are forfeited or terminated, expire, lapse without being exercised or are settled for cash shall again be available for Awards under the Plan, (ii) if the tax withholding obligations relating to any award (other than an option or stock appreciation right) granted under the Prior Plan are satisfied by delivering Shares (either actually or through attestation) or withholding Shares relating to such award, only the net number of Shares received by the Participant shall be deemed to have been issued for purposes of the maximum number of Shares set forth in Section 3.01 and (iii) if the exercise price of any option granted under the Prior Plan and/or the tax withholding obligations relating to any option or stock appreciation right granted under the Prior Plan are satisfied by delivering Shares (either actually or through attestation) or withholding Shares relating to such option or stock appreciation right or if any Shares subject to a stock appreciation right granted under the Prior Plan are delivered upon the exercise of such stock appreciation right, the full number of Shares subject to such option or </w:t>
      </w:r>
    </w:p>
    <w:p>
      <w:pPr>
        <w:pStyle w:val="TextBody"/>
        <w:bidi w:val="0"/>
        <w:spacing w:before="0" w:after="12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71855"/>
                <wp:effectExtent l="0" t="0" r="0" b="0"/>
                <wp:wrapNone/>
                <wp:docPr id="57" name="Frame57"/>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stock appreciation right shall be deemed to have been issued for purposes of the maximum number of Shares set forth in Section 3.01. </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3.04.    </w:t>
      </w:r>
      <w:r>
        <w:rPr>
          <w:rFonts w:ascii="Times New Roman;serif" w:hAnsi="Times New Roman;serif"/>
          <w:b w:val="false"/>
          <w:color w:val="000000"/>
          <w:sz w:val="22"/>
          <w:u w:val="single"/>
          <w:shd w:fill="FFFFFF" w:val="clear"/>
        </w:rPr>
        <w:t>Adjustment Provisions</w:t>
      </w:r>
      <w:r>
        <w:rPr>
          <w:rFonts w:ascii="Times New Roman;serif" w:hAnsi="Times New Roman;serif"/>
          <w:b w:val="false"/>
          <w:color w:val="000000"/>
          <w:sz w:val="22"/>
          <w:shd w:fill="FFFFFF" w:val="clear"/>
        </w:rPr>
        <w:t xml:space="preserve">. </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In the event of any Change in Capitalization (including a Change in Control), an equitable substitution or proportionate adjustment shall be made, in each case, in the manner determined by the Committee, in its sole discretion, in (A) the aggregate number and kind of Shares or other securities reserved for issuance and delivery under the Plan, (B) the number and kind of Shares or other securities subject to outstanding Awards, (C) the exercise price of outstanding Options and SARs, and (D) the Performance Goals and performance periods applicable to any outstanding Awards. Such other equitable substitutions or adjustments shall be made in the manner determined by the Committee, in its sole discretion. </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(b)    Without limiting the generality of the foregoing, in connection with a Change in Capitalization (including a Change in Control), the Committee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cash or other property covered by such Award, reduced by the aggregate exercise price thereof, if any;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if the exercise price of any outstanding Award is equal to or greater than the Fair Market Value of the Shares, cash or other property covered by such Award, the Committee may cancel such Award without the payment of any consideration to the Participant.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(c)    Awards may, in the discretion of the Committee, be granted under the Plan in assumption of, or in substitution for, outstanding awards previously granted by the Company or any of its Subsidiaries or Affiliates or an entity acquired by the Company or any of its Subsidiaries or Affiliates or with which the Company or any of its Subsidiaries or Affiliates combines (</w:t>
      </w:r>
      <w:r>
        <w:rPr>
          <w:color w:val="000000"/>
          <w:shd w:fill="FFFFFF" w:val="clear"/>
        </w:rPr>
        <w:t>“</w:t>
      </w:r>
      <w:r>
        <w:rPr>
          <w:rFonts w:ascii="Times New Roman;serif" w:hAnsi="Times New Roman;serif"/>
          <w:b/>
          <w:color w:val="000000"/>
          <w:sz w:val="22"/>
          <w:shd w:fill="FFFFFF" w:val="clear"/>
        </w:rPr>
        <w:t>Substitute Awards”</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xml:space="preserve">, that in no event may any Substitute Award be granted in a manner that would violate the prohibitions on repricing of Options and SARs, as set forth in Section 5.03. The number of Shares underlying any Substitute Awards shall be counted against the maximum number of Shares set forth in Section 3.01;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the Substitute Awards issued in connection with the assumption of, or in substitution for, outstanding awards previously granted by an entity that is acquired by the Company or any of its Subsidiaries or Affiliates or with which the Company or any of its Subsidiaries or Affiliates combines shall not be counted against the maximum number of Shares set forth in Section 3.01 (subject to the rules of the Applicable Exchange).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Notwithstanding anything in the Plan to the contrary: (i) any adjustments made pursuant to this Section 3.04 to Awards that are considered “deferred compensation” within the meaning of Section 409A of the Code shall be made in compliance with the requirements of Section 409A of the Code; (ii) any adjustments made pursuant to this Section 3.04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and (iii) in any event, neither the Committee nor the Board shall have the authority to make any adjustments pursuant to this Section 3.04 to the extent the existence of such authority would cause an Award that is not intended to be subject to Section 409A of the Code at the Grant Date to be subject thereto.</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3.05.        </w:t>
      </w:r>
      <w:r>
        <w:rPr>
          <w:rFonts w:ascii="Times New Roman;serif" w:hAnsi="Times New Roman;serif"/>
          <w:b w:val="false"/>
          <w:color w:val="000000"/>
          <w:sz w:val="22"/>
          <w:u w:val="single"/>
          <w:shd w:fill="FFFFFF" w:val="clear"/>
        </w:rPr>
        <w:t>One-Year Minimum Vesting Requirement</w:t>
      </w:r>
      <w:r>
        <w:rPr>
          <w:rFonts w:ascii="Times New Roman;serif" w:hAnsi="Times New Roman;serif"/>
          <w:b w:val="false"/>
          <w:color w:val="000000"/>
          <w:sz w:val="22"/>
          <w:shd w:fill="FFFFFF" w:val="clear"/>
        </w:rPr>
        <w:t xml:space="preserve">. Any Awards (other than Cash Awards) granted under the Plan (other than (i) such Awards representing a maximum of five percent (5%) of the Shares reserved for issuance under the Plan pursuant to Section 3.01, (ii) Shares delivered in lieu of earned </w:t>
      </w:r>
    </w:p>
    <w:p>
      <w:pPr>
        <w:pStyle w:val="TextBody"/>
        <w:bidi w:val="0"/>
        <w:spacing w:before="0" w:after="12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71855"/>
                <wp:effectExtent l="0" t="0" r="0" b="0"/>
                <wp:wrapNone/>
                <wp:docPr id="58" name="Frame58"/>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1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cash obligations and (iii) Awards granted to non-employee directors that vest on the earlier of the one-year anniversary of the Grant Date or the next annual meeting of stockholders which is at least fifty (50) weeks after the immediately preceding year’s annual meeting) shall be granted subject to a minimum vesting period of at least twelve (12) months, such that no such Awards (or any portion thereof) shall vest prior to the first anniversary of the applicable Grant Date. Notwithstanding the foregoing, the Committee may accelerate the vesting of Awards prior to the first anniversary of the applicable Grant Date (i) due to the Participant’s death, Disability, retirement, leave of absence or termination of employment, or upon a divestiture, Disaffiliation, reduction in force or any other similar event, in each case as determined by the Committee or (ii) as provided in Section 9.01 in connection with a Change in Control.</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IV.</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ELIGIBILITY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Awards may be granted under the Plan to Eligible Individuals;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xml:space="preserve">, that Incentive Stock Options may be granted only to employees of the Company and its Subsidiaries or parent corporation (within the meaning of Section 424(f) of the Code);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further</w:t>
      </w:r>
      <w:r>
        <w:rPr>
          <w:rFonts w:ascii="Times New Roman;serif" w:hAnsi="Times New Roman;serif"/>
          <w:b w:val="false"/>
          <w:color w:val="000000"/>
          <w:sz w:val="22"/>
          <w:shd w:fill="FFFFFF" w:val="clear"/>
        </w:rPr>
        <w:t>, that Options or SARs that are intended to be exempt from Section 409A of the Code may be granted only to Eligible Individuals who are providing services to the Company or any corporation or other entity as to which the Company is an “eligible issuer of service recipient stock” (within the meaning of Section 409A of the Code).</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V.</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OPTIONS AND STOCK APPRECIATION RIGHTS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5.01.        </w:t>
      </w:r>
      <w:r>
        <w:rPr>
          <w:rFonts w:ascii="Times New Roman;serif" w:hAnsi="Times New Roman;serif"/>
          <w:b w:val="false"/>
          <w:color w:val="000000"/>
          <w:sz w:val="22"/>
          <w:u w:val="single"/>
          <w:shd w:fill="FFFFFF" w:val="clear"/>
        </w:rPr>
        <w:t>Types of Options</w:t>
      </w:r>
      <w:r>
        <w:rPr>
          <w:rFonts w:ascii="Times New Roman;serif" w:hAnsi="Times New Roman;serif"/>
          <w:b w:val="false"/>
          <w:color w:val="000000"/>
          <w:sz w:val="22"/>
          <w:shd w:fill="FFFFFF" w:val="clear"/>
        </w:rPr>
        <w:t xml:space="preserve">. Options may be of two types: Incentive Stock Options and Nonqualified Options. The Award Agreement for an Option shall indicate whether the Option is intended to be an Incentive Stock Option or a Nonqualified Option (and in the event the Award Agreement has no such designation, the Option shall be by default a Nonqualified Option). </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5.02.</w:t>
      </w:r>
      <w:r>
        <w:rPr>
          <w:color w:val="000000"/>
          <w:u w:val="single"/>
          <w:shd w:fill="FFFFFF" w:val="clear"/>
        </w:rPr>
        <w:t>    </w:t>
      </w:r>
      <w:r>
        <w:rPr>
          <w:color w:val="000000"/>
          <w:shd w:fill="FFFFFF" w:val="clear"/>
        </w:rPr>
        <w:t>    </w:t>
      </w:r>
      <w:r>
        <w:rPr>
          <w:rFonts w:ascii="Times New Roman;serif" w:hAnsi="Times New Roman;serif"/>
          <w:b w:val="false"/>
          <w:color w:val="000000"/>
          <w:sz w:val="22"/>
          <w:u w:val="single"/>
          <w:shd w:fill="FFFFFF" w:val="clear"/>
        </w:rPr>
        <w:t>Nature of Stock Appreciation Rights</w:t>
      </w:r>
      <w:r>
        <w:rPr>
          <w:rFonts w:ascii="Times New Roman;serif" w:hAnsi="Times New Roman;serif"/>
          <w:b w:val="false"/>
          <w:color w:val="000000"/>
          <w:sz w:val="22"/>
          <w:shd w:fill="FFFFFF" w:val="clear"/>
        </w:rPr>
        <w:t>. A SAR may be granted free-standing, in relation to an Option being granted at the same time as the SAR is granted, or in relation to an Option both which is not an Incentive Stock Option and which has been granted prior to the grant of the SAR. Upon the exercise of a SAR, the Participant shall be entitled to receive an amount in cash, Shares, or both, in value equal to the product of (i) the excess of the Fair Market Value of one Share over the exercise price of the applicable SAR, multiplied by (ii) the number of Shares in respect of which the SAR has been exercised. The applicable Award Agreement shall specify whether such payment is to be made in cash or Common Stock or both, or shall reserve to the Committee or the Participant the right to make that determination prior to or upon the exercise of the SAR.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5.03.    </w:t>
      </w:r>
      <w:r>
        <w:rPr>
          <w:rFonts w:ascii="Times New Roman;serif" w:hAnsi="Times New Roman;serif"/>
          <w:b w:val="false"/>
          <w:color w:val="000000"/>
          <w:sz w:val="22"/>
          <w:u w:val="single"/>
          <w:shd w:fill="FFFFFF" w:val="clear"/>
        </w:rPr>
        <w:t>Exercise Price; No Repricing Absent Stockholder Approval</w:t>
      </w:r>
      <w:r>
        <w:rPr>
          <w:rFonts w:ascii="Times New Roman;serif" w:hAnsi="Times New Roman;serif"/>
          <w:b w:val="false"/>
          <w:color w:val="000000"/>
          <w:sz w:val="22"/>
          <w:shd w:fill="FFFFFF" w:val="clear"/>
        </w:rPr>
        <w:t xml:space="preserve">.     The exercise price per Share subject to an Option or SAR shall be determined by the Committee and set forth in the applicable Award Agreement, and, unless otherwise determined by the Committee and set forth in the applicable Award Agreement, shall not be less than the Fair Market Value of a share of the Common Stock on the applicable Grant Date. Other than pursuant to Section 3.04, in no event shall the Committee be permitted, without approval by the Company’s stockholders, to reprice Options or SARs or buyout underwater Options or SARs by (i) lowering the exercise price per Share of any outstanding Option or SAR after the Grant Date; (ii) cancelling an Option or SAR (at a time when the applicable exercise price per Share exceeds the Fair Market Value of the underlying Shares) </w:t>
      </w:r>
    </w:p>
    <w:p>
      <w:pPr>
        <w:pStyle w:val="TextBody"/>
        <w:bidi w:val="0"/>
        <w:spacing w:before="0" w:after="12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71855"/>
                <wp:effectExtent l="0" t="0" r="0" b="0"/>
                <wp:wrapNone/>
                <wp:docPr id="59" name="Frame59"/>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44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exchange for cash, property or another Award; (iii) taking any action that would be treated as a repricing under generally accepted accounting principles; or (iv) taking any other action that has the same effect as clause (i), (ii) or (iii), unless such amendment, cancellation, or action is approved by the Company’s stockholders. Unless otherwise determined by the Committee, any Option as to which a SAR is related shall no longer be exercisable to the extent the SAR has been exercised and the exercise of an Option shall cancel any related SAR to the extent of such exercise.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5.04.    </w:t>
      </w:r>
      <w:r>
        <w:rPr>
          <w:rFonts w:ascii="Times New Roman;serif" w:hAnsi="Times New Roman;serif"/>
          <w:b w:val="false"/>
          <w:color w:val="000000"/>
          <w:sz w:val="22"/>
          <w:u w:val="single"/>
          <w:shd w:fill="FFFFFF" w:val="clear"/>
        </w:rPr>
        <w:t>Term</w:t>
      </w:r>
      <w:r>
        <w:rPr>
          <w:rFonts w:ascii="Times New Roman;serif" w:hAnsi="Times New Roman;serif"/>
          <w:b w:val="false"/>
          <w:color w:val="000000"/>
          <w:sz w:val="22"/>
          <w:shd w:fill="FFFFFF" w:val="clear"/>
        </w:rPr>
        <w:t>. The Term of each Option and each SAR shall be fixed by the Committee, but shall not exceed 10 years from the Grant Date.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5.05.    </w:t>
      </w:r>
      <w:r>
        <w:rPr>
          <w:rFonts w:ascii="Times New Roman;serif" w:hAnsi="Times New Roman;serif"/>
          <w:b w:val="false"/>
          <w:color w:val="000000"/>
          <w:sz w:val="22"/>
          <w:u w:val="single"/>
          <w:shd w:fill="FFFFFF" w:val="clear"/>
        </w:rPr>
        <w:t>Vesting and Exercisability</w:t>
      </w:r>
      <w:r>
        <w:rPr>
          <w:rFonts w:ascii="Times New Roman;serif" w:hAnsi="Times New Roman;serif"/>
          <w:b w:val="false"/>
          <w:color w:val="000000"/>
          <w:sz w:val="22"/>
          <w:shd w:fill="FFFFFF" w:val="clear"/>
        </w:rPr>
        <w:t>. Except as otherwise provided herein, Options and SARs shall be exercisable at such time or times and subject to such terms and conditions as shall be determined by the Committee. If the Committee provides that any Option or SAR will become exercisable only in installments, the Committee may at any time waive such installment exercise provisions, in whole or in part, based on such factors as the Committee may determine.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5.06.    </w:t>
      </w:r>
      <w:r>
        <w:rPr>
          <w:rFonts w:ascii="Times New Roman;serif" w:hAnsi="Times New Roman;serif"/>
          <w:b w:val="false"/>
          <w:color w:val="000000"/>
          <w:sz w:val="22"/>
          <w:u w:val="single"/>
          <w:shd w:fill="FFFFFF" w:val="clear"/>
        </w:rPr>
        <w:t>Method of Exercise</w:t>
      </w:r>
      <w:r>
        <w:rPr>
          <w:rFonts w:ascii="Times New Roman;serif" w:hAnsi="Times New Roman;serif"/>
          <w:b w:val="false"/>
          <w:color w:val="000000"/>
          <w:sz w:val="22"/>
          <w:shd w:fill="FFFFFF" w:val="clear"/>
        </w:rPr>
        <w:t>. The method of exercising Options and SARs shall be set forth in the applicable Award Agreement.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5.07.    </w:t>
      </w:r>
      <w:r>
        <w:rPr>
          <w:rFonts w:ascii="Times New Roman;serif" w:hAnsi="Times New Roman;serif"/>
          <w:b w:val="false"/>
          <w:color w:val="000000"/>
          <w:sz w:val="22"/>
          <w:u w:val="single"/>
          <w:shd w:fill="FFFFFF" w:val="clear"/>
        </w:rPr>
        <w:t>Delivery; Rights of Stockholders</w:t>
      </w:r>
      <w:r>
        <w:rPr>
          <w:rFonts w:ascii="Times New Roman;serif" w:hAnsi="Times New Roman;serif"/>
          <w:b w:val="false"/>
          <w:color w:val="000000"/>
          <w:sz w:val="22"/>
          <w:shd w:fill="FFFFFF" w:val="clear"/>
        </w:rPr>
        <w:t>. No Shares shall be delivered pursuant to the exercise of an Option until the exercise price therefore has been fully paid and applicable taxes have been withheld. The applicable Participant shall have all of the rights of a stockholder of the Company holding the class or series of Common Stock that is subject to the Option or SAR (including, if applicable, the right to vote the applicable Shares and the right to receive dividends), when the Participant (i) has given written notice of exercise, (ii) if requested, has given the representation described in Section 11.01 and (ii) in the case of an Option, has paid in full for such Shares. For the avoidance of doubt, the applicable Participant shall not have the right to receive dividends or dividend equivalents with respect to the Common Stock that is subject to the Option or SAR prior to the satisfaction of all of the conditions set forth in the preceding sentence.</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5.08.    </w:t>
      </w:r>
      <w:r>
        <w:rPr>
          <w:rFonts w:ascii="Times New Roman;serif" w:hAnsi="Times New Roman;serif"/>
          <w:b w:val="false"/>
          <w:color w:val="000000"/>
          <w:sz w:val="22"/>
          <w:u w:val="single"/>
          <w:shd w:fill="FFFFFF" w:val="clear"/>
        </w:rPr>
        <w:t>Nontransferability of Options and Stock Appreciation Rights</w:t>
      </w:r>
      <w:r>
        <w:rPr>
          <w:rFonts w:ascii="Times New Roman;serif" w:hAnsi="Times New Roman;serif"/>
          <w:b w:val="false"/>
          <w:color w:val="000000"/>
          <w:sz w:val="22"/>
          <w:shd w:fill="FFFFFF" w:val="clear"/>
        </w:rPr>
        <w:t xml:space="preserve">. No Option or SAR shall be transferable by a Participant other than (i) by will or by the laws of descent and distribution, or (ii) in the case of a Nonqualified Option or SAR and solely as expressly permitted by the Committee, pursuant to a transfer to the Participant’s family members, whether directly or indirectly or by means of a trust or partnership or otherwise. For purposes of the Plan, unless otherwise determined by the Committee, “family member” shall have the meaning given to such term in General Instructions A.1(a)(5) to Form S-8 under the Securities Act of 1933, as amended, and any successor thereto. Options or SARs shall be exercisable, subject to the terms of the Plan, only by the applicable Participant, the guardian or legal representative of such Participant, or any person to whom such Option or SAR is permissibly transferred pursuant to this Section 5.08, it being understood that the term “Participant” includes such guardian, legal representative and other transferee;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the term “Termination of Employment” shall continue to refer to the Termination of Employment of the original Participant.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5.09.    </w:t>
      </w:r>
      <w:r>
        <w:rPr>
          <w:rFonts w:ascii="Times New Roman;serif" w:hAnsi="Times New Roman;serif"/>
          <w:b w:val="false"/>
          <w:color w:val="000000"/>
          <w:sz w:val="22"/>
          <w:u w:val="single"/>
          <w:shd w:fill="FFFFFF" w:val="clear"/>
        </w:rPr>
        <w:t>Incentive Stock Options</w:t>
      </w:r>
      <w:r>
        <w:rPr>
          <w:rFonts w:ascii="Times New Roman;serif" w:hAnsi="Times New Roman;serif"/>
          <w:b w:val="false"/>
          <w:color w:val="000000"/>
          <w:sz w:val="22"/>
          <w:shd w:fill="FFFFFF" w:val="clear"/>
        </w:rPr>
        <w:t xml:space="preserve">. The terms and conditions of any Incentive Stock Options granted under the Plan shall be subject to the provisions of Section 422 of the Code and the terms, conditions, limitations and administrative procedures established by the Committee from time to time in </w:t>
      </w:r>
    </w:p>
    <w:p>
      <w:pPr>
        <w:pStyle w:val="TextBody"/>
        <w:bidi w:val="0"/>
        <w:spacing w:before="0" w:after="12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71855"/>
                <wp:effectExtent l="0" t="0" r="0" b="0"/>
                <wp:wrapNone/>
                <wp:docPr id="60" name="Frame60"/>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479"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accordance with the Plan. All of the Shares reserved for issuance under the Plan as of the Effective Date pursuant to Section 3.01 (subject to adjustment as provided in Section 3.04) may be granted as Incentive Stock Options. </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Notwithstanding anything to the contrary in the Plan, if an Incentive Stock Option is granted to a Participant who owns shares representing more than 10% of the voting power of all classes of shares of the Company, its “parent corporation” (as such term is defined in Section 424(e) of the Code) or “subsidiary corporation” (as such term is defined in Section 424(f) of the Code), the term of the Incentive Stock Option shall not exceed five years from the time of grant of such Incentive Stock Option and the exercise price shall be at least 110% of the Fair Market Value of a share of the Common Stock on the applicable Grant Date.</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To the extent the aggregate Fair Market Value (determined on the date of grant) of the Shares for which Incentive Stock Options are exercisable for the first time by any Participant during any calendar year (under all plans of the Company and its Affiliates) exceeds $100,000, such excess Incentive Stock Options shall be treated as Nonqualified Options.</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Each Participant awarded an Incentive Stock Option under the Plan shall notify the Company in writing immediately after the date the Participant makes a “disqualifying disposition” of any Share acquired pursuant to the exercise of such Incentive Stock Option. A “disqualifying disposition” is any disposition (including any sale) of such Shares before the later of (i) two years after the Grant Date of the Incentive Stock Option and (ii) one year after the date the Participant acquired the Shares by exercising the Incentive Stock Option. The Company may, if determined by the Committee and in accordance with procedures established by it, retain possession of any Shares acquired pursuant to the exercise of an Incentive Stock Option as agent for the applicable Participant until the end of the period described in the preceding sentence, subject to complying with any instructions from such Participant as to the sale of such Shares.</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Neither the Company nor the Committee will be liable to a Participant, or to any other party, if an Incentive Stock Option fails or ceases to qualify as an “incentive stock option” under Section 422 of the Code. </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VI.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RESTRICTED STOCK</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6.01.        </w:t>
      </w:r>
      <w:r>
        <w:rPr>
          <w:rFonts w:ascii="Times New Roman;serif" w:hAnsi="Times New Roman;serif"/>
          <w:b w:val="false"/>
          <w:color w:val="000000"/>
          <w:sz w:val="22"/>
          <w:u w:val="single"/>
          <w:shd w:fill="FFFFFF" w:val="clear"/>
        </w:rPr>
        <w:t>Nature of Restricted Stock</w:t>
      </w:r>
      <w:r>
        <w:rPr>
          <w:rFonts w:ascii="Times New Roman;serif" w:hAnsi="Times New Roman;serif"/>
          <w:b w:val="false"/>
          <w:color w:val="000000"/>
          <w:sz w:val="22"/>
          <w:shd w:fill="FFFFFF" w:val="clear"/>
        </w:rPr>
        <w:t>. Shares of Restricted Stock are Shares issued to a Participant, and shall be evidenced in such manner as the Committee may deem appropriate, including book-entry registration or stock certificates with such legends as the Committee shall specify. Notwithstanding anything in the Plan to the contrary, unless otherwise determined by the Committee or required by any applicable law, the Company shall not deliver to any Participant certificates evidencing Shares issued in connection with any Award and instead such Shares shall be recorded in the books of the Company (or, as applicable, its transfer agent or stock plan administrator).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6.02.    </w:t>
      </w:r>
      <w:r>
        <w:rPr>
          <w:rFonts w:ascii="Times New Roman;serif" w:hAnsi="Times New Roman;serif"/>
          <w:b w:val="false"/>
          <w:color w:val="000000"/>
          <w:sz w:val="22"/>
          <w:u w:val="single"/>
          <w:shd w:fill="FFFFFF" w:val="clear"/>
        </w:rPr>
        <w:t>Terms and Conditions</w:t>
      </w:r>
      <w:r>
        <w:rPr>
          <w:rFonts w:ascii="Times New Roman;serif" w:hAnsi="Times New Roman;serif"/>
          <w:b w:val="false"/>
          <w:color w:val="000000"/>
          <w:sz w:val="22"/>
          <w:shd w:fill="FFFFFF" w:val="clear"/>
        </w:rPr>
        <w:t>. Shares of Restricted Stock shall be subject to the following terms and conditions:</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The Committee may condition the grant or vesting of an Award upon the attainment of one or more Performance Goals. The Committee may also condition the grant or vesting thereof upon the continued service of the applicable Participant. The conditions for grant or vesting and the other provisions of </w:t>
      </w:r>
    </w:p>
    <w:p>
      <w:pPr>
        <w:pStyle w:val="TextBody"/>
        <w:bidi w:val="0"/>
        <w:spacing w:before="0" w:after="12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71855"/>
                <wp:effectExtent l="0" t="0" r="0" b="0"/>
                <wp:wrapNone/>
                <wp:docPr id="61" name="Frame61"/>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r>
                                    <w:br w:type="page"/>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Restricted Stock Awards (including any applicable Performance Goals) need not be the same with respect to each recipient.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(b)    Subject to the provisions of the Plan and the applicable Award Agreement, during the period, if any, set by the Committee, commencing with the Grant Date of such Restricted Stock Award for which such Participant’s continued service is required (the </w:t>
      </w:r>
      <w:r>
        <w:rPr>
          <w:color w:val="000000"/>
          <w:shd w:fill="FFFFFF" w:val="clear"/>
        </w:rPr>
        <w:t>“</w:t>
      </w:r>
      <w:r>
        <w:rPr>
          <w:rFonts w:ascii="Times New Roman;serif" w:hAnsi="Times New Roman;serif"/>
          <w:b/>
          <w:color w:val="000000"/>
          <w:sz w:val="22"/>
          <w:shd w:fill="FFFFFF" w:val="clear"/>
        </w:rPr>
        <w:t>Restriction Period”</w:t>
      </w:r>
      <w:r>
        <w:rPr>
          <w:rFonts w:ascii="Times New Roman;serif" w:hAnsi="Times New Roman;serif"/>
          <w:b w:val="false"/>
          <w:color w:val="000000"/>
          <w:sz w:val="22"/>
          <w:shd w:fill="FFFFFF" w:val="clear"/>
        </w:rPr>
        <w:t>), and until the later of (A) the expiration of the Restriction Period and (B) the date the applicable Performance Goals (if any) are satisfied, the Participant shall not be permitted to sell, assign, transfer, pledge or otherwise encumber Shares of Restricted Stock.</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(c)    Except as provided in this Article VI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subject to Section 409A of the Code and Section 11.05, (A) cash dividends on the class or series of Common Stock that is the subject of the Restricted Stock Award shall be automatically deferred and either (x) accrued in cash and paid to the Participant subject to, and at the same time as, the vesting of the underlying Restricted Stock or (y) reinvested in additional Restricted Stock, held subject to the vesting of the underlying Restricted Stock, and (B) subject to any adjustment pursuant to Section 3.04, dividends payable in Common Stock shall be paid in the form of Restricted Stock of the same class as the Common Stock with which such dividend was paid, held subject to the vesting of the underlying Restricted Stock. Furthermore, notwithstanding any provision in the Plan to the contrary, in the case of a Restricted Stock Award the vesting of which is conditioned upon the achievement of Performance Goals, the Committee may provide, as set forth in the applicable Award Agreement, that a Participant shall not be entitled to receive payment for dividends with respect to such Restricted Stock Award unless, until and except to the extent that (i) the applicable Performance Goals are achieved or are otherwise deemed satisfied, and (ii) any time-based or service-based vesting conditions are satisfied.</w:t>
      </w:r>
    </w:p>
    <w:p>
      <w:pPr>
        <w:pStyle w:val="TextBody"/>
        <w:bidi w:val="0"/>
        <w:spacing w:lineRule="auto" w:line="288"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VII.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RESTRICTED STOCK UNITS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7.01.    </w:t>
      </w:r>
      <w:r>
        <w:rPr>
          <w:rFonts w:ascii="Times New Roman;serif" w:hAnsi="Times New Roman;serif"/>
          <w:b w:val="false"/>
          <w:color w:val="000000"/>
          <w:sz w:val="22"/>
          <w:u w:val="single"/>
          <w:shd w:fill="FFFFFF" w:val="clear"/>
        </w:rPr>
        <w:t>Nature of Awards</w:t>
      </w:r>
      <w:r>
        <w:rPr>
          <w:rFonts w:ascii="Times New Roman;serif" w:hAnsi="Times New Roman;serif"/>
          <w:b w:val="false"/>
          <w:color w:val="000000"/>
          <w:sz w:val="22"/>
          <w:shd w:fill="FFFFFF" w:val="clear"/>
        </w:rPr>
        <w:t>. Restricted Stock Units are Awards denominated in Shares that will be settled, subject to the terms and conditions of the Restricted Stock Units, in an amount in cash, Shares, or both, based upon the Fair Market Value of a specified number of Shares.</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7.02.    </w:t>
      </w:r>
      <w:r>
        <w:rPr>
          <w:rFonts w:ascii="Times New Roman;serif" w:hAnsi="Times New Roman;serif"/>
          <w:b w:val="false"/>
          <w:color w:val="000000"/>
          <w:sz w:val="22"/>
          <w:u w:val="single"/>
          <w:shd w:fill="FFFFFF" w:val="clear"/>
        </w:rPr>
        <w:t>Terms and Conditions</w:t>
      </w:r>
      <w:r>
        <w:rPr>
          <w:rFonts w:ascii="Times New Roman;serif" w:hAnsi="Times New Roman;serif"/>
          <w:b w:val="false"/>
          <w:color w:val="000000"/>
          <w:sz w:val="22"/>
          <w:shd w:fill="FFFFFF" w:val="clear"/>
        </w:rPr>
        <w:t>. Restricted Stock Units shall be subject to the following terms and conditions:</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The Committee may condition the vesting of Restricted Stock Units upon the attainment of one or more Performance Goals. The Committee may also condition the vesting thereof upon the continued service of the Participant. The conditions for grant or vesting and the other provisions of Restricted Stock Units (including any applicable Performance Goals) need not be the same with respect to each recipient. An Award of Restricted Stock Units shall be settled as and when the Restricted Stock Units vest or at a later time specified by the Committee or in accordance with an election of the Participant, if the Committee so permits in accordance with the requirements of Section 409A of the Code.</w:t>
      </w:r>
    </w:p>
    <w:p>
      <w:pPr>
        <w:pStyle w:val="TextBody"/>
        <w:bidi w:val="0"/>
        <w:spacing w:before="0" w:after="12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71855"/>
                <wp:effectExtent l="0" t="0" r="0" b="0"/>
                <wp:wrapNone/>
                <wp:docPr id="62" name="Frame62"/>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(b)    Subject to the provisions of the Plan and the applicable Award Agreement, during the period, if any, set by the Committee, commencing with the Grant Date of such Restricted Stock Units for which such Participant’s continued service is required (the </w:t>
      </w:r>
      <w:r>
        <w:rPr>
          <w:color w:val="000000"/>
          <w:shd w:fill="FFFFFF" w:val="clear"/>
        </w:rPr>
        <w:t>“</w:t>
      </w:r>
      <w:r>
        <w:rPr>
          <w:rFonts w:ascii="Times New Roman;serif" w:hAnsi="Times New Roman;serif"/>
          <w:b/>
          <w:color w:val="000000"/>
          <w:sz w:val="22"/>
          <w:shd w:fill="FFFFFF" w:val="clear"/>
        </w:rPr>
        <w:t>Restriction Period”</w:t>
      </w:r>
      <w:r>
        <w:rPr>
          <w:rFonts w:ascii="Times New Roman;serif" w:hAnsi="Times New Roman;serif"/>
          <w:b w:val="false"/>
          <w:color w:val="000000"/>
          <w:sz w:val="22"/>
          <w:shd w:fill="FFFFFF" w:val="clear"/>
        </w:rPr>
        <w:t>), and until the later of (A) the expiration of the Restriction Period and (B) the date the applicable Performance Goals (if any) are satisfied, the Participant shall not be permitted to sell, assign, transfer, pledge or otherwise encumber Restricted Stock Units.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(c)    Except as provided in the applicable Award Agreement, the applicable Participant shall generally not have the rights of a stockholder of the Company holding the class or series of Common Stock that is the subject of the Restricted Stock Units;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subject to Section 409A of the Code and Section 11.05, the Committee may provide, as set forth in the applicable Award Agreement, that (A) cash dividends on the class or series of Common Stock that is the subject of the Restricted Stock Units shall be automatically deferred and either (x) accrued in cash and paid to the Participant subject to, and at the same time as, the settlement of the underlying Restricted Stock Units or (y) reinvested in additional Restricted Stock Units, held subject to the vesting and settlement of the underlying Restricted Stock Units, and (B) subject to any adjustment pursuant to Section 3.04, dividends payable in Common Stock shall be paid in the form of Restricted Stock Units of the same class as the Common Stock with which such dividend was paid, held subject to the vesting and settlement of the underlying Restricted Stock Units. Furthermore, notwithstanding any provision in the Plan to the contrary, in the case of Restricted Stock Units the vesting of which is conditioned upon the achievement of Performance Goals, the Committee may provide, as set forth in the applicable Award Agreement, that a Participant shall not be entitled to receive payment for dividends with respect to such Restricted Stock Units unless, until and except to the extent that (i) the applicable Performance Goals are achieved or are otherwise deemed satisfied, (ii) any time-based or service-based vesting conditions are satisfied and (iii) the Restricted Stock Units are settled in the form of Shares.</w:t>
      </w:r>
    </w:p>
    <w:p>
      <w:pPr>
        <w:pStyle w:val="TextBody"/>
        <w:bidi w:val="0"/>
        <w:spacing w:lineRule="auto" w:line="288"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VIII.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OTHER STOCK-BASED AWARDS; CASH AWARDS</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8.01.        </w:t>
      </w:r>
      <w:r>
        <w:rPr>
          <w:rFonts w:ascii="Times New Roman;serif" w:hAnsi="Times New Roman;serif"/>
          <w:b w:val="false"/>
          <w:color w:val="000000"/>
          <w:sz w:val="22"/>
          <w:u w:val="single"/>
          <w:shd w:fill="FFFFFF" w:val="clear"/>
        </w:rPr>
        <w:t>Other-Stock Based Awards</w:t>
      </w:r>
      <w:r>
        <w:rPr>
          <w:rFonts w:ascii="Times New Roman;serif" w:hAnsi="Times New Roman;serif"/>
          <w:b w:val="false"/>
          <w:color w:val="000000"/>
          <w:sz w:val="22"/>
          <w:shd w:fill="FFFFFF" w:val="clear"/>
        </w:rPr>
        <w:t>. Other Stock-Based Awards may be granted under the Plan, valued in whole or in part by reference to, or otherwise based on or related to, Shares, including but not limited to dividend equivalents, and may be granted as unrestricted Shares, in each case either alone or in addition to other Awards under the Plan. Any dividend or dividend equivalent awarded hereunder shall be subject to the same restrictions, conditions and risks of forfeiture as the underlying Award. Subject to the provisions of the Plan, the Committee shall have sole and complete authority to determine the individuals to whom and the time or times at which such Other Stock-Based Awards shall be granted, the number of Shares to be granted pursuant to such Other Stock-Based Awards, or the manner in which such Other Stock-Based Awards shall be settled (e.g., in Shares, cash or other property), or the conditions to the vesting and/or payment or settlement of such Other Stock-Based Awards (which may include, but not be limited to, achievement of Performance Goals) and all other terms and conditions of such Other Stock-Based Awards.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8.02.    </w:t>
      </w:r>
      <w:r>
        <w:rPr>
          <w:rFonts w:ascii="Times New Roman;serif" w:hAnsi="Times New Roman;serif"/>
          <w:b w:val="false"/>
          <w:color w:val="000000"/>
          <w:sz w:val="22"/>
          <w:u w:val="single"/>
          <w:shd w:fill="FFFFFF" w:val="clear"/>
        </w:rPr>
        <w:t>Cash Awards</w:t>
      </w:r>
      <w:r>
        <w:rPr>
          <w:rFonts w:ascii="Times New Roman;serif" w:hAnsi="Times New Roman;serif"/>
          <w:b w:val="false"/>
          <w:color w:val="000000"/>
          <w:sz w:val="22"/>
          <w:shd w:fill="FFFFFF" w:val="clear"/>
        </w:rPr>
        <w:t xml:space="preserve">. The Committee may grant Awards that are payable solely in cash, as deemed by the Committee to be consistent with the purposes of the Plan, and such Cash Awards shall be subject to the terms, conditions, restrictions and limitations determined by the Committee, in its sole discretion, </w:t>
      </w:r>
    </w:p>
    <w:p>
      <w:pPr>
        <w:pStyle w:val="TextBody"/>
        <w:bidi w:val="0"/>
        <w:spacing w:before="0" w:after="12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71855"/>
                <wp:effectExtent l="0" t="0" r="0" b="0"/>
                <wp:wrapNone/>
                <wp:docPr id="63" name="Frame63"/>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r>
                                    <w:br w:type="page"/>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from time to time. Cash Awards may be granted with value and payment contingent upon the achievement of Performance Goals.</w:t>
      </w:r>
    </w:p>
    <w:p>
      <w:pPr>
        <w:pStyle w:val="TextBody"/>
        <w:bidi w:val="0"/>
        <w:spacing w:lineRule="auto" w:line="333" w:before="16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IX.</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CHANGE IN CONTROL PROVISIONS</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9.01.        </w:t>
      </w:r>
      <w:r>
        <w:rPr>
          <w:rFonts w:ascii="Times New Roman;serif" w:hAnsi="Times New Roman;serif"/>
          <w:b w:val="false"/>
          <w:color w:val="000000"/>
          <w:sz w:val="22"/>
          <w:u w:val="single"/>
          <w:shd w:fill="FFFFFF" w:val="clear"/>
        </w:rPr>
        <w:t>Impact of Event</w:t>
      </w:r>
      <w:r>
        <w:rPr>
          <w:rFonts w:ascii="Times New Roman;serif" w:hAnsi="Times New Roman;serif"/>
          <w:b w:val="false"/>
          <w:color w:val="000000"/>
          <w:sz w:val="22"/>
          <w:shd w:fill="FFFFFF" w:val="clear"/>
        </w:rPr>
        <w:t xml:space="preserve">. Unless otherwise provided in the applicable Award Agreement, notwithstanding any other provision of this Plan to the contrary, in the event of a Change in Control (as herein defined) unless Awards are assumed, converted or replaced, such Awards shall vest immediately prior to such Change in Control. Unless otherwise provided in the applicable Award Agreement, upon a Participant’s Termination of Employment during the 24-month period following a Change in Control (x) by the Company other than for Cause or Disability or (y) for Participants who are participants in the NCR Voyix Corporation 2024 Executive Severance Plan (the </w:t>
      </w:r>
      <w:r>
        <w:rPr>
          <w:color w:val="000000"/>
          <w:shd w:fill="FFFFFF" w:val="clear"/>
        </w:rPr>
        <w:t>“</w:t>
      </w:r>
      <w:r>
        <w:rPr>
          <w:rFonts w:ascii="Times New Roman;serif" w:hAnsi="Times New Roman;serif"/>
          <w:b/>
          <w:color w:val="000000"/>
          <w:sz w:val="22"/>
          <w:shd w:fill="FFFFFF" w:val="clear"/>
        </w:rPr>
        <w:t>Executive Severance Plan”</w:t>
      </w:r>
      <w:r>
        <w:rPr>
          <w:rFonts w:ascii="Times New Roman;serif" w:hAnsi="Times New Roman;serif"/>
          <w:b w:val="false"/>
          <w:color w:val="000000"/>
          <w:sz w:val="22"/>
          <w:shd w:fill="FFFFFF" w:val="clear"/>
        </w:rPr>
        <w:t>), for Participants who are covered by an NCR severance plan, policy or guidelines (</w:t>
      </w:r>
      <w:r>
        <w:rPr>
          <w:color w:val="000000"/>
          <w:shd w:fill="FFFFFF" w:val="clear"/>
        </w:rPr>
        <w:t>“</w:t>
      </w:r>
      <w:r>
        <w:rPr>
          <w:rFonts w:ascii="Times New Roman;serif" w:hAnsi="Times New Roman;serif"/>
          <w:b/>
          <w:color w:val="000000"/>
          <w:sz w:val="22"/>
          <w:shd w:fill="FFFFFF" w:val="clear"/>
        </w:rPr>
        <w:t>Severance Policy”</w:t>
      </w:r>
      <w:r>
        <w:rPr>
          <w:rFonts w:ascii="Times New Roman;serif" w:hAnsi="Times New Roman;serif"/>
          <w:b w:val="false"/>
          <w:color w:val="000000"/>
          <w:sz w:val="22"/>
          <w:shd w:fill="FFFFFF" w:val="clear"/>
        </w:rPr>
        <w:t>) at a level that provides the Participant with the opportunity to resign for “good reason,” and for other Participants to the extent set forth in an Award Agreement, by the Participant for Good Reason (as herein defined):</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any Options and SARs outstanding as of such Termination of Employment which were outstanding as of the date of such Change in Control shall be fully exercisable and vested and shall remain exercisable until the expiration of the Term of such Option or SAR;</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the restrictions and deferral limitations applicable to any Restricted Stock shall lapse, and such Restricted Stock outstanding as of such Termination of Employment which were outstanding as of the date of such Change in Control shall become free of all restrictions and become fully vested and transferable; and</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all Restricted Stock Units outstanding as of such Termination of Employment which were outstanding as of the date of such Change in Control shall be deemed to be and treated as earned and vested and payable in full, with any Performance Goals imposed with respect to such Awards deemed to be achieved at the greater of target and actual performance levels, and any deferral or other restriction shall lapse and be of no force or effect and such Restricted Stock Units shall be settled as promptly as is practicable after such Termination of Employment in (subject to Section 3.04) the form set forth in the applicable Award Agreement.</w:t>
      </w:r>
    </w:p>
    <w:p>
      <w:pPr>
        <w:pStyle w:val="TextBody"/>
        <w:bidi w:val="0"/>
        <w:spacing w:lineRule="auto" w:line="333" w:before="160" w:after="160"/>
        <w:jc w:val="both"/>
        <w:rPr>
          <w:shd w:fill="FFFFFF" w:val="clear"/>
        </w:rPr>
      </w:pPr>
      <w:r>
        <w:rPr>
          <w:rFonts w:ascii="Times New Roman;serif" w:hAnsi="Times New Roman;serif"/>
          <w:b w:val="false"/>
          <w:color w:val="000000"/>
          <w:sz w:val="22"/>
          <w:shd w:fill="FFFFFF" w:val="clear"/>
        </w:rPr>
        <w:t xml:space="preserve">For purposes of this Article IX, </w:t>
      </w:r>
      <w:r>
        <w:rPr>
          <w:color w:val="000000"/>
          <w:shd w:fill="FFFFFF" w:val="clear"/>
        </w:rPr>
        <w:t>“</w:t>
      </w:r>
      <w:r>
        <w:rPr>
          <w:rFonts w:ascii="Times New Roman;serif" w:hAnsi="Times New Roman;serif"/>
          <w:b/>
          <w:color w:val="000000"/>
          <w:sz w:val="22"/>
          <w:shd w:fill="FFFFFF" w:val="clear"/>
        </w:rPr>
        <w:t>Good Reason”</w:t>
      </w:r>
      <w:r>
        <w:rPr>
          <w:color w:val="000000"/>
          <w:shd w:fill="FFFFFF" w:val="clear"/>
        </w:rPr>
        <w:t xml:space="preserve"> </w:t>
      </w:r>
      <w:r>
        <w:rPr>
          <w:rFonts w:ascii="Times New Roman;serif" w:hAnsi="Times New Roman;serif"/>
          <w:b w:val="false"/>
          <w:color w:val="000000"/>
          <w:sz w:val="22"/>
          <w:shd w:fill="FFFFFF" w:val="clear"/>
        </w:rPr>
        <w:t>means if the Participant is a participant in the Executive Severance Plan or is subject to the Severance Policy, “Good Reason” as defined in the Executive Severance Plan or the Severance Policy, as applicable, or, if the Participant is not a participant in the Executive Severance Plan or the Severance Policy, as applicable, “Good Reason” as defined in the Award Agreement to which the applicable Participant is a party.</w: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Notwithstanding any provision of this Article IX to the contrary, unless otherwise provided in the applicable Award Agreement, if any amount payable pursuant to an Award constitutes “deferred compensation” within the meaning of Section 409A of the Code, in the event of a Change in Control that does not qualify as an event described in Section 409A(a)(2)(A)(v) of the Code, then, to the extent required to avoid accelerated taxation and/or tax penalties under Section 409A of the Code, such Award (and any other Awards that constitute deferred compensation that vested prior to the date of such Change in Control but are outstanding as of such date) shall not be settled until the earliest permissible payment event under Section 409A of the Code following such Change in Control.</w:t>
      </w:r>
    </w:p>
    <w:p>
      <w:pPr>
        <w:pStyle w:val="TextBody"/>
        <w:bidi w:val="0"/>
        <w:spacing w:before="0" w:after="12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71855"/>
                <wp:effectExtent l="0" t="0" r="0" b="0"/>
                <wp:wrapNone/>
                <wp:docPr id="64" name="Frame64"/>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9.02.    </w:t>
      </w:r>
      <w:r>
        <w:rPr>
          <w:rFonts w:ascii="Times New Roman;serif" w:hAnsi="Times New Roman;serif"/>
          <w:b w:val="false"/>
          <w:color w:val="000000"/>
          <w:sz w:val="22"/>
          <w:u w:val="single"/>
          <w:shd w:fill="FFFFFF" w:val="clear"/>
        </w:rPr>
        <w:t>Definition of Change in Control</w:t>
      </w:r>
      <w:r>
        <w:rPr>
          <w:rFonts w:ascii="Times New Roman;serif" w:hAnsi="Times New Roman;serif"/>
          <w:b w:val="false"/>
          <w:color w:val="000000"/>
          <w:sz w:val="22"/>
          <w:shd w:fill="FFFFFF" w:val="clear"/>
        </w:rPr>
        <w:t xml:space="preserve">. Unless otherwise provided in the applicable Award Agreement, for purposes of the Plan, a </w:t>
      </w:r>
      <w:r>
        <w:rPr>
          <w:color w:val="000000"/>
          <w:shd w:fill="FFFFFF" w:val="clear"/>
        </w:rPr>
        <w:t>“</w:t>
      </w:r>
      <w:r>
        <w:rPr>
          <w:rFonts w:ascii="Times New Roman;serif" w:hAnsi="Times New Roman;serif"/>
          <w:b/>
          <w:color w:val="000000"/>
          <w:sz w:val="22"/>
          <w:shd w:fill="FFFFFF" w:val="clear"/>
        </w:rPr>
        <w:t>Change in Control”</w:t>
      </w:r>
      <w:r>
        <w:rPr>
          <w:color w:val="000000"/>
          <w:shd w:fill="FFFFFF" w:val="clear"/>
        </w:rPr>
        <w:t xml:space="preserve"> </w:t>
      </w:r>
      <w:r>
        <w:rPr>
          <w:rFonts w:ascii="Times New Roman;serif" w:hAnsi="Times New Roman;serif"/>
          <w:b w:val="false"/>
          <w:color w:val="000000"/>
          <w:sz w:val="22"/>
          <w:shd w:fill="FFFFFF" w:val="clear"/>
        </w:rPr>
        <w:t>shall mean any of the following events: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(a)    The acquisition by any individual, entity or group (within the meaning of Section 13(d)(3) or 14(d)(2) of the Exchange Act) (a </w:t>
      </w:r>
      <w:r>
        <w:rPr>
          <w:color w:val="000000"/>
          <w:shd w:fill="FFFFFF" w:val="clear"/>
        </w:rPr>
        <w:t>“</w:t>
      </w:r>
      <w:r>
        <w:rPr>
          <w:rFonts w:ascii="Times New Roman;serif" w:hAnsi="Times New Roman;serif"/>
          <w:b/>
          <w:color w:val="000000"/>
          <w:sz w:val="22"/>
          <w:shd w:fill="FFFFFF" w:val="clear"/>
        </w:rPr>
        <w:t>Person”</w:t>
      </w:r>
      <w:r>
        <w:rPr>
          <w:rFonts w:ascii="Times New Roman;serif" w:hAnsi="Times New Roman;serif"/>
          <w:b w:val="false"/>
          <w:color w:val="000000"/>
          <w:sz w:val="22"/>
          <w:shd w:fill="FFFFFF" w:val="clear"/>
        </w:rPr>
        <w:t xml:space="preserve">) of beneficial ownership (within the meaning of Rule 13d-3 promulgated under the Exchange Act) of 30% or more of either (a) the then outstanding shares of common stock of the Company (the </w:t>
      </w:r>
      <w:r>
        <w:rPr>
          <w:color w:val="000000"/>
          <w:shd w:fill="FFFFFF" w:val="clear"/>
        </w:rPr>
        <w:t>“</w:t>
      </w:r>
      <w:r>
        <w:rPr>
          <w:rFonts w:ascii="Times New Roman;serif" w:hAnsi="Times New Roman;serif"/>
          <w:b/>
          <w:color w:val="000000"/>
          <w:sz w:val="22"/>
          <w:shd w:fill="FFFFFF" w:val="clear"/>
        </w:rPr>
        <w:t>Outstanding Company Common Stock”</w:t>
      </w:r>
      <w:r>
        <w:rPr>
          <w:rFonts w:ascii="Times New Roman;serif" w:hAnsi="Times New Roman;serif"/>
          <w:b w:val="false"/>
          <w:color w:val="000000"/>
          <w:sz w:val="22"/>
          <w:shd w:fill="FFFFFF" w:val="clear"/>
        </w:rPr>
        <w:t xml:space="preserve">) or (b) the combined voting power of the then outstanding voting securities of the Company entitled to vote generally in the election of directors (the </w:t>
      </w:r>
      <w:r>
        <w:rPr>
          <w:color w:val="000000"/>
          <w:shd w:fill="FFFFFF" w:val="clear"/>
        </w:rPr>
        <w:t>“</w:t>
      </w:r>
      <w:r>
        <w:rPr>
          <w:rFonts w:ascii="Times New Roman;serif" w:hAnsi="Times New Roman;serif"/>
          <w:b/>
          <w:color w:val="000000"/>
          <w:sz w:val="22"/>
          <w:shd w:fill="FFFFFF" w:val="clear"/>
        </w:rPr>
        <w:t>Outstanding Company Voting Securities”</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for purposes of this Section 9.02(a),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which complies with clauses (A), (B) and (C) of Section 9.02(c); or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(b)    Individuals who, as of Effective Date, constitute the Board (the </w:t>
      </w:r>
      <w:r>
        <w:rPr>
          <w:color w:val="000000"/>
          <w:shd w:fill="FFFFFF" w:val="clear"/>
        </w:rPr>
        <w:t>“</w:t>
      </w:r>
      <w:r>
        <w:rPr>
          <w:rFonts w:ascii="Times New Roman;serif" w:hAnsi="Times New Roman;serif"/>
          <w:b/>
          <w:color w:val="000000"/>
          <w:sz w:val="22"/>
          <w:shd w:fill="FFFFFF" w:val="clear"/>
        </w:rPr>
        <w:t>Incumbent Board”</w:t>
      </w:r>
      <w:r>
        <w:rPr>
          <w:rFonts w:ascii="Times New Roman;serif" w:hAnsi="Times New Roman;serif"/>
          <w:b w:val="false"/>
          <w:color w:val="000000"/>
          <w:sz w:val="22"/>
          <w:shd w:fill="FFFFFF" w:val="clear"/>
        </w:rPr>
        <w:t xml:space="preserve">) cease for any reason to constitute at least a majority of the Board;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any individual becoming a director subsequent to the Effective Date whose election, or nomination for election by the Company’s stockholders, was approved by a vote of at least two-thirds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 xml:space="preserve">(c)    Consummation of a reorganization, merger or consolidation or sale or other disposition of all or substantially all of the assets of the Company or the acquisition of assets of another entity (a </w:t>
      </w:r>
      <w:r>
        <w:rPr>
          <w:color w:val="000000"/>
          <w:shd w:fill="FFFFFF" w:val="clear"/>
        </w:rPr>
        <w:t>“</w:t>
      </w:r>
      <w:r>
        <w:rPr>
          <w:rFonts w:ascii="Times New Roman;serif" w:hAnsi="Times New Roman;serif"/>
          <w:b/>
          <w:color w:val="000000"/>
          <w:sz w:val="22"/>
          <w:shd w:fill="FFFFFF" w:val="clear"/>
        </w:rPr>
        <w:t>Corporate Transaction”</w:t>
      </w:r>
      <w:r>
        <w:rPr>
          <w:rFonts w:ascii="Times New Roman;serif" w:hAnsi="Times New Roman;serif"/>
          <w:b w:val="false"/>
          <w:color w:val="000000"/>
          <w:sz w:val="22"/>
          <w:shd w:fill="FFFFFF" w:val="clear"/>
        </w:rPr>
        <w:t>), in each case, unless, following such Corporate Transaction, (A)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Corporate Transaction (including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(B) no Person (excluding any employee benefit plan (or related trust) of the Company or such corporation resulting from such Corporate Transaction) beneficially owns, directly or indirectly, 30% or more of, respectively, the then outstanding shares of common stock of the corporation resulting from such Corporate Transaction or the combined voting power of the then outstanding voting securities of such corporation except to the extent that such ownership existed prior to the Corporate Transaction; and (C) at least a majority of the members of the board of directors of the corporation resulting from such Corporate Transaction were members of the Incumbent Board at the time of the execution of the initial agreement, or of the action of the Board, providing for such Corporate Transaction; or</w:t>
      </w:r>
    </w:p>
    <w:p>
      <w:pPr>
        <w:pStyle w:val="TextBody"/>
        <w:bidi w:val="0"/>
        <w:spacing w:lineRule="auto" w:line="333" w:before="160" w:after="16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Approval by the stockholders of the Company of a complete liquidation or dissolution of the Company.</w:t>
      </w:r>
    </w:p>
    <w:p>
      <w:pPr>
        <w:pStyle w:val="TextBody"/>
        <w:bidi w:val="0"/>
        <w:spacing w:before="0" w:after="12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71855"/>
                <wp:effectExtent l="0" t="0" r="0" b="0"/>
                <wp:wrapNone/>
                <wp:docPr id="65" name="Frame65"/>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r>
                                    <w:br w:type="page"/>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X.</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TERM, AMENDMENT AND TERMINATION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10.01.    </w:t>
      </w:r>
      <w:r>
        <w:rPr>
          <w:rFonts w:ascii="Times New Roman;serif" w:hAnsi="Times New Roman;serif"/>
          <w:b w:val="false"/>
          <w:color w:val="000000"/>
          <w:sz w:val="22"/>
          <w:u w:val="single"/>
          <w:shd w:fill="FFFFFF" w:val="clear"/>
        </w:rPr>
        <w:t>Effectiveness</w:t>
      </w:r>
      <w:r>
        <w:rPr>
          <w:rFonts w:ascii="Times New Roman;serif" w:hAnsi="Times New Roman;serif"/>
          <w:b w:val="false"/>
          <w:color w:val="000000"/>
          <w:sz w:val="22"/>
          <w:shd w:fill="FFFFFF" w:val="clear"/>
        </w:rPr>
        <w:t xml:space="preserve">. The Plan shall be effective on the date it is approved by the stockholders of the Company at a duly constituted meeting of the stockholders of the Company (the </w:t>
      </w:r>
      <w:r>
        <w:rPr>
          <w:color w:val="000000"/>
          <w:shd w:fill="FFFFFF" w:val="clear"/>
        </w:rPr>
        <w:t>“</w:t>
      </w:r>
      <w:r>
        <w:rPr>
          <w:rFonts w:ascii="Times New Roman;serif" w:hAnsi="Times New Roman;serif"/>
          <w:b/>
          <w:color w:val="000000"/>
          <w:sz w:val="22"/>
          <w:shd w:fill="FFFFFF" w:val="clear"/>
        </w:rPr>
        <w:t>Effective Date”</w:t>
      </w:r>
      <w:r>
        <w:rPr>
          <w:rFonts w:ascii="Times New Roman;serif" w:hAnsi="Times New Roman;serif"/>
          <w:b w:val="false"/>
          <w:color w:val="000000"/>
          <w:sz w:val="22"/>
          <w:shd w:fill="FFFFFF" w:val="clear"/>
        </w:rPr>
        <w:t>).</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10.02.    </w:t>
      </w:r>
      <w:r>
        <w:rPr>
          <w:rFonts w:ascii="Times New Roman;serif" w:hAnsi="Times New Roman;serif"/>
          <w:b w:val="false"/>
          <w:color w:val="000000"/>
          <w:sz w:val="22"/>
          <w:u w:val="single"/>
          <w:shd w:fill="FFFFFF" w:val="clear"/>
        </w:rPr>
        <w:t>Termination</w:t>
      </w:r>
      <w:r>
        <w:rPr>
          <w:rFonts w:ascii="Times New Roman;serif" w:hAnsi="Times New Roman;serif"/>
          <w:b w:val="false"/>
          <w:color w:val="000000"/>
          <w:sz w:val="22"/>
          <w:shd w:fill="FFFFFF" w:val="clear"/>
        </w:rPr>
        <w:t>. The Plan will terminate on the tenth (10</w:t>
      </w:r>
      <w:r>
        <w:rPr>
          <w:rFonts w:ascii="Times New Roman;serif" w:hAnsi="Times New Roman;serif"/>
          <w:b w:val="false"/>
          <w:color w:val="000000"/>
          <w:sz w:val="14"/>
          <w:shd w:fill="FFFFFF" w:val="clear"/>
        </w:rPr>
        <w:t>th</w:t>
      </w:r>
      <w:r>
        <w:rPr>
          <w:rFonts w:ascii="Times New Roman;serif" w:hAnsi="Times New Roman;serif"/>
          <w:b w:val="false"/>
          <w:color w:val="000000"/>
          <w:sz w:val="22"/>
          <w:shd w:fill="FFFFFF" w:val="clear"/>
        </w:rPr>
        <w:t>) anniversary of the Effective Date. Awards outstanding as of such date shall not be affected or impaired by the termination of the Plan and shall remain outstanding and subject to the terms and conditions of the Plan.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10.03.    </w:t>
      </w:r>
      <w:r>
        <w:rPr>
          <w:rFonts w:ascii="Times New Roman;serif" w:hAnsi="Times New Roman;serif"/>
          <w:b w:val="false"/>
          <w:color w:val="000000"/>
          <w:sz w:val="22"/>
          <w:u w:val="single"/>
          <w:shd w:fill="FFFFFF" w:val="clear"/>
        </w:rPr>
        <w:t>Amendment of Plan</w:t>
      </w:r>
      <w:r>
        <w:rPr>
          <w:rFonts w:ascii="Times New Roman;serif" w:hAnsi="Times New Roman;serif"/>
          <w:b w:val="false"/>
          <w:color w:val="000000"/>
          <w:sz w:val="22"/>
          <w:shd w:fill="FFFFFF" w:val="clear"/>
        </w:rPr>
        <w:t xml:space="preserve">. The Committee may amend, alter, or discontinue the Plan, but no amendment, alteration or discontinuation shall be made which would materially impair the rights of the Participant with respect to a previously granted Award without such Participant’s consent, except such an amendment made to comply with applicable law, including Section 409A of the Code, stock exchange rules or accounting rules. </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10.04.    </w:t>
      </w:r>
      <w:r>
        <w:rPr>
          <w:rFonts w:ascii="Times New Roman;serif" w:hAnsi="Times New Roman;serif"/>
          <w:b w:val="false"/>
          <w:color w:val="000000"/>
          <w:sz w:val="22"/>
          <w:u w:val="single"/>
          <w:shd w:fill="FFFFFF" w:val="clear"/>
        </w:rPr>
        <w:t>Amendment of Awards</w:t>
      </w:r>
      <w:r>
        <w:rPr>
          <w:rFonts w:ascii="Times New Roman;serif" w:hAnsi="Times New Roman;serif"/>
          <w:b w:val="false"/>
          <w:color w:val="000000"/>
          <w:sz w:val="22"/>
          <w:shd w:fill="FFFFFF" w:val="clear"/>
        </w:rPr>
        <w:t>. Subject to Section 5.03, the Committee may unilaterally amend the terms of any Award theretofore granted, but no such amendment shall without the Participant’s consent materially impair the rights of any Participant with respect to an Award, except such an amendment made to cause the Plan or Award to comply with applicable law, stock exchange rules or accounting rules.</w:t>
      </w:r>
    </w:p>
    <w:p>
      <w:pPr>
        <w:pStyle w:val="TextBody"/>
        <w:bidi w:val="0"/>
        <w:spacing w:lineRule="auto" w:line="333" w:before="240" w:after="1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ARTICLE XI.</w:t>
      </w:r>
    </w:p>
    <w:p>
      <w:pPr>
        <w:pStyle w:val="TextBody"/>
        <w:bidi w:val="0"/>
        <w:spacing w:lineRule="auto" w:line="333" w:before="160" w:after="12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GENERAL PROVISIONS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11.01.    </w:t>
      </w:r>
      <w:r>
        <w:rPr>
          <w:rFonts w:ascii="Times New Roman;serif" w:hAnsi="Times New Roman;serif"/>
          <w:b w:val="false"/>
          <w:color w:val="000000"/>
          <w:sz w:val="22"/>
          <w:u w:val="single"/>
          <w:shd w:fill="FFFFFF" w:val="clear"/>
        </w:rPr>
        <w:t>Conditions for Issuance</w:t>
      </w:r>
      <w:r>
        <w:rPr>
          <w:rFonts w:ascii="Times New Roman;serif" w:hAnsi="Times New Roman;serif"/>
          <w:b w:val="false"/>
          <w:color w:val="000000"/>
          <w:sz w:val="22"/>
          <w:shd w:fill="FFFFFF" w:val="clear"/>
        </w:rPr>
        <w:t>. The Committee may require each person purchasing or receiving Shares pursuant to an Award to represent to and agree with the Company in writing that such person is acquiring the Shares without a view to the distribution thereof. The certificates for such Shares, if applicable, may include any legend which the Committee deems appropriate to reflect any restrictions on transfer. Notwithstanding any other provision of the Plan or any Award Agreement, the Company shall not be required to issue or deliver any certificate or certificates for Shares under the Plan.</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11.02.    </w:t>
      </w:r>
      <w:r>
        <w:rPr>
          <w:rFonts w:ascii="Times New Roman;serif" w:hAnsi="Times New Roman;serif"/>
          <w:b w:val="false"/>
          <w:color w:val="000000"/>
          <w:sz w:val="22"/>
          <w:u w:val="single"/>
          <w:shd w:fill="FFFFFF" w:val="clear"/>
        </w:rPr>
        <w:t>Additional Compensation Arrangements</w:t>
      </w:r>
      <w:r>
        <w:rPr>
          <w:rFonts w:ascii="Times New Roman;serif" w:hAnsi="Times New Roman;serif"/>
          <w:b w:val="false"/>
          <w:color w:val="000000"/>
          <w:sz w:val="22"/>
          <w:shd w:fill="FFFFFF" w:val="clear"/>
        </w:rPr>
        <w:t>. Nothing contained in the Plan shall prevent the Company or any Subsidiary or Affiliate from adopting other or additional compensation arrangements for its employees or other Eligible Individuals.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11.03.    </w:t>
      </w:r>
      <w:r>
        <w:rPr>
          <w:rFonts w:ascii="Times New Roman;serif" w:hAnsi="Times New Roman;serif"/>
          <w:b w:val="false"/>
          <w:color w:val="000000"/>
          <w:sz w:val="22"/>
          <w:u w:val="single"/>
          <w:shd w:fill="FFFFFF" w:val="clear"/>
        </w:rPr>
        <w:t>No Contract of Employment or Service</w:t>
      </w:r>
      <w:r>
        <w:rPr>
          <w:rFonts w:ascii="Times New Roman;serif" w:hAnsi="Times New Roman;serif"/>
          <w:b w:val="false"/>
          <w:color w:val="000000"/>
          <w:sz w:val="22"/>
          <w:shd w:fill="FFFFFF" w:val="clear"/>
        </w:rPr>
        <w:t>. The Plan shall not constitute a contract of employment or service, and adoption of the Plan shall not confer upon any employee or other Eligible Individual any right to continued employment or service, nor shall it interfere in any way with the right of the Company or any Subsidiary or Affiliate to terminate the employment of any employee or service of any other Eligible Individual at any time for any reason or no reason.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11.04.    </w:t>
      </w:r>
      <w:r>
        <w:rPr>
          <w:rFonts w:ascii="Times New Roman;serif" w:hAnsi="Times New Roman;serif"/>
          <w:b w:val="false"/>
          <w:color w:val="000000"/>
          <w:sz w:val="22"/>
          <w:u w:val="single"/>
          <w:shd w:fill="FFFFFF" w:val="clear"/>
        </w:rPr>
        <w:t>Required Taxes</w:t>
      </w:r>
      <w:r>
        <w:rPr>
          <w:rFonts w:ascii="Times New Roman;serif" w:hAnsi="Times New Roman;serif"/>
          <w:b w:val="false"/>
          <w:color w:val="000000"/>
          <w:sz w:val="22"/>
          <w:shd w:fill="FFFFFF" w:val="clear"/>
        </w:rPr>
        <w:t xml:space="preserve">. No later than the date as of which an amount first becomes includible in the gross income of a Participant or becomes taxable to a Participant for federal, state, local or foreign income or employment or other tax purposes with respect to any Award under the Plan, such Participant </w:t>
      </w:r>
    </w:p>
    <w:p>
      <w:pPr>
        <w:pStyle w:val="TextBody"/>
        <w:bidi w:val="0"/>
        <w:spacing w:before="0" w:after="12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71855"/>
                <wp:effectExtent l="0" t="0" r="0" b="0"/>
                <wp:wrapNone/>
                <wp:docPr id="66" name="Frame66"/>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shall pay to the Company, or make arrangements satisfactory to the Company regarding the payment of, any federal, state, local or foreign taxes of any kind required by law to be withheld with respect to such amount, at the statutory withholding rate determined to be applicable in the discretion of the Company (up to the Participant’s maximum statutory rates in the Participant’s applicable jurisdiction with respect to the Award, as determined by the Company) that will not result in an adverse accounting consequence or cost. Unless otherwise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Subsidiaries and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For purposes of calculating compensation income and withholding for transactions that settle in Common Stock, unless otherwise determined by the Committee, the Company shall use the closing price of a Share on the Applicable Exchange on the trading date immediately preceding the distribution date of the Common Stock.</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11.05.    </w:t>
      </w:r>
      <w:r>
        <w:rPr>
          <w:rFonts w:ascii="Times New Roman;serif" w:hAnsi="Times New Roman;serif"/>
          <w:b w:val="false"/>
          <w:color w:val="000000"/>
          <w:sz w:val="22"/>
          <w:u w:val="single"/>
          <w:shd w:fill="FFFFFF" w:val="clear"/>
        </w:rPr>
        <w:t>Limitation on Dividends, No Rights as Stockholder</w:t>
      </w:r>
      <w:r>
        <w:rPr>
          <w:rFonts w:ascii="Times New Roman;serif" w:hAnsi="Times New Roman;serif"/>
          <w:b w:val="false"/>
          <w:color w:val="000000"/>
          <w:sz w:val="22"/>
          <w:shd w:fill="FFFFFF" w:val="clear"/>
        </w:rPr>
        <w:t xml:space="preserve">. Reinvestment of dividends in additional Restricted Stock or Restricted Stock Units at the time of any dividend payment shall only be permissible if sufficient Shares are available under Article III for such reinvestment or payment (taking into account then outstanding Awards). Subject to the terms of the Plan and the requirements of Section 409A of the Code,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11.05. Except as otherwise expressly provided in the Plan, no Participant or holder or beneficiary of any Award shall have any rights as a stockholder (including, if applicable, the right to vote the applicable Shares and the right to receive dividends) with respect to any Shares to be distributed under the Plan unless and until the Participant has become a holder of such Shares. </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11.06.    </w:t>
      </w:r>
      <w:r>
        <w:rPr>
          <w:rFonts w:ascii="Times New Roman;serif" w:hAnsi="Times New Roman;serif"/>
          <w:b w:val="false"/>
          <w:color w:val="000000"/>
          <w:sz w:val="22"/>
          <w:u w:val="single"/>
          <w:shd w:fill="FFFFFF" w:val="clear"/>
        </w:rPr>
        <w:t>Designation of Death Beneficiary</w:t>
      </w:r>
      <w:r>
        <w:rPr>
          <w:rFonts w:ascii="Times New Roman;serif" w:hAnsi="Times New Roman;serif"/>
          <w:b w:val="false"/>
          <w:color w:val="000000"/>
          <w:sz w:val="22"/>
          <w:shd w:fill="FFFFFF" w:val="clear"/>
        </w:rPr>
        <w:t>. The Committee may establish such procedures as it deems appropriate for a Participant to designate a beneficiary to whom any amounts payable in the event of such Participant’s death are to be paid or by whom any rights of such Participant, after such Participant’s death, may be exercised.</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11.07.    </w:t>
      </w:r>
      <w:r>
        <w:rPr>
          <w:rFonts w:ascii="Times New Roman;serif" w:hAnsi="Times New Roman;serif"/>
          <w:b w:val="false"/>
          <w:color w:val="000000"/>
          <w:sz w:val="22"/>
          <w:u w:val="single"/>
          <w:shd w:fill="FFFFFF" w:val="clear"/>
        </w:rPr>
        <w:t>Subsidiary Employees</w:t>
      </w:r>
      <w:r>
        <w:rPr>
          <w:rFonts w:ascii="Times New Roman;serif" w:hAnsi="Times New Roman;serif"/>
          <w:b w:val="false"/>
          <w:color w:val="000000"/>
          <w:sz w:val="22"/>
          <w:shd w:fill="FFFFFF" w:val="clear"/>
        </w:rPr>
        <w:t>. In the case of a grant of an Award to any employee or other Eligible Individual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or other Eligible Individual in accordance with the terms of the Award specified by the Committee pursuant to the provisions of the Plan. All Shares underlying Awards that are forfeited or cancelled should revert to the Company.</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11.08.    </w:t>
      </w:r>
      <w:r>
        <w:rPr>
          <w:rFonts w:ascii="Times New Roman;serif" w:hAnsi="Times New Roman;serif"/>
          <w:b w:val="false"/>
          <w:color w:val="000000"/>
          <w:sz w:val="22"/>
          <w:u w:val="single"/>
          <w:shd w:fill="FFFFFF" w:val="clear"/>
        </w:rPr>
        <w:t>Governing Law and Interpretation</w:t>
      </w:r>
      <w:r>
        <w:rPr>
          <w:rFonts w:ascii="Times New Roman;serif" w:hAnsi="Times New Roman;serif"/>
          <w:b w:val="false"/>
          <w:color w:val="000000"/>
          <w:sz w:val="22"/>
          <w:shd w:fill="FFFFFF" w:val="clear"/>
        </w:rPr>
        <w:t xml:space="preserve">. The Plan and all Awards made and actions taken thereunder shall be governed by and construed in accordance with the laws of the State of Georgia, </w:t>
      </w:r>
    </w:p>
    <w:p>
      <w:pPr>
        <w:pStyle w:val="TextBody"/>
        <w:bidi w:val="0"/>
        <w:spacing w:before="0" w:after="12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71855"/>
                <wp:effectExtent l="0" t="0" r="0" b="0"/>
                <wp:wrapNone/>
                <wp:docPr id="67" name="Frame67"/>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r>
                                    <w:br w:type="page"/>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481.35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1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without reference to principles of conflict of laws. The captions of the Plan are not part of the provisions hereof and shall have no force or effect.</w:t>
      </w:r>
    </w:p>
    <w:p>
      <w:pPr>
        <w:pStyle w:val="TextBody"/>
        <w:bidi w:val="0"/>
        <w:spacing w:lineRule="auto" w:line="333" w:before="0" w:after="120"/>
        <w:ind w:left="0" w:right="0" w:firstLine="1440"/>
        <w:jc w:val="both"/>
        <w:rPr>
          <w:shd w:fill="FFFFFF" w:val="clear"/>
        </w:rPr>
      </w:pPr>
      <w:r>
        <w:rPr>
          <w:rFonts w:ascii="Times New Roman;serif" w:hAnsi="Times New Roman;serif"/>
          <w:b w:val="false"/>
          <w:color w:val="000000"/>
          <w:sz w:val="22"/>
          <w:shd w:fill="FFFFFF" w:val="clear"/>
        </w:rPr>
        <w:t>SECTION 11.09.    </w:t>
      </w:r>
      <w:r>
        <w:rPr>
          <w:rFonts w:ascii="Times New Roman;serif" w:hAnsi="Times New Roman;serif"/>
          <w:b w:val="false"/>
          <w:color w:val="000000"/>
          <w:sz w:val="22"/>
          <w:u w:val="single"/>
          <w:shd w:fill="FFFFFF" w:val="clear"/>
        </w:rPr>
        <w:t>Non-Transferability</w:t>
      </w:r>
      <w:r>
        <w:rPr>
          <w:rFonts w:ascii="Times New Roman;serif" w:hAnsi="Times New Roman;serif"/>
          <w:b w:val="false"/>
          <w:color w:val="000000"/>
          <w:sz w:val="22"/>
          <w:shd w:fill="FFFFFF" w:val="clear"/>
        </w:rPr>
        <w:t>. Except as otherwise provided in Section 5.08 or by the Committee, Awards under the Plan are not transferable except by will or by laws of descent and distribution.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11.10.    </w:t>
      </w:r>
      <w:r>
        <w:rPr>
          <w:rFonts w:ascii="Times New Roman;serif" w:hAnsi="Times New Roman;serif"/>
          <w:b w:val="false"/>
          <w:color w:val="000000"/>
          <w:sz w:val="22"/>
          <w:u w:val="single"/>
          <w:shd w:fill="FFFFFF" w:val="clear"/>
        </w:rPr>
        <w:t>Foreign Employees and Foreign Law Considerations</w:t>
      </w:r>
      <w:r>
        <w:rPr>
          <w:rFonts w:ascii="Times New Roman;serif" w:hAnsi="Times New Roman;serif"/>
          <w:b w:val="false"/>
          <w:color w:val="000000"/>
          <w:sz w:val="22"/>
          <w:shd w:fill="FFFFFF" w:val="clear"/>
        </w:rPr>
        <w:t>.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11.11.    </w:t>
      </w:r>
      <w:r>
        <w:rPr>
          <w:rFonts w:ascii="Times New Roman;serif" w:hAnsi="Times New Roman;serif"/>
          <w:b w:val="false"/>
          <w:color w:val="000000"/>
          <w:sz w:val="22"/>
          <w:u w:val="single"/>
          <w:shd w:fill="FFFFFF" w:val="clear"/>
        </w:rPr>
        <w:t>Deferrals</w:t>
      </w:r>
      <w:r>
        <w:rPr>
          <w:rFonts w:ascii="Times New Roman;serif" w:hAnsi="Times New Roman;serif"/>
          <w:b w:val="false"/>
          <w:color w:val="000000"/>
          <w:sz w:val="22"/>
          <w:shd w:fill="FFFFFF" w:val="clear"/>
        </w:rPr>
        <w:t>. Subject to the requirements of Section 409A of the Code, the Committee shall be authorized to establish procedures pursuant to which the payment of any Award may be deferred, including, subject to the provisions of the Plan (including Section 11.05) and the provisions of the applicable Award Agreement, any interest or dividends, or interest or dividend equivalents, with respect to the number of Shares covered by the Award, as determined by the Committee, in its sole discretion.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11.12.    </w:t>
      </w:r>
      <w:r>
        <w:rPr>
          <w:rFonts w:ascii="Times New Roman;serif" w:hAnsi="Times New Roman;serif"/>
          <w:b w:val="false"/>
          <w:color w:val="000000"/>
          <w:sz w:val="22"/>
          <w:u w:val="single"/>
          <w:shd w:fill="FFFFFF" w:val="clear"/>
        </w:rPr>
        <w:t>Compliance with Section 409A of the Code</w:t>
      </w:r>
      <w:r>
        <w:rPr>
          <w:rFonts w:ascii="Times New Roman;serif" w:hAnsi="Times New Roman;serif"/>
          <w:b w:val="false"/>
          <w:color w:val="000000"/>
          <w:sz w:val="22"/>
          <w:shd w:fill="FFFFFF" w:val="clear"/>
        </w:rPr>
        <w:t xml:space="preserve">. Awards granted under the Plan shall be designed and administered in such a manner that they are either exempt from the application of, or comply with, the requirements of Section 409A of the Code. To the extent that the Committee determines that any Award granted under the Plan is subject to Section 409A of the Code, the Award Agreement shall incorporate the terms and conditions necessary to avoid the imposition of an additional tax under Section 409A of the Code upon a Participant. Notwithstanding any other provision of the Plan or any Award Agreement (unless the Award Agreement provides otherwise with specific reference to this Section): (i) an Award shall not be granted, deferred, accelerated, extended, paid out, settled, substituted or modified under the Plan in a manner that would result in the imposition of an additional tax under Section 409A of the Code upon a Participant; and (ii) if an Award constitutes “deferred compensation” within the meaning of Section 409A of the Code, and if the Participant holding the Award is a “specified employee” (as defined by Section 409A of the Code, with such classification to be determined in accordance with the methodology established by the Company), then, to the extent required to avoid accelerated taxation and/or tax penalties under Section 409A of the Code, no distribution or payment of any amount shall be made before a date that is six (6) months following the date of such Participant’s “separation from service” (as defined by Section 409A of the Code) or, if earlier, the date of the Participant’s death. In addition,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Each amount to be paid or benefit to be provided under the Plan shall be construed as a separate identified payment for purposes of Section 409A of the Code. The Committee shall have the sole authority to make any accelerated distributions permissible under Treas. Reg. Section 1.409A-3(j)(4) to Participants with respect to any deferred amounts;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xml:space="preserve">, that such distributions meets the requirements of Treas. Reg. Section 1.409A-3(j)(4). Although the Company intends to administer the Plan so that Awards will be exempt from, or will comply with, the requirements of Section 409A </w:t>
      </w:r>
    </w:p>
    <w:p>
      <w:pPr>
        <w:pStyle w:val="TextBody"/>
        <w:bidi w:val="0"/>
        <w:spacing w:before="0" w:after="12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71855"/>
                <wp:effectExtent l="0" t="0" r="0" b="0"/>
                <wp:wrapNone/>
                <wp:docPr id="68" name="Frame68"/>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2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600"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333" w:before="53" w:after="30"/>
                              <w:jc w:val="right"/>
                              <w:rPr>
                                <w:rFonts w:ascii="JostAST Semi;serif" w:hAnsi="JostAST Semi;serif"/>
                                <w:b/>
                                <w:color w:val="5F259F"/>
                                <w:sz w:val="18"/>
                              </w:rPr>
                            </w:pPr>
                            <w:r>
                              <w:rPr>
                                <w:rFonts w:ascii="JostAST Semi;serif" w:hAnsi="JostAST Semi;serif"/>
                                <w:b/>
                                <w:color w:val="5F259F"/>
                                <w:sz w:val="18"/>
                              </w:rPr>
                              <w:t>A-17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16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of the Code, the Company does not warrant that any Award under the Plan will qualify for favorable tax treatment under Section 409A of the Code or any other provision of federal, state, local, or non-United States law. Neither the Company, its Subsidiaries or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11.13.    </w:t>
      </w:r>
      <w:r>
        <w:rPr>
          <w:rFonts w:ascii="Times New Roman;serif" w:hAnsi="Times New Roman;serif"/>
          <w:b w:val="false"/>
          <w:color w:val="000000"/>
          <w:sz w:val="22"/>
          <w:u w:val="single"/>
          <w:shd w:fill="FFFFFF" w:val="clear"/>
        </w:rPr>
        <w:t>Section 16(b) of the Exchange Act</w:t>
      </w:r>
      <w:r>
        <w:rPr>
          <w:rFonts w:ascii="Times New Roman;serif" w:hAnsi="Times New Roman;serif"/>
          <w:b w:val="false"/>
          <w:color w:val="000000"/>
          <w:sz w:val="22"/>
          <w:shd w:fill="FFFFFF" w:val="clear"/>
        </w:rPr>
        <w:t>. The Committee may refuse to issue or transfer any Shares or other consideration under an Award if, acting in its sole and plenary discretion, it determines that the issuance or transfer of such Shares or such other consideration might violate any applicable law or regulation or entitle the Company to recover the same under the short-swing recovery rules of Section 16(b) of the Exchange Act, and any payment tendered to the Company by a Participant, other holder or beneficiary in connection with the exercise or vesting of such Award shall be promptly refunded to the relevant Participant, holder or beneficiary.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11.14.    </w:t>
      </w:r>
      <w:r>
        <w:rPr>
          <w:rFonts w:ascii="Times New Roman;serif" w:hAnsi="Times New Roman;serif"/>
          <w:b w:val="false"/>
          <w:color w:val="000000"/>
          <w:sz w:val="22"/>
          <w:u w:val="single"/>
          <w:shd w:fill="FFFFFF" w:val="clear"/>
        </w:rPr>
        <w:t>Clawback</w:t>
      </w:r>
      <w:r>
        <w:rPr>
          <w:rFonts w:ascii="Times New Roman;serif" w:hAnsi="Times New Roman;serif"/>
          <w:b w:val="false"/>
          <w:color w:val="000000"/>
          <w:sz w:val="22"/>
          <w:shd w:fill="FFFFFF" w:val="clear"/>
        </w:rPr>
        <w:t>. Notwithstanding anything in the Plan to the contrary, any Award, including any Shares, cash or other property subject to or purchased or received pursuant to an Award, shall be subject to any recovery, recoupment, clawback and/or other forfeiture policy maintained by the Company from time to time, or otherwise required by applicable law, including, without limitation, the NCR Voyix Corporation Clawback Policy as may be amended and/or restated from time to time, and any successor policy.</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11.15.    </w:t>
      </w:r>
      <w:r>
        <w:rPr>
          <w:rFonts w:ascii="Times New Roman;serif" w:hAnsi="Times New Roman;serif"/>
          <w:b w:val="false"/>
          <w:color w:val="000000"/>
          <w:sz w:val="22"/>
          <w:u w:val="single"/>
          <w:shd w:fill="FFFFFF" w:val="clear"/>
        </w:rPr>
        <w:t>Unfunded Status of the Plan</w:t>
      </w:r>
      <w:r>
        <w:rPr>
          <w:rFonts w:ascii="Times New Roman;serif" w:hAnsi="Times New Roman;serif"/>
          <w:b w:val="false"/>
          <w:color w:val="000000"/>
          <w:sz w:val="22"/>
          <w:shd w:fill="FFFFFF" w:val="clear"/>
        </w:rPr>
        <w:t xml:space="preserve">. It is presently intended that the Plan constitute an “unfunded” plan for incentive and deferred compensation. The Committee may authorize the creation of trusts or other arrangements to meet the obligations created under the Plan to deliver Common Stock or make payments;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rFonts w:ascii="Times New Roman;serif" w:hAnsi="Times New Roman;serif"/>
          <w:b w:val="false"/>
          <w:color w:val="000000"/>
          <w:sz w:val="22"/>
          <w:shd w:fill="FFFFFF" w:val="clear"/>
        </w:rPr>
        <w:t>, that unless the Committee otherwise determines, the existence of such trusts or other arrangements is consistent with the “unfunded” status of the Plan.</w:t>
      </w:r>
    </w:p>
    <w:p>
      <w:pPr>
        <w:pStyle w:val="TextBody"/>
        <w:bidi w:val="0"/>
        <w:spacing w:lineRule="auto" w:line="333" w:before="160" w:after="160"/>
        <w:ind w:left="0" w:right="0" w:firstLine="1440"/>
        <w:jc w:val="both"/>
        <w:rPr>
          <w:shd w:fill="FFFFFF" w:val="clear"/>
        </w:rPr>
      </w:pPr>
      <w:r>
        <w:rPr>
          <w:rFonts w:ascii="Times New Roman;serif" w:hAnsi="Times New Roman;serif"/>
          <w:b w:val="false"/>
          <w:color w:val="000000"/>
          <w:sz w:val="22"/>
          <w:shd w:fill="FFFFFF" w:val="clear"/>
        </w:rPr>
        <w:t>SECTION 11.16.    </w:t>
      </w:r>
      <w:r>
        <w:rPr>
          <w:rFonts w:ascii="Times New Roman;serif" w:hAnsi="Times New Roman;serif"/>
          <w:b w:val="false"/>
          <w:color w:val="000000"/>
          <w:sz w:val="22"/>
          <w:u w:val="single"/>
          <w:shd w:fill="FFFFFF" w:val="clear"/>
        </w:rPr>
        <w:t>Construction</w:t>
      </w:r>
      <w:r>
        <w:rPr>
          <w:rFonts w:ascii="Times New Roman;serif" w:hAnsi="Times New Roman;serif"/>
          <w:b w:val="false"/>
          <w:color w:val="000000"/>
          <w:sz w:val="22"/>
          <w:shd w:fill="FFFFFF" w:val="clear"/>
        </w:rPr>
        <w:t>. All references to the Plan to “</w:t>
      </w:r>
      <w:r>
        <w:rPr>
          <w:rFonts w:ascii="Times New Roman;serif" w:hAnsi="Times New Roman;serif"/>
          <w:b w:val="false"/>
          <w:i/>
          <w:color w:val="000000"/>
          <w:sz w:val="22"/>
          <w:shd w:fill="FFFFFF" w:val="clear"/>
        </w:rPr>
        <w:t>Section</w:t>
      </w:r>
      <w:r>
        <w:rPr>
          <w:rFonts w:ascii="Times New Roman;serif" w:hAnsi="Times New Roman;serif"/>
          <w:b w:val="false"/>
          <w:color w:val="000000"/>
          <w:sz w:val="22"/>
          <w:shd w:fill="FFFFFF" w:val="clear"/>
        </w:rPr>
        <w:t>,” “</w:t>
      </w:r>
      <w:r>
        <w:rPr>
          <w:rFonts w:ascii="Times New Roman;serif" w:hAnsi="Times New Roman;serif"/>
          <w:b w:val="false"/>
          <w:i/>
          <w:color w:val="000000"/>
          <w:sz w:val="22"/>
          <w:shd w:fill="FFFFFF" w:val="clear"/>
        </w:rPr>
        <w:t>Sections</w:t>
      </w:r>
      <w:r>
        <w:rPr>
          <w:rFonts w:ascii="Times New Roman;serif" w:hAnsi="Times New Roman;serif"/>
          <w:b w:val="false"/>
          <w:color w:val="000000"/>
          <w:sz w:val="22"/>
          <w:shd w:fill="FFFFFF" w:val="clear"/>
        </w:rPr>
        <w:t>,” or “</w:t>
      </w:r>
      <w:r>
        <w:rPr>
          <w:rFonts w:ascii="Times New Roman;serif" w:hAnsi="Times New Roman;serif"/>
          <w:b w:val="false"/>
          <w:i/>
          <w:color w:val="000000"/>
          <w:sz w:val="22"/>
          <w:shd w:fill="FFFFFF" w:val="clear"/>
        </w:rPr>
        <w:t>Article</w:t>
      </w:r>
      <w:r>
        <w:rPr>
          <w:color w:val="000000"/>
          <w:shd w:fill="FFFFFF" w:val="clear"/>
        </w:rPr>
        <w:t xml:space="preserve">” </w:t>
      </w:r>
      <w:r>
        <w:rPr>
          <w:rFonts w:ascii="Times New Roman;serif" w:hAnsi="Times New Roman;serif"/>
          <w:b w:val="false"/>
          <w:color w:val="000000"/>
          <w:sz w:val="22"/>
          <w:shd w:fill="FFFFFF" w:val="clear"/>
        </w:rPr>
        <w:t>are intended to refer to the Section, Sections or Article, as the case may be, of the Plan. As used in the Plan, the words “</w:t>
      </w:r>
      <w:r>
        <w:rPr>
          <w:rFonts w:ascii="Times New Roman;serif" w:hAnsi="Times New Roman;serif"/>
          <w:b w:val="false"/>
          <w:i/>
          <w:color w:val="000000"/>
          <w:sz w:val="22"/>
          <w:shd w:fill="FFFFFF" w:val="clear"/>
        </w:rPr>
        <w:t>include</w:t>
      </w:r>
      <w:r>
        <w:rPr>
          <w:color w:val="000000"/>
          <w:shd w:fill="FFFFFF" w:val="clear"/>
        </w:rPr>
        <w:t xml:space="preserve">” </w:t>
      </w:r>
      <w:r>
        <w:rPr>
          <w:rFonts w:ascii="Times New Roman;serif" w:hAnsi="Times New Roman;serif"/>
          <w:b w:val="false"/>
          <w:color w:val="000000"/>
          <w:sz w:val="22"/>
          <w:shd w:fill="FFFFFF" w:val="clear"/>
        </w:rPr>
        <w:t>and “</w:t>
      </w:r>
      <w:r>
        <w:rPr>
          <w:rFonts w:ascii="Times New Roman;serif" w:hAnsi="Times New Roman;serif"/>
          <w:b w:val="false"/>
          <w:i/>
          <w:color w:val="000000"/>
          <w:sz w:val="22"/>
          <w:shd w:fill="FFFFFF" w:val="clear"/>
        </w:rPr>
        <w:t>including</w:t>
      </w:r>
      <w:r>
        <w:rPr>
          <w:rFonts w:ascii="Times New Roman;serif" w:hAnsi="Times New Roman;serif"/>
          <w:b w:val="false"/>
          <w:color w:val="000000"/>
          <w:sz w:val="22"/>
          <w:shd w:fill="FFFFFF" w:val="clear"/>
        </w:rPr>
        <w:t>,” and variations thereof, shall not be deemed to be terms of limitation, but shall be deemed to be followed by the words “</w:t>
      </w:r>
      <w:r>
        <w:rPr>
          <w:rFonts w:ascii="Times New Roman;serif" w:hAnsi="Times New Roman;serif"/>
          <w:b w:val="false"/>
          <w:i/>
          <w:color w:val="000000"/>
          <w:sz w:val="22"/>
          <w:shd w:fill="FFFFFF" w:val="clear"/>
        </w:rPr>
        <w:t>without limitation</w:t>
      </w:r>
      <w:r>
        <w:rPr>
          <w:rFonts w:ascii="Times New Roman;serif" w:hAnsi="Times New Roman;serif"/>
          <w:b w:val="false"/>
          <w:color w:val="000000"/>
          <w:sz w:val="22"/>
          <w:shd w:fill="FFFFFF" w:val="clear"/>
        </w:rPr>
        <w:t>,” except as expressly provided, and the word “</w:t>
      </w:r>
      <w:r>
        <w:rPr>
          <w:rFonts w:ascii="Times New Roman;serif" w:hAnsi="Times New Roman;serif"/>
          <w:b w:val="false"/>
          <w:i/>
          <w:color w:val="000000"/>
          <w:sz w:val="22"/>
          <w:shd w:fill="FFFFFF" w:val="clear"/>
        </w:rPr>
        <w:t>or</w:t>
      </w:r>
      <w:r>
        <w:rPr>
          <w:color w:val="000000"/>
          <w:shd w:fill="FFFFFF" w:val="clear"/>
        </w:rPr>
        <w:t xml:space="preserve">” </w:t>
      </w:r>
      <w:r>
        <w:rPr>
          <w:rFonts w:ascii="Times New Roman;serif" w:hAnsi="Times New Roman;serif"/>
          <w:b w:val="false"/>
          <w:color w:val="000000"/>
          <w:sz w:val="22"/>
          <w:shd w:fill="FFFFFF" w:val="clear"/>
        </w:rPr>
        <w:t>shall not be deemed to be exclusive.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71855"/>
                <wp:effectExtent l="0" t="0" r="0" b="0"/>
                <wp:wrapNone/>
                <wp:docPr id="69" name="Frame69"/>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205"/>
                        <w:gridCol w:w="181"/>
                        <w:gridCol w:w="183"/>
                        <w:gridCol w:w="109"/>
                        <w:gridCol w:w="109"/>
                        <w:gridCol w:w="109"/>
                        <w:gridCol w:w="109"/>
                        <w:gridCol w:w="109"/>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33" w:after="30"/>
                              <w:jc w:val="center"/>
                              <w:rPr/>
                            </w:pPr>
                            <w:r>
                              <w:rPr/>
                            </w:r>
                          </w:p>
                        </w:tc>
                      </w:tr>
                      <w:tr>
                        <w:trPr/>
                        <w:tc>
                          <w:tcPr>
                            <w:tcW w:w="56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JostAST Semi;serif" w:hAnsi="JostAST Semi;serif"/>
                                <w:b/>
                                <w:color w:val="5F259F"/>
                                <w:sz w:val="18"/>
                              </w:rPr>
                            </w:pPr>
                            <w:r>
                              <w:rPr>
                                <w:rFonts w:ascii="JostAST Semi;serif" w:hAnsi="JostAST Semi;serif"/>
                                <w:b/>
                                <w:color w:val="5F259F"/>
                                <w:sz w:val="18"/>
                              </w:rPr>
                              <w:t>A-18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James Kelly,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4300"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06"/>
        <w:gridCol w:w="606"/>
        <w:gridCol w:w="8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Brian Webb-Walsh,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667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NCR Voyix Corporation (the “Company”) for the period ending June 30, 2026 as filed with the U.S. Securities and Exchange Commission on the date hereof (the “Report”), each of the undersigned officers of the Company does hereby certify, pursuant to 18 U.S.C. § 1350 (section 906 of the Sarbanes-Oxley Act of 2002),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The foregoing certification (i) is given to such officers’ knowledge, based upon such officers’ investigation as such officers reasonably deem appropriate; and (ii) is being furnished solely pursuant to 18 U.S.C. § 1350 (section 906 of the Sarbanes-Oxley Act of 2002) and is not being filed as part of the Report or as a separate disclosure document. </w:t>
      </w:r>
    </w:p>
    <w:p>
      <w:pPr>
        <w:pStyle w:val="TextBody"/>
        <w:bidi w:val="0"/>
        <w:spacing w:before="100" w:after="100"/>
        <w:jc w:val="left"/>
        <w:rPr/>
      </w:pPr>
      <w:r>
        <w:rPr/>
      </w:r>
    </w:p>
    <w:tbl>
      <w:tblPr>
        <w:tblW w:w="4405"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Kelly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Kelly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6776"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JostAST Book">
    <w:altName w:val="serif"/>
    <w:charset w:val="01"/>
    <w:family w:val="auto"/>
    <w:pitch w:val="default"/>
  </w:font>
  <w:font w:name="JostAST Semi">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38454</Words>
  <Characters>208386</Characters>
  <CharactersWithSpaces>245148</CharactersWithSpaces>
  <Paragraphs>3528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