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tbl>
      <w:tblPr>
        <w:tblW w:w="4481" w:type="dxa"/>
        <w:jc w:val="left"/>
        <w:tblInd w:w="0" w:type="dxa"/>
        <w:tblLayout w:type="fixed"/>
        <w:tblCellMar>
          <w:top w:w="28" w:type="dxa"/>
          <w:left w:w="28" w:type="dxa"/>
          <w:bottom w:w="28" w:type="dxa"/>
          <w:right w:w="28" w:type="dxa"/>
        </w:tblCellMar>
      </w:tblPr>
      <w:tblGrid>
        <w:gridCol w:w="124"/>
        <w:gridCol w:w="109"/>
        <w:gridCol w:w="109"/>
        <w:gridCol w:w="1212"/>
        <w:gridCol w:w="1212"/>
        <w:gridCol w:w="17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br/>
              <w:br/>
              <w:t>For the transition period from ____________ to ____________</w:t>
            </w:r>
          </w:p>
        </w:tc>
      </w:tr>
    </w:tbl>
    <w:p>
      <w:pPr>
        <w:pStyle w:val="TextBody"/>
        <w:bidi w:val="0"/>
        <w:spacing w:before="0" w:after="0"/>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69"/>
        <w:gridCol w:w="969"/>
        <w:gridCol w:w="13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Commission File Number: 001-00395</w:t>
            </w:r>
          </w:p>
        </w:tc>
      </w:tr>
    </w:tbl>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w:t>
      </w:r>
    </w:p>
    <w:p>
      <w:pPr>
        <w:pStyle w:val="TextBody"/>
        <w:bidi w:val="0"/>
        <w:spacing w:before="40" w:after="283"/>
        <w:jc w:val="center"/>
        <w:rPr/>
      </w:pPr>
      <w:r>
        <w:rPr/>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80" w:after="283"/>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31-0387920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864 Spring Street NW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Atlanta, GA 30308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(800) 225-5627 </w:t>
      </w:r>
    </w:p>
    <w:p>
      <w:pPr>
        <w:pStyle w:val="TextBody"/>
        <w:bidi w:val="0"/>
        <w:spacing w:before="180" w:after="283"/>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4" w:type="dxa"/>
        <w:jc w:val="center"/>
        <w:tblInd w:w="0" w:type="dxa"/>
        <w:tblLayout w:type="fixed"/>
        <w:tblCellMar>
          <w:top w:w="28" w:type="dxa"/>
          <w:left w:w="28" w:type="dxa"/>
          <w:bottom w:w="28" w:type="dxa"/>
          <w:right w:w="28" w:type="dxa"/>
        </w:tblCellMar>
      </w:tblPr>
      <w:tblGrid>
        <w:gridCol w:w="1262"/>
        <w:gridCol w:w="1109"/>
        <w:gridCol w:w="1124"/>
        <w:gridCol w:w="564"/>
        <w:gridCol w:w="564"/>
        <w:gridCol w:w="566"/>
        <w:gridCol w:w="1118"/>
        <w:gridCol w:w="1118"/>
        <w:gridCol w:w="1589"/>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Title of each class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VYX</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both"/>
        <w:rPr/>
      </w:pPr>
      <w:r>
        <w:rPr>
          <w:color w:val="000000"/>
        </w:rPr>
        <w:t>    </w:t>
      </w: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bidi w:val="0"/>
        <w:spacing w:lineRule="auto" w:line="288" w:before="180" w:after="283"/>
        <w:jc w:val="both"/>
        <w:rPr/>
      </w:pPr>
      <w:r>
        <w:rPr>
          <w:color w:val="000000"/>
        </w:rPr>
        <w:t>    </w:t>
      </w: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180" w:after="283"/>
        <w:jc w:val="both"/>
        <w:rPr>
          <w:color w:val="000000"/>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80" w:after="283"/>
        <w:jc w:val="both"/>
        <w:rPr/>
      </w:pPr>
      <w:r>
        <w:rPr/>
      </w:r>
    </w:p>
    <w:p>
      <w:pPr>
        <w:pStyle w:val="TextBody"/>
        <w:bidi w:val="0"/>
        <w:spacing w:before="180" w:after="283"/>
        <w:jc w:val="both"/>
        <w:rPr/>
      </w:pPr>
      <w:r>
        <w:rPr/>
      </w:r>
    </w:p>
    <w:tbl>
      <w:tblPr>
        <w:tblW w:w="55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80" w:after="283"/>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pStyle w:val="TextBody"/>
        <w:bidi w:val="0"/>
        <w:spacing w:lineRule="auto" w:line="288" w:before="180" w:after="283"/>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3, 2024, there were approximately 145,014,989 shares of the registrant’s common </w:t>
      </w:r>
      <w:bookmarkStart w:id="0" w:name="ib69bb7d390ce4739b01a9b0a6f1ae009_2463"/>
      <w:bookmarkEnd w:id="0"/>
      <w:r>
        <w:rPr>
          <w:rFonts w:ascii="Times New Roman;sans-serif" w:hAnsi="Times New Roman;sans-serif"/>
          <w:b w:val="false"/>
          <w:color w:val="000000"/>
          <w:sz w:val="20"/>
        </w:rPr>
        <w:t>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5"/>
        <w:gridCol w:w="365"/>
        <w:gridCol w:w="365"/>
        <w:gridCol w:w="2915"/>
        <w:gridCol w:w="2802"/>
        <w:gridCol w:w="2759"/>
        <w:gridCol w:w="149"/>
        <w:gridCol w:w="149"/>
        <w:gridCol w:w="216"/>
      </w:tblGrid>
      <w:tr>
        <w:trPr/>
        <w:tc>
          <w:tcPr>
            <w:tcW w:w="48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3">
              <w:r>
                <w:rPr>
                  <w:rStyle w:val="InternetLink"/>
                  <w:rFonts w:ascii="Times New Roman;sans-serif" w:hAnsi="Times New Roman;sans-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13">
              <w:r>
                <w:rPr>
                  <w:rStyle w:val="InternetLink"/>
                  <w:rFonts w:ascii="Times New Roman;sans-serif" w:hAnsi="Times New Roman;sans-serif"/>
                  <w:b w:val="false"/>
                  <w:color w:val="0000FF"/>
                  <w:sz w:val="20"/>
                  <w:u w:val="single"/>
                </w:rPr>
                <w:t>3</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6">
              <w:r>
                <w:rPr>
                  <w:rStyle w:val="InternetLink"/>
                  <w:rFonts w:ascii="Times New Roman;sans-serif" w:hAnsi="Times New Roman;sans-serif"/>
                  <w:b w:val="false"/>
                  <w:color w:val="0000FF"/>
                  <w:sz w:val="20"/>
                  <w:u w:val="single"/>
                </w:rPr>
                <w:t>Condensed Consolidated Statements of Operations (Unaudited) Three Months Ended March 31,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16">
              <w:r>
                <w:rPr>
                  <w:rStyle w:val="InternetLink"/>
                  <w:rFonts w:ascii="Times New Roman;sans-serif" w:hAnsi="Times New Roman;sans-serif"/>
                  <w:b w:val="false"/>
                  <w:color w:val="0000FF"/>
                  <w:sz w:val="20"/>
                  <w:u w:val="single"/>
                </w:rPr>
                <w:t>3</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9">
              <w:r>
                <w:rPr>
                  <w:rStyle w:val="InternetLink"/>
                  <w:rFonts w:ascii="Times New Roman;sans-serif" w:hAnsi="Times New Roman;sans-serif"/>
                  <w:b w:val="false"/>
                  <w:color w:val="0000FF"/>
                  <w:sz w:val="20"/>
                  <w:u w:val="single"/>
                </w:rPr>
                <w:t>Condensed Consolidated Statements of Comprehensive Income (Unaudited) Three Months Ended March 31,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19">
              <w:r>
                <w:rPr>
                  <w:rStyle w:val="InternetLink"/>
                  <w:rFonts w:ascii="Times New Roman;sans-serif" w:hAnsi="Times New Roman;sans-serif"/>
                  <w:b w:val="false"/>
                  <w:color w:val="0000FF"/>
                  <w:sz w:val="20"/>
                  <w:u w:val="single"/>
                </w:rPr>
                <w:t>4</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2">
              <w:r>
                <w:rPr>
                  <w:rStyle w:val="InternetLink"/>
                  <w:rFonts w:ascii="Times New Roman;sans-serif" w:hAnsi="Times New Roman;sans-serif"/>
                  <w:b w:val="false"/>
                  <w:color w:val="0000FF"/>
                  <w:sz w:val="20"/>
                  <w:u w:val="single"/>
                </w:rPr>
                <w:t>Condensed Consolidated Balance Sheets (Unaudited) March 31, 2024 and December 31,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2">
              <w:r>
                <w:rPr>
                  <w:rStyle w:val="InternetLink"/>
                  <w:rFonts w:ascii="Times New Roman;sans-serif" w:hAnsi="Times New Roman;sans-serif"/>
                  <w:b w:val="false"/>
                  <w:color w:val="0000FF"/>
                  <w:sz w:val="20"/>
                  <w:u w:val="single"/>
                </w:rPr>
                <w:t>5</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5">
              <w:r>
                <w:rPr>
                  <w:rStyle w:val="InternetLink"/>
                  <w:rFonts w:ascii="Times New Roman;sans-serif" w:hAnsi="Times New Roman;sans-serif"/>
                  <w:b w:val="false"/>
                  <w:color w:val="0000FF"/>
                  <w:sz w:val="20"/>
                  <w:u w:val="single"/>
                </w:rPr>
                <w:t>Condensed Consolidated Statements of Cash Flows (Unaudited) Three Months Ended March 31,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5">
              <w:r>
                <w:rPr>
                  <w:rStyle w:val="InternetLink"/>
                  <w:rFonts w:ascii="Times New Roman;sans-serif" w:hAnsi="Times New Roman;sans-serif"/>
                  <w:b w:val="false"/>
                  <w:color w:val="0000FF"/>
                  <w:sz w:val="20"/>
                  <w:u w:val="single"/>
                </w:rPr>
                <w:t>6</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8">
              <w:r>
                <w:rPr>
                  <w:rStyle w:val="InternetLink"/>
                  <w:rFonts w:ascii="Times New Roman;sans-serif" w:hAnsi="Times New Roman;sans-serif"/>
                  <w:b w:val="false"/>
                  <w:color w:val="0000FF"/>
                  <w:sz w:val="20"/>
                  <w:u w:val="single"/>
                </w:rPr>
                <w:t>Condensed Consolidated Statements of Changes in Stockholders’ Equity (Deficit) (Unaudited) Three Months Ended March 31,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8">
              <w:r>
                <w:rPr>
                  <w:rStyle w:val="InternetLink"/>
                  <w:rFonts w:ascii="Times New Roman;sans-serif" w:hAnsi="Times New Roman;sans-serif"/>
                  <w:b w:val="false"/>
                  <w:color w:val="0000FF"/>
                  <w:sz w:val="20"/>
                  <w:u w:val="single"/>
                </w:rPr>
                <w:t>7</w:t>
              </w:r>
            </w:hyperlink>
          </w:p>
          <w:p>
            <w:pPr>
              <w:pStyle w:val="TableContents"/>
              <w:bidi w:val="0"/>
              <w:spacing w:before="0" w:after="0"/>
              <w:jc w:val="left"/>
              <w:rPr/>
            </w:pPr>
            <w:r>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31">
              <w:r>
                <w:rPr>
                  <w:rStyle w:val="InternetLink"/>
                  <w:rFonts w:ascii="Times New Roman;sans-serif" w:hAnsi="Times New Roman;sans-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31">
              <w:r>
                <w:rPr>
                  <w:rStyle w:val="InternetLink"/>
                  <w:rFonts w:ascii="Times New Roman;sans-serif" w:hAnsi="Times New Roman;sans-serif"/>
                  <w:b w:val="false"/>
                  <w:color w:val="0000FF"/>
                  <w:sz w:val="20"/>
                  <w:u w:val="single"/>
                </w:rPr>
                <w:t>8</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1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118">
              <w:r>
                <w:rPr>
                  <w:rStyle w:val="InternetLink"/>
                  <w:rFonts w:ascii="Times New Roman;sans-serif" w:hAnsi="Times New Roman;sans-serif"/>
                  <w:b w:val="false"/>
                  <w:color w:val="0000FF"/>
                  <w:sz w:val="20"/>
                  <w:u w:val="single"/>
                </w:rPr>
                <w:t>33</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47">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47">
              <w:r>
                <w:rPr>
                  <w:rStyle w:val="InternetLink"/>
                  <w:rFonts w:ascii="Times New Roman;sans-serif" w:hAnsi="Times New Roman;sans-serif"/>
                  <w:b w:val="false"/>
                  <w:color w:val="0000FF"/>
                  <w:sz w:val="20"/>
                  <w:u w:val="single"/>
                </w:rPr>
                <w:t>47</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50">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50">
              <w:r>
                <w:rPr>
                  <w:rStyle w:val="InternetLink"/>
                  <w:rFonts w:ascii="Times New Roman;sans-serif" w:hAnsi="Times New Roman;sans-serif"/>
                  <w:b w:val="false"/>
                  <w:color w:val="0000FF"/>
                  <w:sz w:val="20"/>
                  <w:u w:val="single"/>
                </w:rPr>
                <w:t>48</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56">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56">
              <w:r>
                <w:rPr>
                  <w:rStyle w:val="InternetLink"/>
                  <w:rFonts w:ascii="Times New Roman;sans-serif" w:hAnsi="Times New Roman;sans-serif"/>
                  <w:b w:val="false"/>
                  <w:color w:val="0000FF"/>
                  <w:sz w:val="20"/>
                  <w:u w:val="single"/>
                </w:rPr>
                <w:t>50</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59">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59">
              <w:r>
                <w:rPr>
                  <w:rStyle w:val="InternetLink"/>
                  <w:rFonts w:ascii="Times New Roman;sans-serif" w:hAnsi="Times New Roman;sans-serif"/>
                  <w:b w:val="false"/>
                  <w:color w:val="0000FF"/>
                  <w:sz w:val="20"/>
                  <w:u w:val="single"/>
                </w:rPr>
                <w:t>50</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62">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62">
              <w:r>
                <w:rPr>
                  <w:rStyle w:val="InternetLink"/>
                  <w:rFonts w:ascii="Times New Roman;sans-serif" w:hAnsi="Times New Roman;sans-serif"/>
                  <w:b w:val="false"/>
                  <w:color w:val="0000FF"/>
                  <w:sz w:val="20"/>
                  <w:u w:val="single"/>
                </w:rPr>
                <w:t>50</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671">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1671">
              <w:r>
                <w:rPr>
                  <w:rStyle w:val="InternetLink"/>
                  <w:rFonts w:ascii="Times New Roman;sans-serif" w:hAnsi="Times New Roman;sans-serif"/>
                  <w:b w:val="false"/>
                  <w:color w:val="0000FF"/>
                  <w:sz w:val="20"/>
                  <w:u w:val="single"/>
                </w:rPr>
                <w:t>51</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68">
              <w:r>
                <w:rPr>
                  <w:rStyle w:val="InternetLink"/>
                  <w:rFonts w:ascii="Times New Roman;sans-serif" w:hAnsi="Times New Roman;sans-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68">
              <w:r>
                <w:rPr>
                  <w:rStyle w:val="InternetLink"/>
                  <w:rFonts w:ascii="Times New Roman;sans-serif" w:hAnsi="Times New Roman;sans-serif"/>
                  <w:b w:val="false"/>
                  <w:color w:val="0000FF"/>
                  <w:sz w:val="20"/>
                  <w:u w:val="single"/>
                </w:rPr>
                <w:t>52</w:t>
              </w:r>
            </w:hyperlink>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271">
              <w:r>
                <w:rPr>
                  <w:rStyle w:val="InternetLink"/>
                  <w:rFonts w:ascii="Times New Roman;sans-serif" w:hAnsi="Times New Roman;sans-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fceb10c5e4020b8ec21097c4cffc7_271">
              <w:r>
                <w:rPr>
                  <w:rStyle w:val="InternetLink"/>
                  <w:rFonts w:ascii="Times New Roman;sans-serif" w:hAnsi="Times New Roman;sans-serif"/>
                  <w:b w:val="false"/>
                  <w:color w:val="0000FF"/>
                  <w:sz w:val="20"/>
                  <w:u w:val="single"/>
                </w:rPr>
                <w:t>53</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pPr>
      <w:r>
        <w:rPr>
          <w:rFonts w:ascii="Times New Roman;sans-serif" w:hAnsi="Times New Roman;sans-serif"/>
          <w:b/>
          <w:color w:val="000000"/>
          <w:sz w:val="20"/>
        </w:rPr>
        <w:t>Condensed Consolidated Statements of Operations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687"/>
        <w:gridCol w:w="2358"/>
        <w:gridCol w:w="2377"/>
        <w:gridCol w:w="226"/>
        <w:gridCol w:w="631"/>
        <w:gridCol w:w="116"/>
        <w:gridCol w:w="116"/>
        <w:gridCol w:w="116"/>
        <w:gridCol w:w="116"/>
        <w:gridCol w:w="226"/>
        <w:gridCol w:w="631"/>
        <w:gridCol w:w="116"/>
        <w:gridCol w:w="109"/>
        <w:gridCol w:w="109"/>
        <w:gridCol w:w="109"/>
        <w:gridCol w:w="162"/>
      </w:tblGrid>
      <w:tr>
        <w:trPr/>
        <w:tc>
          <w:tcPr>
            <w:tcW w:w="268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422" w:type="dxa"/>
            <w:gridSpan w:val="3"/>
            <w:vMerge w:val="continue"/>
            <w:tcBorders/>
            <w:tcMar>
              <w:top w:w="0" w:type="dxa"/>
              <w:left w:w="0" w:type="dxa"/>
              <w:bottom w:w="0" w:type="dxa"/>
              <w:right w:w="0" w:type="dxa"/>
            </w:tcMar>
            <w:vAlign w:val="center"/>
          </w:tcPr>
          <w:p>
            <w:pPr>
              <w:pStyle w:val="Normal"/>
              <w:bidi w:val="0"/>
              <w:jc w:val="left"/>
              <w:rPr/>
            </w:pPr>
            <w:r>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 of discontinued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NCR Voyix</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NCR Voyix common stockholders:</w:t>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attributable to NCR Voyix common stockholders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NCR Voyix common stockholders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NCR Voyix common stockholders:</w:t>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common share from continuing operations</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w:t>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8920" w:type="dxa"/>
        <w:jc w:val="center"/>
        <w:tblInd w:w="0" w:type="dxa"/>
        <w:tblLayout w:type="fixed"/>
        <w:tblCellMar>
          <w:top w:w="28" w:type="dxa"/>
          <w:left w:w="28" w:type="dxa"/>
          <w:bottom w:w="28" w:type="dxa"/>
          <w:right w:w="28" w:type="dxa"/>
        </w:tblCellMar>
      </w:tblPr>
      <w:tblGrid>
        <w:gridCol w:w="2222"/>
        <w:gridCol w:w="1952"/>
        <w:gridCol w:w="1961"/>
        <w:gridCol w:w="265"/>
        <w:gridCol w:w="547"/>
        <w:gridCol w:w="136"/>
        <w:gridCol w:w="136"/>
        <w:gridCol w:w="136"/>
        <w:gridCol w:w="136"/>
        <w:gridCol w:w="265"/>
        <w:gridCol w:w="547"/>
        <w:gridCol w:w="136"/>
        <w:gridCol w:w="109"/>
        <w:gridCol w:w="109"/>
        <w:gridCol w:w="109"/>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vMerge w:val="continue"/>
            <w:tcBorders/>
            <w:tcMar>
              <w:top w:w="0" w:type="dxa"/>
              <w:left w:w="0" w:type="dxa"/>
              <w:bottom w:w="0" w:type="dxa"/>
              <w:right w:w="0" w:type="dxa"/>
            </w:tcMar>
            <w:vAlign w:val="center"/>
          </w:tcPr>
          <w:p>
            <w:pPr>
              <w:pStyle w:val="Normal"/>
              <w:bidi w:val="0"/>
              <w:jc w:val="left"/>
              <w:rPr/>
            </w:pPr>
            <w:r>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Currency translation adjustments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gains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 on derivatives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(gains) on derivatives recognized during the period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income tax</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Employee benefit plans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prior service cost (benefit)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gain arising during the period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actuarial loss (gains)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income tax</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Currency translation gains (losses)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noncontrolling interests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NCR Voyix</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20"/>
        <w:gridCol w:w="2344"/>
        <w:gridCol w:w="2362"/>
        <w:gridCol w:w="226"/>
        <w:gridCol w:w="661"/>
        <w:gridCol w:w="125"/>
        <w:gridCol w:w="109"/>
        <w:gridCol w:w="109"/>
        <w:gridCol w:w="109"/>
        <w:gridCol w:w="245"/>
        <w:gridCol w:w="697"/>
        <w:gridCol w:w="198"/>
      </w:tblGrid>
      <w:tr>
        <w:trPr/>
        <w:tc>
          <w:tcPr>
            <w:tcW w:w="302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$28 and $29 as of March 31, 2024 and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current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1,238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2,039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pension cost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5,007</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benefits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2,658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indemnity plan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and postemployment benefits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accruals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 of discontinued operations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4,767</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10)</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convertible preferred stock: par value $0.01 per share, 3.0 shares authorized, 0.3 shares issued and outstanding as of March 31, 2024 and December 31, 2023; redemption amount and liquidation preference of $276 as of March 31, 2024 and December 31, 2023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 (deficit)</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 Voyix stockholders’ equity (deficit)</w:t>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per share, 100.0 shares authorized, no shares issued and outstanding as of March 31, 2024 and December 31, 2023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 500.0 shares authorized, 144.6 and 142.6 shares issued and outstanding as of March 31, 2024 and December 31, 2023,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(deficit)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NCR Voyix stockholders’ equity (deficit)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subsidiaries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 (deficit)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5,007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NCR Voyix Corporation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848"/>
        <w:gridCol w:w="2495"/>
        <w:gridCol w:w="2513"/>
        <w:gridCol w:w="243"/>
        <w:gridCol w:w="555"/>
        <w:gridCol w:w="125"/>
        <w:gridCol w:w="125"/>
        <w:gridCol w:w="125"/>
        <w:gridCol w:w="125"/>
        <w:gridCol w:w="243"/>
        <w:gridCol w:w="623"/>
        <w:gridCol w:w="185"/>
      </w:tblGrid>
      <w:tr>
        <w:trPr/>
        <w:tc>
          <w:tcPr>
            <w:tcW w:w="2848"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856" w:type="dxa"/>
            <w:gridSpan w:val="3"/>
            <w:vMerge w:val="continue"/>
            <w:tcBorders/>
            <w:tcMar>
              <w:top w:w="0" w:type="dxa"/>
              <w:left w:w="0" w:type="dxa"/>
              <w:bottom w:w="0" w:type="dxa"/>
              <w:right w:w="0" w:type="dxa"/>
            </w:tcMar>
            <w:vAlign w:val="center"/>
          </w:tcPr>
          <w:p>
            <w:pPr>
              <w:pStyle w:val="Normal"/>
              <w:bidi w:val="0"/>
              <w:jc w:val="left"/>
              <w:rPr/>
            </w:pPr>
            <w:r>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 expense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(gain) on disposal of property, plant and equipment and other assets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divestiture</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effects of business acquired:</w:t>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Receivables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payables and accrued expenses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benefit plans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 and liabilities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operating activities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Expenditures for property, plant and equipment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capitalized software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Business acquisitions, net of cash acquired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divestiture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investing activities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term credit facilities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revolving credit facilities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(122)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Borrowings on revolving credit facilities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dividend paid for Series A preferred shares dividends </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stock plans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payments on behalf of employees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for finance lease obligations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financing activities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(decrease) in cash, cash equivalents, and restricted cash</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end of period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269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785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(Deficit) (Unaudited)</w:t>
      </w:r>
    </w:p>
    <w:tbl>
      <w:tblPr>
        <w:tblW w:w="10205" w:type="dxa"/>
        <w:jc w:val="center"/>
        <w:tblInd w:w="0" w:type="dxa"/>
        <w:tblLayout w:type="fixed"/>
        <w:tblCellMar>
          <w:top w:w="28" w:type="dxa"/>
          <w:left w:w="28" w:type="dxa"/>
          <w:bottom w:w="28" w:type="dxa"/>
          <w:right w:w="28" w:type="dxa"/>
        </w:tblCellMar>
      </w:tblPr>
      <w:tblGrid>
        <w:gridCol w:w="606"/>
        <w:gridCol w:w="460"/>
        <w:gridCol w:w="315"/>
        <w:gridCol w:w="109"/>
        <w:gridCol w:w="109"/>
        <w:gridCol w:w="109"/>
        <w:gridCol w:w="218"/>
        <w:gridCol w:w="218"/>
        <w:gridCol w:w="196"/>
        <w:gridCol w:w="109"/>
        <w:gridCol w:w="109"/>
        <w:gridCol w:w="109"/>
        <w:gridCol w:w="241"/>
        <w:gridCol w:w="315"/>
        <w:gridCol w:w="135"/>
        <w:gridCol w:w="109"/>
        <w:gridCol w:w="109"/>
        <w:gridCol w:w="109"/>
        <w:gridCol w:w="204"/>
        <w:gridCol w:w="454"/>
        <w:gridCol w:w="113"/>
        <w:gridCol w:w="109"/>
        <w:gridCol w:w="109"/>
        <w:gridCol w:w="109"/>
        <w:gridCol w:w="216"/>
        <w:gridCol w:w="500"/>
        <w:gridCol w:w="120"/>
        <w:gridCol w:w="109"/>
        <w:gridCol w:w="109"/>
        <w:gridCol w:w="109"/>
        <w:gridCol w:w="364"/>
        <w:gridCol w:w="810"/>
        <w:gridCol w:w="204"/>
        <w:gridCol w:w="109"/>
        <w:gridCol w:w="109"/>
        <w:gridCol w:w="109"/>
        <w:gridCol w:w="419"/>
        <w:gridCol w:w="868"/>
        <w:gridCol w:w="234"/>
        <w:gridCol w:w="109"/>
        <w:gridCol w:w="109"/>
        <w:gridCol w:w="109"/>
        <w:gridCol w:w="196"/>
        <w:gridCol w:w="349"/>
        <w:gridCol w:w="161"/>
      </w:tblGrid>
      <w:tr>
        <w:trPr/>
        <w:tc>
          <w:tcPr>
            <w:tcW w:w="6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(451)</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5"/>
        <w:gridCol w:w="430"/>
        <w:gridCol w:w="280"/>
        <w:gridCol w:w="109"/>
        <w:gridCol w:w="109"/>
        <w:gridCol w:w="109"/>
        <w:gridCol w:w="218"/>
        <w:gridCol w:w="218"/>
        <w:gridCol w:w="196"/>
        <w:gridCol w:w="109"/>
        <w:gridCol w:w="109"/>
        <w:gridCol w:w="109"/>
        <w:gridCol w:w="241"/>
        <w:gridCol w:w="315"/>
        <w:gridCol w:w="135"/>
        <w:gridCol w:w="109"/>
        <w:gridCol w:w="109"/>
        <w:gridCol w:w="109"/>
        <w:gridCol w:w="199"/>
        <w:gridCol w:w="444"/>
        <w:gridCol w:w="111"/>
        <w:gridCol w:w="109"/>
        <w:gridCol w:w="109"/>
        <w:gridCol w:w="109"/>
        <w:gridCol w:w="204"/>
        <w:gridCol w:w="595"/>
        <w:gridCol w:w="113"/>
        <w:gridCol w:w="109"/>
        <w:gridCol w:w="109"/>
        <w:gridCol w:w="109"/>
        <w:gridCol w:w="341"/>
        <w:gridCol w:w="760"/>
        <w:gridCol w:w="191"/>
        <w:gridCol w:w="109"/>
        <w:gridCol w:w="109"/>
        <w:gridCol w:w="109"/>
        <w:gridCol w:w="496"/>
        <w:gridCol w:w="649"/>
        <w:gridCol w:w="278"/>
        <w:gridCol w:w="109"/>
        <w:gridCol w:w="109"/>
        <w:gridCol w:w="109"/>
        <w:gridCol w:w="196"/>
        <w:gridCol w:w="571"/>
        <w:gridCol w:w="160"/>
      </w:tblGrid>
      <w:tr>
        <w:trPr/>
        <w:tc>
          <w:tcPr>
            <w:tcW w:w="57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1,075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1,078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(319)</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 and Supplemental Data</w:t>
      </w:r>
    </w:p>
    <w:tbl>
      <w:tblPr>
        <w:tblW w:w="6495" w:type="dxa"/>
        <w:jc w:val="center"/>
        <w:tblInd w:w="0" w:type="dxa"/>
        <w:tblLayout w:type="fixed"/>
        <w:tblCellMar>
          <w:top w:w="28" w:type="dxa"/>
          <w:left w:w="28" w:type="dxa"/>
          <w:bottom w:w="28" w:type="dxa"/>
          <w:right w:w="28" w:type="dxa"/>
        </w:tblCellMar>
      </w:tblPr>
      <w:tblGrid>
        <w:gridCol w:w="2080"/>
        <w:gridCol w:w="1825"/>
        <w:gridCol w:w="2590"/>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34">
              <w:r>
                <w:rPr>
                  <w:rStyle w:val="InternetLink"/>
                  <w:rFonts w:ascii="Times New Roman;sans-serif" w:hAnsi="Times New Roman;sans-serif"/>
                  <w:b w:val="false"/>
                  <w:color w:val="0000FF"/>
                  <w:sz w:val="20"/>
                  <w:u w:val="single"/>
                </w:rPr>
                <w:t>Note 1. Basis of Presentation and Summary of Significant Accounting Policies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575">
              <w:r>
                <w:rPr>
                  <w:rStyle w:val="InternetLink"/>
                  <w:rFonts w:ascii="Times New Roman;sans-serif" w:hAnsi="Times New Roman;sans-serif"/>
                  <w:b w:val="false"/>
                  <w:color w:val="0000FF"/>
                  <w:sz w:val="20"/>
                  <w:u w:val="single"/>
                </w:rPr>
                <w:t>Note 2. Discontinued Operations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46">
              <w:r>
                <w:rPr>
                  <w:rStyle w:val="InternetLink"/>
                  <w:rFonts w:ascii="Times New Roman;sans-serif" w:hAnsi="Times New Roman;sans-serif"/>
                  <w:b w:val="false"/>
                  <w:color w:val="0000FF"/>
                  <w:sz w:val="20"/>
                  <w:u w:val="single"/>
                </w:rPr>
                <w:t>Note 3. Goodwill and Purchased Intangible Assets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49">
              <w:r>
                <w:rPr>
                  <w:rStyle w:val="InternetLink"/>
                  <w:rFonts w:ascii="Times New Roman;sans-serif" w:hAnsi="Times New Roman;sans-serif"/>
                  <w:b w:val="false"/>
                  <w:color w:val="0000FF"/>
                  <w:sz w:val="20"/>
                  <w:u w:val="single"/>
                </w:rPr>
                <w:t>Note 4. Segment Information and Concentrations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52">
              <w:r>
                <w:rPr>
                  <w:rStyle w:val="InternetLink"/>
                  <w:rFonts w:ascii="Times New Roman;sans-serif" w:hAnsi="Times New Roman;sans-serif"/>
                  <w:b w:val="false"/>
                  <w:color w:val="0000FF"/>
                  <w:sz w:val="20"/>
                  <w:u w:val="single"/>
                </w:rPr>
                <w:t>Note 5. Debt Obligations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58">
              <w:r>
                <w:rPr>
                  <w:rStyle w:val="InternetLink"/>
                  <w:rFonts w:ascii="Times New Roman;sans-serif" w:hAnsi="Times New Roman;sans-serif"/>
                  <w:b w:val="false"/>
                  <w:color w:val="0000FF"/>
                  <w:sz w:val="20"/>
                  <w:u w:val="single"/>
                </w:rPr>
                <w:t>Note 6. Trade Receivables Facility</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61">
              <w:r>
                <w:rPr>
                  <w:rStyle w:val="InternetLink"/>
                  <w:rFonts w:ascii="Times New Roman;sans-serif" w:hAnsi="Times New Roman;sans-serif"/>
                  <w:b w:val="false"/>
                  <w:color w:val="0000FF"/>
                  <w:sz w:val="20"/>
                  <w:u w:val="single"/>
                </w:rPr>
                <w:t>Note 7. Income Taxes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70">
              <w:r>
                <w:rPr>
                  <w:rStyle w:val="InternetLink"/>
                  <w:rFonts w:ascii="Times New Roman;sans-serif" w:hAnsi="Times New Roman;sans-serif"/>
                  <w:b w:val="false"/>
                  <w:color w:val="0000FF"/>
                  <w:sz w:val="20"/>
                  <w:u w:val="single"/>
                </w:rPr>
                <w:t>Note 8. Stock Compensation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73">
              <w:r>
                <w:rPr>
                  <w:rStyle w:val="InternetLink"/>
                  <w:rFonts w:ascii="Times New Roman;sans-serif" w:hAnsi="Times New Roman;sans-serif"/>
                  <w:b w:val="false"/>
                  <w:color w:val="0000FF"/>
                  <w:sz w:val="20"/>
                  <w:u w:val="single"/>
                </w:rPr>
                <w:t>Note 9. Employee Benefit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85">
              <w:r>
                <w:rPr>
                  <w:rStyle w:val="InternetLink"/>
                  <w:rFonts w:ascii="Times New Roman;sans-serif" w:hAnsi="Times New Roman;sans-serif"/>
                  <w:b w:val="false"/>
                  <w:color w:val="0000FF"/>
                  <w:sz w:val="20"/>
                  <w:u w:val="single"/>
                </w:rPr>
                <w:t>Note 10. Commitments and Contingencies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88">
              <w:r>
                <w:rPr>
                  <w:rStyle w:val="InternetLink"/>
                  <w:rFonts w:ascii="Times New Roman;sans-serif" w:hAnsi="Times New Roman;sans-serif"/>
                  <w:b w:val="false"/>
                  <w:color w:val="0000FF"/>
                  <w:sz w:val="20"/>
                  <w:u w:val="single"/>
                </w:rPr>
                <w:t>Note 11. Series A Convertible Preferred Stock</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94">
              <w:r>
                <w:rPr>
                  <w:rStyle w:val="InternetLink"/>
                  <w:rFonts w:ascii="Times New Roman;sans-serif" w:hAnsi="Times New Roman;sans-serif"/>
                  <w:b w:val="false"/>
                  <w:color w:val="0000FF"/>
                  <w:sz w:val="20"/>
                  <w:u w:val="single"/>
                </w:rPr>
                <w:t>Note 12. Earnings Per Share</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00">
              <w:r>
                <w:rPr>
                  <w:rStyle w:val="InternetLink"/>
                  <w:rFonts w:ascii="Times New Roman;sans-serif" w:hAnsi="Times New Roman;sans-serif"/>
                  <w:b w:val="false"/>
                  <w:color w:val="0000FF"/>
                  <w:sz w:val="20"/>
                  <w:u w:val="single"/>
                </w:rPr>
                <w:t>Note 13. Derivatives and Hedging Instruments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03">
              <w:r>
                <w:rPr>
                  <w:rStyle w:val="InternetLink"/>
                  <w:rFonts w:ascii="Times New Roman;sans-serif" w:hAnsi="Times New Roman;sans-serif"/>
                  <w:b w:val="false"/>
                  <w:color w:val="0000FF"/>
                  <w:sz w:val="20"/>
                  <w:u w:val="single"/>
                </w:rPr>
                <w:t>Note 14. Fair Value of Assets and Liabilities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06">
              <w:r>
                <w:rPr>
                  <w:rStyle w:val="InternetLink"/>
                  <w:rFonts w:ascii="Times New Roman;sans-serif" w:hAnsi="Times New Roman;sans-serif"/>
                  <w:b w:val="false"/>
                  <w:color w:val="0000FF"/>
                  <w:sz w:val="20"/>
                  <w:u w:val="single"/>
                </w:rPr>
                <w:t>Note 15. Accumulated Other Comprehensive Income (Loss) (AOCI)</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12">
              <w:r>
                <w:rPr>
                  <w:rStyle w:val="InternetLink"/>
                  <w:rFonts w:ascii="Times New Roman;sans-serif" w:hAnsi="Times New Roman;sans-serif"/>
                  <w:b w:val="false"/>
                  <w:color w:val="0000FF"/>
                  <w:sz w:val="20"/>
                  <w:u w:val="single"/>
                </w:rPr>
                <w:t>Note 16. Supplemental Financial Information</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fceb10c5e4020b8ec21097c4cffc7_1698">
              <w:r>
                <w:rPr>
                  <w:rStyle w:val="InternetLink"/>
                  <w:rFonts w:ascii="Times New Roman;sans-serif" w:hAnsi="Times New Roman;sans-serif"/>
                  <w:b w:val="false"/>
                  <w:color w:val="0000FF"/>
                  <w:sz w:val="20"/>
                  <w:u w:val="single"/>
                </w:rPr>
                <w:t>Note 17. Revised 2023 Quarterly Financial Statements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2023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Spin-off of NCR Atleos </w:t>
      </w:r>
      <w:r>
        <w:rPr>
          <w:rFonts w:ascii="Times New Roman;sans-serif" w:hAnsi="Times New Roman;sans-serif"/>
          <w:b w:val="false"/>
          <w:color w:val="000000"/>
          <w:sz w:val="20"/>
        </w:rPr>
        <w:t>On October 16, 2023, the Company completed its separation of its ATM-focused business, including its self-service banking, payments &amp; network and telecommunications and technology businesses, through the spin-off of its wholly owned subsidiary, NCR Atleos Corporation (“NCR Atleos”), (the “Spin-Off”). The Spin-Off was effected through a pro rata distribution of all outstanding shares of NCR Atleos common stock to holders of NCR Voyix common stock as of the close of business on October 2, 2023 (the “record date”). The Company distributed one share of NCR Atleos common stock for every two common shares of NCR Voyix outstanding as of the record date. Shareholders received cash in lieu of fractional shares of Atleos common stock. The Spin-Off is expected to qualify as a tax-free distribution for U.S. federal income tax purposes. NCR Atleos is an independent, publicly traded company focused on providing self-directed banking solutions to a global customer base, including financial institutions, retailers and consumers, and NCR Voyix retains no ownership interest. The accounting requirements for reporting the Spin-Off of NCR Atleos as a discontinued operation were met when the separation was completed. Accordingly, the financial results for NCR Atleos for the three months ended March 31, 2023 are presented as net income (loss) from discontinued operations, net of tax on the Consolidated Statements of Operations. Refer to Note 2,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Spin-Off, the Company and NCR Atleos entered into various agreements to effect the Spin-Off and provide a framework for the relationship between the Company and NCR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and various other transaction agreements. Under these agreements, the Company will continue to provide certain products and services to NCR Atleos following the Spin-Off and will receive certain products and services from NCR Atleos following the Spin-Off.</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 xml:space="preserve">The preparation of financial statements in accordance with GAAP requires management to make estimates and judgments that affect the reported amounts of assets and liabilities, the disclosure of contingent assets and liabilities at the date of the financial statements, and revenue and expenses during the period reported.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Evaluation of Subsequent Events</w:t>
      </w:r>
      <w:r>
        <w:rPr>
          <w:color w:val="000000"/>
        </w:rPr>
        <w:t> </w:t>
      </w:r>
      <w:r>
        <w:rPr>
          <w:rFonts w:ascii="Times New Roman;sans-serif" w:hAnsi="Times New Roman;sans-serif"/>
          <w:b w:val="false"/>
          <w:color w:val="000000"/>
          <w:sz w:val="20"/>
        </w:rPr>
        <w:t>The Company evaluated subsequent events through the date that our Condensed Consolidated Financial Statements were issued. Other than the items discussed within the Notes to Condensed Consolidated Financial Statements, no matters were identified that required adjustment to the Condensed Consolidated Financial Statements or additional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Reclassifications</w:t>
      </w:r>
      <w:r>
        <w:rPr>
          <w:color w:val="000000"/>
        </w:rPr>
        <w:t xml:space="preserve"> </w:t>
      </w:r>
      <w:r>
        <w:rPr>
          <w:rFonts w:ascii="Times New Roman;sans-serif" w:hAnsi="Times New Roman;sans-serif"/>
          <w:b w:val="false"/>
          <w:color w:val="000000"/>
          <w:sz w:val="20"/>
        </w:rPr>
        <w:t>Certain prior-period amounts have been reclassified in the accompanying Condensed Consolidated Financial Statements and Notes thereto in order to conform to the current period presentation. Reclassifications had no effect on prior year net income or stockholders’ equity.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color w:val="000000"/>
          <w:sz w:val="20"/>
        </w:rPr>
        <w:t>Cyber ransomware incident</w:t>
      </w:r>
      <w:r>
        <w:rPr>
          <w:color w:val="000000"/>
        </w:rPr>
        <w:t xml:space="preserve"> </w:t>
      </w:r>
      <w:r>
        <w:rPr>
          <w:rFonts w:ascii="Times New Roman;sans-serif" w:hAnsi="Times New Roman;sans-serif"/>
          <w:b w:val="false"/>
          <w:color w:val="000000"/>
          <w:sz w:val="20"/>
        </w:rPr>
        <w:t>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 During the year ended December 31, 2023, we recognized $36 million related to this matter in Cost of services and Selling, general and administrative expenses. As of December 31, 2023, we received $5 million of cash and expected to receive an additional $14 million of these costs to be recovered under our insurance policies, which was recorded as an insurance receivable. During the three months ended March 31, 2024, the Company incurred $6 million of additional expenses related to the cyber ransomware incident. To date, we have recovered $8 million under our insurance policies. As of March 31, 2024, we expect to receive $17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Out-of-period adjustments </w:t>
      </w:r>
      <w:r>
        <w:rPr>
          <w:rFonts w:ascii="Times New Roman;sans-serif" w:hAnsi="Times New Roman;sans-serif"/>
          <w:b w:val="false"/>
          <w:color w:val="000000"/>
          <w:sz w:val="20"/>
        </w:rPr>
        <w:t>In the first quarter of 2023, the Company recorded a $10 million out-of-period adjustment to increase operating expenses and an employee-related liability in order to correct for an understatement of such same balances during the fourth quarter of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ACH Disbursements </w:t>
      </w:r>
      <w:r>
        <w:rPr>
          <w:rFonts w:ascii="Times New Roman;sans-serif" w:hAnsi="Times New Roman;sans-serif"/>
          <w:b w:val="false"/>
          <w:color w:val="000000"/>
          <w:sz w:val="20"/>
        </w:rPr>
        <w:t xml:space="preserve">In February 2024, the Company identified fraudulent automated clearing house (“ACH”) disbursements from a Company bank account. The cumulative amount of these disbursements totaled $34 million, with $11 million of the $34 million occurring during the three months ended March 31, 2024. As of March 31, 2024, the Company has recovered approximately $12 million of fraudulent disbursements from the Company’s banks, including amounts related to fraudulent ACH disbursements in prior periods. The Company intends to cooperate with law enforcement and its banks to attempt to recover more of the fraudulent disbursements and to file insurance claims for the remainder.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consolidated financial statements for the year ended December 31, 2023, the Company identified incorrectly recorded ACH disbursements for the quarterly periods ending March 31, 2023, June 30, 2023 and September 30, 2023 in an accounts receivable clearing account instead of as operating expenses. The Company evaluated the impact of these errors and concluded that they were not material to any previously issued financial statements. As a result of these errors, the Company has made adjustments to the prior period amounts presented in these financial statements. The impact of the revisions to the quarterly period ended March 31, 2023 is presented in Note 17, “Revised 2023 Quarterly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ans-serif" w:hAnsi="Times New Roman;sans-serif"/>
          <w:b/>
          <w:color w:val="000000"/>
          <w:sz w:val="20"/>
        </w:rPr>
        <w:t xml:space="preserve">Cash, Cash Equivalents, and Restricted Cash </w:t>
      </w:r>
      <w:r>
        <w:rPr>
          <w:rFonts w:ascii="Times New Roman;sans-serif" w:hAnsi="Times New Roman;sans-serif"/>
          <w:b w:val="false"/>
          <w:color w:val="000000"/>
          <w:sz w:val="20"/>
        </w:rPr>
        <w:t>The reconciliation of cash, cash equivalents and restricted cash in the Condensed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1969"/>
        <w:gridCol w:w="1721"/>
        <w:gridCol w:w="1731"/>
        <w:gridCol w:w="109"/>
        <w:gridCol w:w="109"/>
        <w:gridCol w:w="109"/>
        <w:gridCol w:w="735"/>
        <w:gridCol w:w="715"/>
        <w:gridCol w:w="718"/>
        <w:gridCol w:w="109"/>
        <w:gridCol w:w="109"/>
        <w:gridCol w:w="109"/>
        <w:gridCol w:w="211"/>
        <w:gridCol w:w="481"/>
        <w:gridCol w:w="109"/>
        <w:gridCol w:w="109"/>
        <w:gridCol w:w="109"/>
        <w:gridCol w:w="109"/>
        <w:gridCol w:w="211"/>
        <w:gridCol w:w="466"/>
        <w:gridCol w:w="157"/>
      </w:tblGrid>
      <w:tr>
        <w:trPr/>
        <w:tc>
          <w:tcPr>
            <w:tcW w:w="196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included in settlement processing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Contract Assets and Liabilities </w:t>
      </w:r>
      <w:r>
        <w:rPr>
          <w:rFonts w:ascii="Times New Roman;sans-serif" w:hAnsi="Times New Roman;sans-serif"/>
          <w:b w:val="false"/>
          <w:color w:val="000000"/>
          <w:sz w:val="20"/>
        </w:rPr>
        <w:t>The following table presents the net contract liability balances as of March 31, 2024 and December 31, 2023.</w:t>
      </w:r>
    </w:p>
    <w:tbl>
      <w:tblPr>
        <w:tblW w:w="10205" w:type="dxa"/>
        <w:jc w:val="center"/>
        <w:tblInd w:w="0" w:type="dxa"/>
        <w:tblLayout w:type="fixed"/>
        <w:tblCellMar>
          <w:top w:w="28" w:type="dxa"/>
          <w:left w:w="28" w:type="dxa"/>
          <w:bottom w:w="28" w:type="dxa"/>
          <w:right w:w="28" w:type="dxa"/>
        </w:tblCellMar>
      </w:tblPr>
      <w:tblGrid>
        <w:gridCol w:w="1168"/>
        <w:gridCol w:w="1004"/>
        <w:gridCol w:w="1014"/>
        <w:gridCol w:w="1231"/>
        <w:gridCol w:w="1231"/>
        <w:gridCol w:w="1234"/>
        <w:gridCol w:w="109"/>
        <w:gridCol w:w="109"/>
        <w:gridCol w:w="109"/>
        <w:gridCol w:w="317"/>
        <w:gridCol w:w="723"/>
        <w:gridCol w:w="163"/>
        <w:gridCol w:w="109"/>
        <w:gridCol w:w="109"/>
        <w:gridCol w:w="109"/>
        <w:gridCol w:w="371"/>
        <w:gridCol w:w="819"/>
        <w:gridCol w:w="276"/>
      </w:tblGrid>
      <w:tr>
        <w:trPr/>
        <w:tc>
          <w:tcPr>
            <w:tcW w:w="116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the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3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contract liabilities</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val="false"/>
          <w:color w:val="000000"/>
          <w:sz w:val="20"/>
        </w:rPr>
        <w:t>During the three months ended March 31, 2024, the Company recognized $102 million in revenue that was included in contract liabilities as of December 31, 2023. During the three months ended March 31, 2023, the Company recognized</w:t>
      </w:r>
      <w:r>
        <w:rPr>
          <w:color w:val="000000"/>
          <w:shd w:fill="FFFFFF" w:val="clear"/>
        </w:rPr>
        <w:t xml:space="preserve"> </w:t>
      </w:r>
      <w:r>
        <w:rPr>
          <w:rFonts w:ascii="Times New Roman;sans-serif" w:hAnsi="Times New Roman;sans-serif"/>
          <w:b w:val="false"/>
          <w:color w:val="000000"/>
          <w:sz w:val="20"/>
        </w:rPr>
        <w:t>$84 million</w:t>
      </w:r>
      <w:r>
        <w:rPr>
          <w:color w:val="000000"/>
          <w:shd w:fill="FFFFFF" w:val="clear"/>
        </w:rPr>
        <w:t xml:space="preserve"> </w:t>
      </w:r>
      <w:r>
        <w:rPr>
          <w:rFonts w:ascii="Times New Roman;sans-serif" w:hAnsi="Times New Roman;sans-serif"/>
          <w:b w:val="false"/>
          <w:color w:val="000000"/>
          <w:sz w:val="20"/>
        </w:rPr>
        <w:t>in revenue that was included in contract liabilities as of December 31,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Remaining Performance Obligations</w:t>
      </w:r>
      <w:r>
        <w:rPr>
          <w:color w:val="000000"/>
        </w:rPr>
        <w:t xml:space="preserve"> </w:t>
      </w:r>
      <w:r>
        <w:rPr>
          <w:rFonts w:ascii="Times New Roman;sans-serif" w:hAnsi="Times New Roman;sans-serif"/>
          <w:b w:val="false"/>
          <w:color w:val="000000"/>
          <w:sz w:val="20"/>
        </w:rPr>
        <w:t>Remaining performance obligations represent the transaction price of orders for which products have not been delivered or services have not been performed. As of March 31, 2024, the aggregate amount of the transaction price allocated to remaining performance obligations was approximately $1.4 billion. The Company expects to recognize revenue on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Capitalized Software</w:t>
      </w:r>
      <w:r>
        <w:rPr>
          <w:color w:val="000000"/>
        </w:rPr>
        <w:t xml:space="preserve"> </w:t>
      </w:r>
      <w:r>
        <w:rPr>
          <w:rFonts w:ascii="Times New Roman;sans-serif" w:hAnsi="Times New Roman;sans-serif"/>
          <w:b w:val="false"/>
          <w:color w:val="000000"/>
          <w:sz w:val="20"/>
        </w:rPr>
        <w:t>Capitalized development costs for internal-use software and software that will be sold, leased or otherwise marketed were $487 million and $486 million as of March 31, 2024 and December 31, 2023, respectively, presented within Other assets on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Issued But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The amendment enhances disclosures of significant segment expenses by requiring disclosure of significant segment expenses regularly provided to the chief operating decision maker (“CODM”), extend certain annual disclosures to interim periods, and permit more than one measure of segment profit or loss to be reported under certain conditions. The amendment is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guidance and its impact to the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Spin-Off of NCR Atleos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The 2023 presentation of discontinued operations has been updated to reflect the results of operations for the countries that transferred to NCR Atleos in the first quarter of 2024 and excludes the countries that have not yet transferred to NCR Atleos as of March 31, 2024. The results of operations for the countries that have not yet transferred will be presented as part of discontinued operations as of the date of their separation. As of December 31, 2023, there were seven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countries that had not yet transferred to NCR Atleos. During the three months ended March 31, 2024, three of these delayed countries transferred to NCR Atleos, and one additional country transferred during April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major categories of income (loss) from discontinued operations related to the Spin-Off of NCR Atleos:</w:t>
      </w:r>
    </w:p>
    <w:tbl>
      <w:tblPr>
        <w:tblW w:w="8141" w:type="dxa"/>
        <w:jc w:val="left"/>
        <w:tblInd w:w="0" w:type="dxa"/>
        <w:tblLayout w:type="fixed"/>
        <w:tblCellMar>
          <w:top w:w="28" w:type="dxa"/>
          <w:left w:w="28" w:type="dxa"/>
          <w:bottom w:w="28" w:type="dxa"/>
          <w:right w:w="28" w:type="dxa"/>
        </w:tblCellMar>
      </w:tblPr>
      <w:tblGrid>
        <w:gridCol w:w="2098"/>
        <w:gridCol w:w="1842"/>
        <w:gridCol w:w="1850"/>
        <w:gridCol w:w="263"/>
        <w:gridCol w:w="507"/>
        <w:gridCol w:w="136"/>
        <w:gridCol w:w="136"/>
        <w:gridCol w:w="136"/>
        <w:gridCol w:w="136"/>
        <w:gridCol w:w="263"/>
        <w:gridCol w:w="582"/>
        <w:gridCol w:w="192"/>
      </w:tblGrid>
      <w:tr>
        <w:trPr/>
        <w:tc>
          <w:tcPr>
            <w:tcW w:w="209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90"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before income taxes</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 related to NCR Atleos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operations of the three delayed countries that transferred to NCR Atleos during the first quarter of 2024 through date of separation versus full quarter of NCR Atleos operations for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major classes of assets and liabilities of discontinued operations:</w:t>
      </w:r>
    </w:p>
    <w:tbl>
      <w:tblPr>
        <w:tblW w:w="5235" w:type="dxa"/>
        <w:jc w:val="left"/>
        <w:tblInd w:w="0" w:type="dxa"/>
        <w:tblLayout w:type="fixed"/>
        <w:tblCellMar>
          <w:top w:w="28" w:type="dxa"/>
          <w:left w:w="28" w:type="dxa"/>
          <w:bottom w:w="28" w:type="dxa"/>
          <w:right w:w="28" w:type="dxa"/>
        </w:tblCellMar>
      </w:tblPr>
      <w:tblGrid>
        <w:gridCol w:w="1336"/>
        <w:gridCol w:w="1174"/>
        <w:gridCol w:w="1180"/>
        <w:gridCol w:w="523"/>
        <w:gridCol w:w="637"/>
        <w:gridCol w:w="385"/>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of discontinued operations</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indemnity plan liabilities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of discontinued operations</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financial information related to cash flows from discontinued operations: </w:t>
      </w:r>
    </w:p>
    <w:tbl>
      <w:tblPr>
        <w:tblW w:w="6565" w:type="dxa"/>
        <w:jc w:val="left"/>
        <w:tblInd w:w="0" w:type="dxa"/>
        <w:tblLayout w:type="fixed"/>
        <w:tblCellMar>
          <w:top w:w="28" w:type="dxa"/>
          <w:left w:w="28" w:type="dxa"/>
          <w:bottom w:w="28" w:type="dxa"/>
          <w:right w:w="28" w:type="dxa"/>
        </w:tblCellMar>
      </w:tblPr>
      <w:tblGrid>
        <w:gridCol w:w="1524"/>
        <w:gridCol w:w="1340"/>
        <w:gridCol w:w="1350"/>
        <w:gridCol w:w="263"/>
        <w:gridCol w:w="507"/>
        <w:gridCol w:w="136"/>
        <w:gridCol w:w="136"/>
        <w:gridCol w:w="136"/>
        <w:gridCol w:w="136"/>
        <w:gridCol w:w="263"/>
        <w:gridCol w:w="582"/>
        <w:gridCol w:w="192"/>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operations of the three delayed countries that transferred to NCR Atleos during the first quarter of 2024 through date of separation versus full quarter of NCR Atleos operations for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and insurance recoveries relating to certain environmental obligations associated with discontinued operations, including those relating to the Fox River, Kalamazoo River and Ebina matters, are presented in Income (loss) from discontinued operations, net of tax, in the Consolidated Statements of Operations. Income (loss) from discontinued operations, net of tax, related to environmental matters was zero income or loss for each of the three months ended March 31, 2024 and 2023. Net cash used in operating activities of discontinued operations related to environmental obligations was zero and $6 million for the three months ended March 31, 2024 and 2023, respectively. Refer to Note 10, “Commitments and Contingencies”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GOODWILL AND PURCHASED INTANGIBLE ASSETS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Goodwill by Segment </w:t>
      </w:r>
      <w:r>
        <w:rPr>
          <w:rFonts w:ascii="Times New Roman;sans-serif" w:hAnsi="Times New Roman;sans-serif"/>
          <w:b w:val="false"/>
          <w:color w:val="000000"/>
          <w:sz w:val="20"/>
        </w:rPr>
        <w:t>The carrying amounts of goodwill by segment as of March 31, 2024 and December 31, 2023 are included in the table below. Foreign currency fluctuations are included within other adjustments</w:t>
      </w:r>
      <w:r>
        <w:rPr>
          <w:rFonts w:ascii="Times New Roman;sans-serif" w:hAnsi="Times New Roman;sans-serif"/>
          <w:b w:val="false"/>
          <w:color w:val="000000"/>
          <w:sz w:val="16"/>
        </w:rPr>
        <w:t>.</w:t>
      </w:r>
    </w:p>
    <w:tbl>
      <w:tblPr>
        <w:tblW w:w="10861" w:type="dxa"/>
        <w:jc w:val="center"/>
        <w:tblInd w:w="0" w:type="dxa"/>
        <w:tblLayout w:type="fixed"/>
        <w:tblCellMar>
          <w:top w:w="28" w:type="dxa"/>
          <w:left w:w="28" w:type="dxa"/>
          <w:bottom w:w="28" w:type="dxa"/>
          <w:right w:w="28" w:type="dxa"/>
        </w:tblCellMar>
      </w:tblPr>
      <w:tblGrid>
        <w:gridCol w:w="386"/>
        <w:gridCol w:w="339"/>
        <w:gridCol w:w="341"/>
        <w:gridCol w:w="211"/>
        <w:gridCol w:w="616"/>
        <w:gridCol w:w="109"/>
        <w:gridCol w:w="318"/>
        <w:gridCol w:w="567"/>
        <w:gridCol w:w="166"/>
        <w:gridCol w:w="211"/>
        <w:gridCol w:w="616"/>
        <w:gridCol w:w="109"/>
        <w:gridCol w:w="109"/>
        <w:gridCol w:w="109"/>
        <w:gridCol w:w="109"/>
        <w:gridCol w:w="109"/>
        <w:gridCol w:w="109"/>
        <w:gridCol w:w="231"/>
        <w:gridCol w:w="445"/>
        <w:gridCol w:w="120"/>
        <w:gridCol w:w="109"/>
        <w:gridCol w:w="109"/>
        <w:gridCol w:w="109"/>
        <w:gridCol w:w="279"/>
        <w:gridCol w:w="537"/>
        <w:gridCol w:w="145"/>
        <w:gridCol w:w="109"/>
        <w:gridCol w:w="109"/>
        <w:gridCol w:w="109"/>
        <w:gridCol w:w="211"/>
        <w:gridCol w:w="271"/>
        <w:gridCol w:w="109"/>
        <w:gridCol w:w="109"/>
        <w:gridCol w:w="109"/>
        <w:gridCol w:w="109"/>
        <w:gridCol w:w="211"/>
        <w:gridCol w:w="631"/>
        <w:gridCol w:w="109"/>
        <w:gridCol w:w="318"/>
        <w:gridCol w:w="567"/>
        <w:gridCol w:w="166"/>
        <w:gridCol w:w="211"/>
        <w:gridCol w:w="631"/>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Impairment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Impairment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Identifiable Intangible Assets </w:t>
      </w:r>
      <w:r>
        <w:rPr>
          <w:rFonts w:ascii="Times New Roman;sans-serif" w:hAnsi="Times New Roman;sans-serif"/>
          <w:b w:val="false"/>
          <w:color w:val="000000"/>
          <w:sz w:val="20"/>
        </w:rPr>
        <w:t xml:space="preserve">The Company’s purchased intangible assets, reported in Intangibles, net in the Condensed Consolidated Balance Sheets, were specifically identified when acquired, and are deemed to have finite lives. The gross carrying amount and accumulated amortization for the Company’s identifiable intangible assets were as set forth in the table below. </w:t>
      </w:r>
    </w:p>
    <w:tbl>
      <w:tblPr>
        <w:tblW w:w="10205" w:type="dxa"/>
        <w:jc w:val="center"/>
        <w:tblInd w:w="0" w:type="dxa"/>
        <w:tblLayout w:type="fixed"/>
        <w:tblCellMar>
          <w:top w:w="28" w:type="dxa"/>
          <w:left w:w="28" w:type="dxa"/>
          <w:bottom w:w="28" w:type="dxa"/>
          <w:right w:w="28" w:type="dxa"/>
        </w:tblCellMar>
      </w:tblPr>
      <w:tblGrid>
        <w:gridCol w:w="748"/>
        <w:gridCol w:w="619"/>
        <w:gridCol w:w="624"/>
        <w:gridCol w:w="366"/>
        <w:gridCol w:w="366"/>
        <w:gridCol w:w="367"/>
        <w:gridCol w:w="109"/>
        <w:gridCol w:w="109"/>
        <w:gridCol w:w="109"/>
        <w:gridCol w:w="302"/>
        <w:gridCol w:w="904"/>
        <w:gridCol w:w="156"/>
        <w:gridCol w:w="109"/>
        <w:gridCol w:w="109"/>
        <w:gridCol w:w="109"/>
        <w:gridCol w:w="336"/>
        <w:gridCol w:w="1009"/>
        <w:gridCol w:w="175"/>
        <w:gridCol w:w="109"/>
        <w:gridCol w:w="109"/>
        <w:gridCol w:w="109"/>
        <w:gridCol w:w="305"/>
        <w:gridCol w:w="891"/>
        <w:gridCol w:w="157"/>
        <w:gridCol w:w="109"/>
        <w:gridCol w:w="109"/>
        <w:gridCol w:w="109"/>
        <w:gridCol w:w="331"/>
        <w:gridCol w:w="991"/>
        <w:gridCol w:w="250"/>
      </w:tblGrid>
      <w:tr>
        <w:trPr/>
        <w:tc>
          <w:tcPr>
            <w:tcW w:w="74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Amortization </w:t>
              <w:br/>
              <w:t>Period</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Identifiable intangible assets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Reseller &amp; customer relationships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identifiable intangible assets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1,327</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(1,050)</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identifiable intangible assets for the following periods is:</w:t>
      </w:r>
    </w:p>
    <w:tbl>
      <w:tblPr>
        <w:tblW w:w="5344"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86"/>
        <w:gridCol w:w="509"/>
        <w:gridCol w:w="147"/>
        <w:gridCol w:w="147"/>
        <w:gridCol w:w="147"/>
        <w:gridCol w:w="147"/>
        <w:gridCol w:w="286"/>
        <w:gridCol w:w="489"/>
        <w:gridCol w:w="147"/>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aggregate amortization expense for identifiable intangible assets for the following periods is: </w:t>
      </w:r>
    </w:p>
    <w:tbl>
      <w:tblPr>
        <w:tblW w:w="8488" w:type="dxa"/>
        <w:jc w:val="center"/>
        <w:tblInd w:w="0" w:type="dxa"/>
        <w:tblLayout w:type="fixed"/>
        <w:tblCellMar>
          <w:top w:w="28" w:type="dxa"/>
          <w:left w:w="28" w:type="dxa"/>
          <w:bottom w:w="28" w:type="dxa"/>
          <w:right w:w="28" w:type="dxa"/>
        </w:tblCellMar>
      </w:tblPr>
      <w:tblGrid>
        <w:gridCol w:w="690"/>
        <w:gridCol w:w="604"/>
        <w:gridCol w:w="610"/>
        <w:gridCol w:w="464"/>
        <w:gridCol w:w="794"/>
        <w:gridCol w:w="241"/>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SEGMENT INFORMATION AND CONCENTRATIONS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Spin-Off, as described in Note 1, “Basis of Presentation and Summary of Significant Accounting Policies”, the Company manages and reports the following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Retail</w:t>
      </w:r>
      <w:r>
        <w:rPr>
          <w:color w:val="000000"/>
        </w:rPr>
        <w:t xml:space="preserve"> </w:t>
      </w:r>
      <w:r>
        <w:rPr>
          <w:rFonts w:ascii="Times New Roman;sans-serif" w:hAnsi="Times New Roman;sans-serif"/>
          <w:b w:val="false"/>
          <w:color w:val="000000"/>
          <w:sz w:val="20"/>
        </w:rPr>
        <w:t>- Our Retail segment is focused on serving retailers of all sizes, from local businesses to some of the most recognized brands in the world. Our 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Restaurants</w:t>
      </w:r>
      <w:r>
        <w:rPr>
          <w:color w:val="000000"/>
        </w:rPr>
        <w:t xml:space="preserve"> </w:t>
      </w:r>
      <w:r>
        <w:rPr>
          <w:rFonts w:ascii="Times New Roman;sans-serif" w:hAnsi="Times New Roman;sans-serif"/>
          <w:b w:val="false"/>
          <w:color w:val="000000"/>
          <w:sz w:val="20"/>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E101A"/>
        </w:rPr>
        <w:t>•</w:t>
      </w:r>
      <w:r>
        <w:rPr>
          <w:rFonts w:ascii="Times New Roman;sans-serif" w:hAnsi="Times New Roman;sans-serif"/>
          <w:b w:val="false"/>
          <w:i/>
          <w:color w:val="000000"/>
          <w:sz w:val="20"/>
        </w:rPr>
        <w:t>Digital Banking</w:t>
      </w:r>
      <w:r>
        <w:rPr>
          <w:color w:val="000000"/>
        </w:rPr>
        <w:t xml:space="preserve"> </w:t>
      </w:r>
      <w:r>
        <w:rPr>
          <w:rFonts w:ascii="Times New Roman;sans-serif" w:hAnsi="Times New Roman;sans-serif"/>
          <w:b w:val="false"/>
          <w:color w:val="000000"/>
          <w:sz w:val="20"/>
        </w:rPr>
        <w:t>- Our Digital Banking segment serves financial institutions by delivering software solutions which enable a fully integrated digital experience for consumer and business customers across all channels. We serve banks and credit unions in the United States with our cloud-based software solutions including account opening, account management, transaction processing, imaging, and branch services, among others. We are unique in our ability to offer unified banking solutions across digital (application and browser), in-branch and via interactive teller machines (“ITMs”).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and certain countries which are expected to transfer to NCR Atleos during 2024, as well as commercial agreements with NCR Atleos.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segments represent components of the Company for which separate financial information is available that is utilized on a regular basis by the chief operating decision maker in assessing segment performance and in allocating the Company’s resources. Management evaluates the performance of the segments based on revenue and Adjusted EBITDA. Adjusted EBITDA is defined as GAAP net income (loss) from continuing operations attributable to NCR Voyix plus interest expense, net; plus income tax expense (benefit); plus depreciation and amortization; plus stock-based compensation expense; plus other income (expense); plus pension mark-to-market adjustments and other special items, including amortization of acquisition-related intangibles, separation-related costs, cyber ransomware incident recovery costs net of insurance recoveries, fraudulent ACH disbursements costs, net of recoveries,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and Adjusted EBITDA by segment:</w:t>
      </w:r>
    </w:p>
    <w:tbl>
      <w:tblPr>
        <w:tblW w:w="5470" w:type="dxa"/>
        <w:jc w:val="center"/>
        <w:tblInd w:w="0" w:type="dxa"/>
        <w:tblLayout w:type="fixed"/>
        <w:tblCellMar>
          <w:top w:w="28" w:type="dxa"/>
          <w:left w:w="28" w:type="dxa"/>
          <w:bottom w:w="28" w:type="dxa"/>
          <w:right w:w="28" w:type="dxa"/>
        </w:tblCellMar>
      </w:tblPr>
      <w:tblGrid>
        <w:gridCol w:w="972"/>
        <w:gridCol w:w="854"/>
        <w:gridCol w:w="858"/>
        <w:gridCol w:w="254"/>
        <w:gridCol w:w="580"/>
        <w:gridCol w:w="131"/>
        <w:gridCol w:w="131"/>
        <w:gridCol w:w="131"/>
        <w:gridCol w:w="131"/>
        <w:gridCol w:w="254"/>
        <w:gridCol w:w="562"/>
        <w:gridCol w:w="131"/>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by segment</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EBITDA by segment </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(loss) from continuing operations attributable to NCR Voyix:</w:t>
      </w:r>
    </w:p>
    <w:tbl>
      <w:tblPr>
        <w:tblW w:w="9280" w:type="dxa"/>
        <w:jc w:val="center"/>
        <w:tblInd w:w="0" w:type="dxa"/>
        <w:tblLayout w:type="fixed"/>
        <w:tblCellMar>
          <w:top w:w="28" w:type="dxa"/>
          <w:left w:w="28" w:type="dxa"/>
          <w:bottom w:w="28" w:type="dxa"/>
          <w:right w:w="28" w:type="dxa"/>
        </w:tblCellMar>
      </w:tblPr>
      <w:tblGrid>
        <w:gridCol w:w="2351"/>
        <w:gridCol w:w="2061"/>
        <w:gridCol w:w="2082"/>
        <w:gridCol w:w="254"/>
        <w:gridCol w:w="580"/>
        <w:gridCol w:w="131"/>
        <w:gridCol w:w="131"/>
        <w:gridCol w:w="131"/>
        <w:gridCol w:w="131"/>
        <w:gridCol w:w="254"/>
        <w:gridCol w:w="562"/>
        <w:gridCol w:w="131"/>
        <w:gridCol w:w="109"/>
        <w:gridCol w:w="109"/>
        <w:gridCol w:w="109"/>
        <w:gridCol w:w="154"/>
      </w:tblGrid>
      <w:tr>
        <w:trPr/>
        <w:tc>
          <w:tcPr>
            <w:tcW w:w="235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94" w:type="dxa"/>
            <w:gridSpan w:val="3"/>
            <w:vMerge w:val="continue"/>
            <w:tcBorders/>
            <w:tcMar>
              <w:top w:w="0" w:type="dxa"/>
              <w:left w:w="0" w:type="dxa"/>
              <w:bottom w:w="0" w:type="dxa"/>
              <w:right w:w="0" w:type="dxa"/>
            </w:tcMar>
            <w:vAlign w:val="center"/>
          </w:tcPr>
          <w:p>
            <w:pPr>
              <w:pStyle w:val="Normal"/>
              <w:bidi w:val="0"/>
              <w:jc w:val="left"/>
              <w:rPr/>
            </w:pPr>
            <w:r>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income and expenses not allocated to reportable segments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amortization of intangibles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Transformation and restructuring costs</w:t>
            </w:r>
            <w:r>
              <w:rPr>
                <w:rFonts w:ascii="Times New Roman;sans-serif" w:hAnsi="Times New Roman;sans-serif"/>
                <w:b w:val="false"/>
                <w:color w:val="000000"/>
                <w:sz w:val="13"/>
              </w:rPr>
              <w:t>(1)</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Separation costs</w:t>
            </w:r>
            <w:r>
              <w:rPr>
                <w:rFonts w:ascii="Times New Roman;sans-serif" w:hAnsi="Times New Roman;sans-serif"/>
                <w:b w:val="false"/>
                <w:color w:val="000000"/>
                <w:sz w:val="13"/>
              </w:rPr>
              <w:t>(2)</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businesses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devaluation</w:t>
            </w:r>
            <w:r>
              <w:rPr>
                <w:rFonts w:ascii="Times New Roman;sans-serif" w:hAnsi="Times New Roman;sans-serif"/>
                <w:b w:val="false"/>
                <w:color w:val="000000"/>
                <w:sz w:val="13"/>
              </w:rPr>
              <w:t>(3)</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Fraudulent ACH disbursements</w:t>
            </w:r>
            <w:r>
              <w:rPr>
                <w:rFonts w:ascii="Times New Roman;sans-serif" w:hAnsi="Times New Roman;sans-serif"/>
                <w:b w:val="false"/>
                <w:color w:val="000000"/>
                <w:sz w:val="13"/>
              </w:rPr>
              <w:t>(4)</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Cyber ransomware incident recovery costs</w:t>
            </w:r>
            <w:r>
              <w:rPr>
                <w:rFonts w:ascii="Times New Roman;sans-serif" w:hAnsi="Times New Roman;sans-serif"/>
                <w:b w:val="false"/>
                <w:color w:val="000000"/>
                <w:sz w:val="13"/>
              </w:rPr>
              <w:t>(5)</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continuing operations attributable to NCR Voyix</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integration, severance, and other exit and disposal costs, as well as professional fees related to strategic initiatives, which are considered non-operational in nature.</w:t>
      </w:r>
    </w:p>
    <w:p>
      <w:pPr>
        <w:pStyle w:val="TextBody"/>
        <w:bidi w:val="0"/>
        <w:spacing w:lineRule="auto" w:line="288" w:before="0" w:after="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costs incurred as a result of the Spin-Off. Professional fees to effect the spin-off of NCR Atleos including separation management, organizational design, and legal fees have been classified within discontinued operations during the three months ended March 31, 2023.</w:t>
      </w:r>
    </w:p>
    <w:p>
      <w:pPr>
        <w:pStyle w:val="TextBody"/>
        <w:bidi w:val="0"/>
        <w:spacing w:lineRule="auto" w:line="288" w:before="0" w:after="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gains and losses recognized during the quarter due to changes in valuation of the Lebanese pound and the Egyptian pound.</w:t>
      </w:r>
    </w:p>
    <w:p>
      <w:pPr>
        <w:pStyle w:val="TextBody"/>
        <w:bidi w:val="0"/>
        <w:spacing w:lineRule="auto" w:line="288" w:before="0" w:after="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Company identified fraudulent ACH disbursements from a Company bank account. Additional details regarding this item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pStyle w:val="TextBody"/>
        <w:bidi w:val="0"/>
        <w:spacing w:before="0" w:after="0"/>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attributed to the geographic area to which the product is delivered or in which the service is provided. The following table presents revenue by geographic area for the Company:</w:t>
      </w:r>
    </w:p>
    <w:tbl>
      <w:tblPr>
        <w:tblW w:w="5770" w:type="dxa"/>
        <w:jc w:val="center"/>
        <w:tblInd w:w="0" w:type="dxa"/>
        <w:tblLayout w:type="fixed"/>
        <w:tblCellMar>
          <w:top w:w="28" w:type="dxa"/>
          <w:left w:w="28" w:type="dxa"/>
          <w:bottom w:w="28" w:type="dxa"/>
          <w:right w:w="28" w:type="dxa"/>
        </w:tblCellMar>
      </w:tblPr>
      <w:tblGrid>
        <w:gridCol w:w="1080"/>
        <w:gridCol w:w="951"/>
        <w:gridCol w:w="953"/>
        <w:gridCol w:w="254"/>
        <w:gridCol w:w="580"/>
        <w:gridCol w:w="131"/>
        <w:gridCol w:w="131"/>
        <w:gridCol w:w="131"/>
        <w:gridCol w:w="131"/>
        <w:gridCol w:w="254"/>
        <w:gridCol w:w="562"/>
        <w:gridCol w:w="131"/>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4" w:type="dxa"/>
            <w:gridSpan w:val="3"/>
            <w:vMerge w:val="continue"/>
            <w:tcBorders/>
            <w:tcMar>
              <w:top w:w="0" w:type="dxa"/>
              <w:left w:w="0" w:type="dxa"/>
              <w:bottom w:w="0" w:type="dxa"/>
              <w:right w:w="0" w:type="dxa"/>
            </w:tcMar>
            <w:vAlign w:val="center"/>
          </w:tcPr>
          <w:p>
            <w:pPr>
              <w:pStyle w:val="Normal"/>
              <w:bidi w:val="0"/>
              <w:jc w:val="left"/>
              <w:rPr/>
            </w:pPr>
            <w:r>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(excluding United States)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recurring revenue and all other products and services revenue that is recognized at a point in time for the Company:</w:t>
      </w:r>
    </w:p>
    <w:tbl>
      <w:tblPr>
        <w:tblW w:w="5410" w:type="dxa"/>
        <w:jc w:val="center"/>
        <w:tblInd w:w="0" w:type="dxa"/>
        <w:tblLayout w:type="fixed"/>
        <w:tblCellMar>
          <w:top w:w="28" w:type="dxa"/>
          <w:left w:w="28" w:type="dxa"/>
          <w:bottom w:w="28" w:type="dxa"/>
          <w:right w:w="28" w:type="dxa"/>
        </w:tblCellMar>
      </w:tblPr>
      <w:tblGrid>
        <w:gridCol w:w="950"/>
        <w:gridCol w:w="834"/>
        <w:gridCol w:w="840"/>
        <w:gridCol w:w="254"/>
        <w:gridCol w:w="580"/>
        <w:gridCol w:w="131"/>
        <w:gridCol w:w="131"/>
        <w:gridCol w:w="131"/>
        <w:gridCol w:w="131"/>
        <w:gridCol w:w="254"/>
        <w:gridCol w:w="562"/>
        <w:gridCol w:w="131"/>
        <w:gridCol w:w="109"/>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Recurring revenue</w:t>
            </w:r>
            <w:r>
              <w:rPr>
                <w:rFonts w:ascii="Times New Roman;sans-serif" w:hAnsi="Times New Roman;sans-serif"/>
                <w:b w:val="false"/>
                <w:color w:val="000000"/>
                <w:sz w:val="13"/>
              </w:rPr>
              <w:t>(1)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products and services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DEBT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short-term borrowings and long-term debt:</w:t>
      </w:r>
    </w:p>
    <w:tbl>
      <w:tblPr>
        <w:tblW w:w="10205" w:type="dxa"/>
        <w:jc w:val="center"/>
        <w:tblInd w:w="0" w:type="dxa"/>
        <w:tblLayout w:type="fixed"/>
        <w:tblCellMar>
          <w:top w:w="28" w:type="dxa"/>
          <w:left w:w="28" w:type="dxa"/>
          <w:bottom w:w="28" w:type="dxa"/>
          <w:right w:w="28" w:type="dxa"/>
        </w:tblCellMar>
      </w:tblPr>
      <w:tblGrid>
        <w:gridCol w:w="554"/>
        <w:gridCol w:w="440"/>
        <w:gridCol w:w="440"/>
        <w:gridCol w:w="787"/>
        <w:gridCol w:w="541"/>
        <w:gridCol w:w="540"/>
        <w:gridCol w:w="211"/>
        <w:gridCol w:w="631"/>
        <w:gridCol w:w="109"/>
        <w:gridCol w:w="109"/>
        <w:gridCol w:w="109"/>
        <w:gridCol w:w="109"/>
        <w:gridCol w:w="663"/>
        <w:gridCol w:w="663"/>
        <w:gridCol w:w="665"/>
        <w:gridCol w:w="109"/>
        <w:gridCol w:w="109"/>
        <w:gridCol w:w="109"/>
        <w:gridCol w:w="211"/>
        <w:gridCol w:w="616"/>
        <w:gridCol w:w="109"/>
        <w:gridCol w:w="109"/>
        <w:gridCol w:w="109"/>
        <w:gridCol w:w="109"/>
        <w:gridCol w:w="596"/>
        <w:gridCol w:w="596"/>
        <w:gridCol w:w="852"/>
      </w:tblGrid>
      <w:tr>
        <w:trPr/>
        <w:tc>
          <w:tcPr>
            <w:tcW w:w="5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Interest Rate</w:t>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Short-Term Borrowings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portion of Senior Secured Credit Facility</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w:t>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Long-Term Debt</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 facility</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w:t>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credit facility</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5.125% Senior Notes due 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Interest rates are weighted-average interest rates as of March 31, 2024 and December 31, 2023. </w:t>
      </w:r>
    </w:p>
    <w:p>
      <w:pPr>
        <w:pStyle w:val="TextBody"/>
        <w:bidi w:val="0"/>
        <w:spacing w:before="100" w:after="283"/>
        <w:ind w:left="0" w:right="0" w:hanging="27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Senior Secured Credit Facility </w:t>
      </w:r>
      <w:r>
        <w:rPr>
          <w:rFonts w:ascii="Times New Roman;sans-serif" w:hAnsi="Times New Roman;sans-serif"/>
          <w:b w:val="false"/>
          <w:color w:val="000000"/>
          <w:sz w:val="20"/>
        </w:rPr>
        <w:t xml:space="preserve">The Company is party to a senior secured credit agreement with certain subsidiaries of the Company party thereto as foreign borrowers, the lenders party thereto and Bank of America, N.A., as administrative agent (in such capacity, the “Administrative Agent”). This credit agreement provides for new senior secured credit facilities in an aggregate principal amount of $700 million, which are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five-year term loan “A” facility in the aggregate principal amount of $200 million (the “Term Loan A Facility,” and the loans thereunder, the “Term A Loans” and, the Term Loan A Facility, together with the Revolving Credit Facility, the “Senior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A Loans and the Revolving Loans (collectively, the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Loans and ranging from 1.25% to 2.25% per annum for Base Rate-based Loans, in each case, depending on the Company’s consolidated leverage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balance of the Term Loan A Facility is required to be repaid in quarterly installments beginning March 31, 2024 in an amount equal to (i) 1.875% of the original principal amount of the Term A Loans during the first three years and (ii) 2.50% of the original principal amount of the Term A Loans during final two years. Any remaining outstanding balance will be due at maturity on October 16, 2028. The Revolving Credit Facility is not subject to amortization and will mature on October 16, 2028.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Senior Secured Credit Facilities are guaranteed by certain of the Company’s material subsidiaries (the “Guarantors”). The obligations under the Senior Secured Credit Facilities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contain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also contain a financial covenant that does not permit the Company to allow its consolidated leverage ratio to exceed(i) 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also include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Senior Unsecured Notes </w:t>
      </w:r>
      <w:r>
        <w:rPr>
          <w:rFonts w:ascii="Times New Roman;sans-serif" w:hAnsi="Times New Roman;sans-serif"/>
          <w:b w:val="false"/>
          <w:color w:val="000000"/>
          <w:sz w:val="20"/>
        </w:rPr>
        <w:t>On August 20, 2020, the Company issued $650 million aggregate principal amount of 5.000% senior unsecured notes due in 2028 (the “5.000% Notes”) and $450 million aggregate principal amount of 5.250% senior unsecured notes due in 2030 (the “5.250% Notes”). Interest is payable on the 5.000% and 5.250% Notes semi-annually in arrears at interest rates of 5.000% and 5.250%, respectively, on April 1 and October 1. The 5.000% and 5.250% Notes were sold at 100% of the principal amount and mature on October 1, 2028 and October 1, 2030,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and from time to time, prior to October 1, 2023, the Company may redeem up to a maximum of 40% of the original aggregate principal amount of either the 5.000% Notes or 5.250% Notes with the proceeds of one or more equity offerings, at a redemption price equal to 105.000%, with respect to the 5.000% Notes, and 105.250%, with respect to the 5.250% Notes, of the principal amount thereof, plus accrued and unpaid interest thereon, if any, to, but not including, the redemption date (subject to the right of holders of record on the relevant record date to receive interest due on the relevant interest payment date); provided that: (i) at least 55% of the original aggregate principal amount of the 5.000% Notes or 5.250% Notes remains outstanding; and (ii) such redemption occurs within 180 days of the completion of such equity offering.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October 1, 2025 with respect to the 5.250% Notes, the Company may redeem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the 5.000% Notes, in whole or in part, at any time on or after October 1, 2023, at a redemption price of 102.500%, 101.250%, and 100% during the 12-month periods commencing on October 1, 2023, 2024 and 2025 and thereafter, respectively, plus accrued and unpaid interest to the redemption date. 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2021, the Company issued $1.2 billion aggregate principal amount of 5.125% senior notes due 2029 (the “5.125%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Interest is payable on the 5.125% Notes semi-annually in arrears at annual rates of 5.125% on April 15 and October 15 of each year. The 5.125% Notes will mature on April 15, 2029.</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April 15 of the relevant year listed below, the Company may redeem some or all of the 5.125% Notes at the prices listed below, plus accrued and unpaid interest, if any, to, but not including, the redemption date (subject to the right of holders of record on the relevant record date to receive interest due on the relevant interest payment date): 2024 at a redemption price of 102.563%, 2025 at a redemption price of 101.281% and 2026 and thereafter at a redemption price of 100%.</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 ability to create liens, pay dividends or make loan repayments. If the senior unsecured notes are assigned an “investment grade” rating by Moody’s or S&amp;P and no default has occurred or is continuing, certain covenants will be terminated.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Fair Value of Debt</w:t>
      </w:r>
      <w:r>
        <w:rPr>
          <w:color w:val="000000"/>
        </w:rPr>
        <w:t xml:space="preserve"> </w:t>
      </w:r>
      <w:r>
        <w:rPr>
          <w:rFonts w:ascii="Times New Roman;sans-serif" w:hAnsi="Times New Roman;sans-serif"/>
          <w:b w:val="false"/>
          <w:color w:val="000000"/>
          <w:sz w:val="20"/>
        </w:rPr>
        <w:t>The Company utilized Level 2 inputs, as defined in the fair value hierarchy, to measure the fair value of the long-term debt, which, as of March 31, 2024 and December 31, 2023 was $2.50 billion and $2.47 billion, respectively. Management’s fair value estimates were based on quoted prices for recent trades of the Company’s long-term debt, quoted prices for similar instruments, and inquiries with certain investment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TRADE RECEIVABLES FACILITY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maintains a trade receivables facility (the “T/R Facility”) pursuant to which the Company’s wholly-owned, bankruptcy-remote subsidiary NCR Receivables LLC (the “U.S. SPE”) may sell certain trade receivables acquired by it from the Company and other affiliates of the Company to PNC Bank, National Association, MUFG Bank, Ltd. and any other unaffiliated purchasers from time to time party to the T/R Facility (the “Purchasers”). The T/R Facility was most recently amended on October 16, 2023 in connection with the Spin-Off in order to, among other things, (i) extend the scheduled maturity by two years, (ii) provide for the repurchase by each of Cardtronics USA, Inc., ATM National, LLC and Cardtronics Canada Holdings Inc. (the “Released Originators”) of its outstanding receivables then subject to the T/R Facility, (iii) assign to the Company and NCR Canada Corp., as applicable, all obligations of the Released Originators under the T/R Facility and release each such Released Originator from all of its obligations thereunder, and (iv) adjust the factors used to determine the availability of capital for investment in the pool of receivables by Purchasers.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T/R Facility, the Company and one of its Canadian operating subsidiaries continuously sell their trade receivables as they are originated to the U.S. SPE or a Canadian bankruptcy-remote special purpose entity (collectively with the U.S. SPE, the “SPEs”), as applicable. None of the assets or credit of the SPEs is available to satisfy the debts and obligations owed to the creditors of the Company or any other person until the obligations of the SPEs under the T/R Facility have been satisfied.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 the obligations of the SPEs under T/R Facility are solely the obligations of the SPEs and not of any other person, and such obligations are generally payable out of collections on the trade receivables owned by such SPEs. The Company controls and therefore consolidates the SPEs in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cash is collected on the trade receivables, the U.S. SPE has the ability to continuously transfer ownership and control of new qualifying trade receivables the Purchasers such that the total outstanding balance of trade receivables sold can be up to $300 million at any point in time, which is the maximum purchase commitment of the Purchasers. The future outstanding balance of trade receivables that are sold is expected to vary based on the level of activity and other factors and could be less than the maximum purchase commitment of $300 million. The total outstanding balance of trade receivables that were sold to the Purchasers and derecognized by the U.S. SPE was approximately $300 million and $288 million as of March 31, 2024 and December 31, 2023, respectively. Excluding the trade receivables sold to the Purchasers, the SPEs collectively owned $208 million and $107 million of trade receivables as of March 31, 2024 and December 31, 2023, respectively, and these amounts are included in Accounts receivable, net in the Company’s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Continuous cash activity related to the T/R Facility is reflected in Net cash provided by operating activities in the Consolidated Statements of Cash Flows. The U.S. SPE incurs fees under the T/R Facility, including fees due and payable to the Purchasers. Those fees, which are immaterial, are recorded within Other income (expense), net in the Condensed Consolidated Statements of Operations. In addition, each of the SPEs has provided a full recourse guarantee in favor of the Purchasers of the full and timely payment of all trade receivables sold to them by the U.S. SPE. The guarantee is secured by all the trade receivables owned by each of the SPEs that have not been sold to the Purchasers. The reserve recognized for this recourse obligation as of March 31, 2024 is not material.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in the case of any Canadian trade receivables, NCR Canada Corp., continues to be involved with the trade receivables even after they are transferred to the SPEs (or further transferred to the Purchasers) by acting as servicer. In addition to any obligations as servicer, the Company and each of its subsidiaries that may from time to time act as an originator under the T/R Facility provide the SPEs with customary recourse in respect of (i) certain dilutive events with respect to the trade receivables sold to the SPEs that are caused by the Company or other applicable originators and (ii) in the event of certain violations by the Company or other applicable originators of their respective representations and warranties with respect to the trade receivables sold to the SPEs. The Company guarantees that any of its subsidiaries (other than the SPEs) party to the T/R Facility will duly and punctually perform its obligations under the T/R Facility (whether as servicer or as originator). These servicing and originator liabilities of the Company and any such subsidiaries (other than the SPEs) under the T/R Facility are not expected to be material given the high quality of the customers underlying the receivables and the anticipated short collection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 Facility includes other customary representations and warranties, affirmative and negative covenants and default and termination provisions, which provide for the acceleration of amounts owed to the Purchasers thereunder in circumstances including, but not limited to, failure to pay capital or yield on when due, breach of representation, warranty or covenant, certain insolvency events or failure to maintain the security interest in the trade receivables, and defaults under other material indebtedness.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provisions for interim (quarterly) periods are based on an estimated annual effective income tax rate calculated separately from the effect of significant, infrequent or unusual items. Income tax benefit from continuing operations was $14 million for the three months ended March 31, 2024 compared to income tax expense of $5 million for the three months ended March 31, 2023. The change was primarily driven by a favorable mix of earnings between our U.S. and non-U.S. jurisdictions in the three months ended March 31, 2024 compared to the prior year. Additionally, the Company did not recognize any material discrete tax expenses or benefits in either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STOCK COMPENSATION PLANS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Company’s stock-based compensation consisted of restricted stock units, employee stock purchase plan and stock options. Stock-based compensation expense for the following periods were:</w:t>
      </w:r>
    </w:p>
    <w:tbl>
      <w:tblPr>
        <w:tblW w:w="6716" w:type="dxa"/>
        <w:jc w:val="center"/>
        <w:tblInd w:w="0" w:type="dxa"/>
        <w:tblLayout w:type="fixed"/>
        <w:tblCellMar>
          <w:top w:w="28" w:type="dxa"/>
          <w:left w:w="28" w:type="dxa"/>
          <w:bottom w:w="28" w:type="dxa"/>
          <w:right w:w="28" w:type="dxa"/>
        </w:tblCellMar>
      </w:tblPr>
      <w:tblGrid>
        <w:gridCol w:w="1423"/>
        <w:gridCol w:w="1245"/>
        <w:gridCol w:w="1262"/>
        <w:gridCol w:w="286"/>
        <w:gridCol w:w="509"/>
        <w:gridCol w:w="147"/>
        <w:gridCol w:w="147"/>
        <w:gridCol w:w="147"/>
        <w:gridCol w:w="147"/>
        <w:gridCol w:w="286"/>
        <w:gridCol w:w="489"/>
        <w:gridCol w:w="147"/>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tax)</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is recognized in the Condensed Consolidated Financial Statements based upon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granted market-based restricted stock units vesting on March 15, 2027. 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details the significant assumptions used in determining the fair value of the market-based restricted stock units granted on March 15, 2024: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60.37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total unrecognized compensation cost of $87 million related to unvested restricted stock grants is expected to be recognized over a weighted average period of approximately 1.2 years. As of March 31, 2024, all stock option grants have vested.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Employee Stock Purchase Plan </w:t>
      </w:r>
      <w:r>
        <w:rPr>
          <w:rFonts w:ascii="Times New Roman;sans-serif" w:hAnsi="Times New Roman;sans-serif"/>
          <w:b w:val="false"/>
          <w:color w:val="000000"/>
          <w:sz w:val="20"/>
        </w:rPr>
        <w:t xml:space="preserve">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employees purchased 0.3 million shares, at a discounted price of $10.74. For the three months ended March 31, 2023, employees purchased 0.3 million shares, at a discounted price of $20.05.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EMPLOYEE BENEFIT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Employer Contributions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Pension</w:t>
      </w:r>
      <w:r>
        <w:rPr>
          <w:color w:val="000000"/>
        </w:rPr>
        <w:t xml:space="preserve"> </w:t>
      </w:r>
      <w:r>
        <w:rPr>
          <w:rFonts w:ascii="Times New Roman;sans-serif" w:hAnsi="Times New Roman;sans-serif"/>
          <w:b w:val="false"/>
          <w:color w:val="000000"/>
          <w:sz w:val="20"/>
        </w:rPr>
        <w:t>For the three months ended March 31, 2024, $3 million was contributed to the Company’s international pension plans. The Company anticipates contributing an additional $10 million to its international pension plans for a total of $13 million in 2024.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val="false"/>
          <w:i/>
          <w:color w:val="000000"/>
          <w:sz w:val="20"/>
        </w:rPr>
        <w:t>Postemployment</w:t>
      </w:r>
      <w:r>
        <w:rPr>
          <w:color w:val="000000"/>
        </w:rPr>
        <w:t xml:space="preserve"> </w:t>
      </w:r>
      <w:r>
        <w:rPr>
          <w:rFonts w:ascii="Times New Roman;sans-serif" w:hAnsi="Times New Roman;sans-serif"/>
          <w:b w:val="false"/>
          <w:color w:val="000000"/>
          <w:sz w:val="20"/>
        </w:rPr>
        <w:t>For the three months ended March 31, 2024, the Company contributed $8 million to its postemployment plan. The Company anticipates contributing an additional $24 million to its postemployment plan for a total of $32 million in 2024.</w:t>
      </w:r>
    </w:p>
    <w:tbl>
      <w:tblPr>
        <w:tblW w:w="22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capital expenditures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Condensed Consolidated Financial Statements or will not have a material adverse effect on its consolidated results of operations, capital expenditures, competitive position, financial condition or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Environmental Matters</w:t>
      </w:r>
      <w:r>
        <w:rPr>
          <w:color w:val="000000"/>
        </w:rPr>
        <w:t xml:space="preserve"> </w:t>
      </w:r>
      <w:r>
        <w:rPr>
          <w:rFonts w:ascii="Times New Roman;sans-serif" w:hAnsi="Times New Roman;sans-serif"/>
          <w:b w:val="false"/>
          <w:color w:val="000000"/>
          <w:sz w:val="20"/>
        </w:rPr>
        <w:t>The Company’s facilities and operations are subject to a wide range of environmental protection laws, and the Company has 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will retain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discussed below, we currently do not anticipate material expenses and liabilities from these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Fox River</w:t>
      </w:r>
      <w:r>
        <w:rPr>
          <w:color w:val="000000"/>
        </w:rPr>
        <w:t xml:space="preserve"> </w:t>
      </w:r>
      <w:r>
        <w:rPr>
          <w:rFonts w:ascii="Times New Roman;sans-serif" w:hAnsi="Times New Roman;sans-serif"/>
          <w:b w:val="false"/>
          <w:color w:val="000000"/>
          <w:sz w:val="20"/>
        </w:rPr>
        <w:t>The Company was one of eight entities that was formally notified by governmental and other entities that it was a PRP for environmental claims (under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the Fox River remediation has been shared with three parties (the previously reported API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(“NRD”).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March 31, 2024 and December 31, 2023, the Funding Agreement Receivable was approximately $54 million and was included in Other assets in the Condensed Consolidated Balance Sheets. The timing of collection of sums related to the receivable is uncertain, subject and pursuant to the terms of the Funding Agreement and related agreements. This receivable is not taken into account in calculating the Company’s Fox River remaining reserve.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The Divestiture Agreement governs certain aspects of AT&amp;T’s divestiture of the Company and Lucent Technologies. Those companies have generally made the payments requested of them by the Company on an ongoing basis. The Company, AT&amp;T and Nokia are currently discussing a final reconciliation of the Divestiture Agreement Offsets, but the timing for a final resolution is uncertain.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final reconciliation of the Funding Agreement Receivable and the Divestiture Agreement Offsets could result in additional expenditures and liabilities for the Company that could be material. As of March 31, 2024 and December 31, 2023, we have no remaining liability for environmental remedial obligations for the Fox River matter. As of March 31, 2024 and December 31, 2023, the liability subject to final reconciliation with indemnitors under the Divestiture Agreement was approximately $22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Kalamazoo River</w:t>
      </w:r>
      <w:r>
        <w:rPr>
          <w:color w:val="000000"/>
        </w:rPr>
        <w:t> </w:t>
      </w:r>
      <w:r>
        <w:rPr>
          <w:rFonts w:ascii="Times New Roman;sans-serif" w:hAnsi="Times New Roman;sans-serif"/>
          <w:b w:val="false"/>
          <w:color w:val="000000"/>
          <w:sz w:val="20"/>
        </w:rPr>
        <w:t>In November 2010, The United States Environmental Protection Agency (“USEPA”) issued a “general notice letter” to the Company with respect to the Allied Paper, Inc./Portage Creek/Kalamazoo River Superfund Site (“Kalamazoo River site”) in Michigan. Three other companies - International Paper, Mead Corporation, and Consumers Energy - also received general notice letters at or about the same time. USEPA asserts that the site is contaminated by various substances, primarily PCBs, as a result of discharges by various paper mills located along the river. USEPA does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Kalamazoo River site, in December 2010 the Company, along with two other defendants, was sued in federal court by three Georgia Pacific (“GP”) affiliate corporations in a private-party contribution and cost recovery action for alleged pollution. The suit sought to require that the Company and other defendants pay a “fair portion” of these companies’ costs and also alleged that the Company was liable to the GP entities as an “arranger” under CERCLA. The initial phase of the case was tried in a Michigan federal court in February 2013 and in September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ruling issued in March 2018, the court addressed responsibility for the costs that GP had incurred in the past, totaling to approximately $50 million (GP had sought approximately $105 million, but $55 million of those claims were removed by the court upon motions filed by the Company and other parties). The Company and GP were each assigned a 40% share of those costs, and the other two companies were assigned 15% and 5% as their allocations. The court entered a judgment in the case in June 2018, in which it indicated that it would not allocate future costs, but would enter a declaratory judgment that the four companies together had responsibility for future costs, in amounts and shares to be determined. In July 2018, the Company appealed to the United States Court of Appeals for the Sixth Circuit both the 2013 court decision and the 2018 court decision.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pendency of the Sixth Circuit appeal, the Company negotiated a settlement of the Kalamazoo River matter with the USEPA and other government agencies. In December 2019, the Company entered into a Consent Decree and in December 2020, the District Court approved the Consent Decree, which resolved the foregoing litigation associated with the Kalamazoo River clean-up, including the Sixth Circuit appeal. The Consent Decree requires the Company to pay GP its 40% share of past costs, to pay the USEPA and state agencies their past and future administrative costs. It also required the Company to dismiss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its Sixth Circuit appeal. The Consent Decree further requires the Company to take responsibility for the remediation of a portion, but not all, of the Kalamazoo River. The Consent Decree provides the Company protection from other PRPs, including GP, seeking contribution for their costs associated with the clean-up anywhere on the river, thereby resolving the allocation of future costs left unresolved by the June 2018 judgment.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meritorious claims to recover certain Kalamazoo River remediation expenses from BAT under the Cost Sharing Agreement, discussed above, as the river is a “future site” under the agreement. To date, BAT disputes that the Kalamazoo River is a “future site.” In February 2023, the Company filed an action against BAT in the Southern District of New York seeking a declaration that the Kalamazoo River is a “future site” under the Cost Sharing Agreement. In December 2022, the Company met the contractual threshold set forth in the 1996 Divestiture Agreement and as a result also has indemnity or reimbursement claims against AT&amp;T and Nokia.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On March 29, 2024, the Company filed a Notice of Dispute with the USEPA objecting to the scope of work for Area 4 as being inconsistent with the National Contingency Plan and contrary to the requirements of the Consent Decree. The Company is currently working with the USEPA to resolve this dispute. If the Area 4 dispute is not decided in the Company’s favor, the costs to remediate Area 4 could increase substantially.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total reserve for Kalamazoo was $142 million and $141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reflects changes in positions taken by some of those co-obligors and indemnitors with respect to the Kalamazoo River. The contributions from its co-obligors and indemnitors are expected to range from $70 million to $155 million and the Company will continue to pursue such contribution.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of the costs of investigations and studies for areas of the river where remedies have not yet been determined, and the reserve is informed by those estimates. The extent of the Company’s potential liability remains subject to many uncertainties, notwithstanding the settlement of this matter and related Consent Decree noted above, particularly in as much as remedy decisions and cost estimates will not be generated until times in the future and as most of the work to be performed will take place through the 2030s. Under other assumptions or estimates for possible costs of remediation, which the Company does not at this point consider to be reasonably estimable or verifiable, it is possible that the reserve the Company has taken to discontinued operations reflected in this paragraph could more than approximately double the reflected 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Ebina</w:t>
      </w:r>
      <w:r>
        <w:rPr>
          <w:color w:val="000000"/>
        </w:rPr>
        <w:t xml:space="preserve"> </w:t>
      </w:r>
      <w:r>
        <w:rPr>
          <w:rFonts w:ascii="Times New Roman;sans-serif" w:hAnsi="Times New Roman;sans-serif"/>
          <w:b w:val="false"/>
          <w:color w:val="000000"/>
          <w:sz w:val="20"/>
        </w:rPr>
        <w:t xml:space="preserve">The Company has now completed all regulatory compliance activities in connection with certain environmental contaminants generated in its past operations in Japan. The Company once had quantities of PCB and other wastes primarily from its former plant at Oiso, Japan, including capsulated undiluted solutions manufactured in the past, capacitors, light ballasts and PCB-affected soil from the Oiso plant that was excavated and placed in steel drums. These wastes were stored in a facility at Ebina, Japan in accordance with Japanese regulations governing such materials. As of March 31, 2024, the Company has disposed of all wastes at the Ebina facility in accordance with government regulations, and this matter has been concluded.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reserve as of March 31, 2024 is zero. The Japan environmental waste issue was treated as a compliance matter and not as litigation or enforcement, and the Company has received no threats of litigation or enforcement. Atleos does not have any indemnification obligations to the Company in connection with the Ebina matter.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Environmental-Related Insurance Recoveries</w:t>
      </w:r>
      <w:r>
        <w:rPr>
          <w:color w:val="000000"/>
        </w:rPr>
        <w:t xml:space="preserve"> </w:t>
      </w:r>
      <w:r>
        <w:rPr>
          <w:rFonts w:ascii="Times New Roman;sans-serif" w:hAnsi="Times New Roman;sans-serif"/>
          <w:b w:val="false"/>
          <w:color w:val="000000"/>
          <w:sz w:val="20"/>
        </w:rPr>
        <w:t xml:space="preserve">In connection with the Fox River, Kalamazoo River and other environmental sites, through March 31, 2024, the Company has received a combined gross total of approximately $212 million in settlements reached with various of its insurance carriers. Portions of many of these settlements agreed in the 2010 through 2013 timeframe are payable to a law firm that litigated the claims on the Company’s behalf. Some of the settlements cover not only the Fox River but also other environmental sites; some are limited to either the Fox River or the Kalamazoo River site. Some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are directed to defense costs and some are directed to indemnity; some settlements cover both defense costs and indemnity. The Company does not anticipate that further material insurance recoveries specific to Kalamazoo River remediation costs will be available to it, but it has recovered some amounts as a result of settlement discussions with certain carriers. Claims with respect to Kalamazoo River defense costs have now been settled, with the amounts of those settlements included in the sum reported above.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Environmental Remediation Estimates</w:t>
      </w:r>
      <w:r>
        <w:rPr>
          <w:color w:val="000000"/>
        </w:rPr>
        <w:t> </w:t>
      </w:r>
      <w:r>
        <w:rPr>
          <w:rFonts w:ascii="Times New Roman;sans-serif" w:hAnsi="Times New Roman;sans-serif"/>
          <w:b w:val="false"/>
          <w:color w:val="000000"/>
          <w:sz w:val="20"/>
        </w:rPr>
        <w:t xml:space="preserve">It is difficult to estimate the future financial impact of environmental laws, including potential liabilities. The 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provided for environmental matters in the Company’s Condensed Consolidated Financial Statements are the estimated gross undiscounted amounts of such liabilities, without deductions for indemnity insurance, third-party indemnity claims or recoveries from other PRPs, except as qualified in the following sentences. In those cases where insurance carriers or third-party indemnitors have agreed to pay any amounts and management believes that collectability of such amounts is probable, the amounts are recorded in the Condensed Consolidated Financial Statements. For the Fox River and Kalamazoo River sites, as described above, assets relating to the AT&amp;T and Nokia indemnities and to the BAT obligations are recorded as payment is supported by contractual agreements, public filings and/or payment history.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Guarantees and Product Warranties</w:t>
      </w:r>
      <w:r>
        <w:rPr>
          <w:color w:val="000000"/>
        </w:rPr>
        <w:t xml:space="preserve"> </w:t>
      </w:r>
      <w:r>
        <w:rPr>
          <w:rFonts w:ascii="Times New Roman;sans-serif" w:hAnsi="Times New Roman;sans-serif"/>
          <w:b w:val="false"/>
          <w:color w:val="000000"/>
          <w:sz w:val="20"/>
        </w:rPr>
        <w:t>In the ordinary course of business, the Company may issue performance guarantees on behalf of its subsidiaries to 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March 31, 2024 and December 31, 2023, the Company had no material obligations related to such guarantees, and therefore its Condensed Consolidated Financial Statements do not have any associated liability balance.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product design or quality corrections are accomplished through modification programs. When identified, associated costs of labor and parts for such programs are estimated and accrued as part of the warranty reserve.</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color w:val="000000"/>
          <w:sz w:val="20"/>
        </w:rPr>
        <w:t>Purchase Commitments</w:t>
      </w:r>
      <w:r>
        <w:rPr>
          <w:color w:val="000000"/>
        </w:rPr>
        <w:t xml:space="preserve"> </w:t>
      </w:r>
      <w:r>
        <w:rPr>
          <w:rFonts w:ascii="Times New Roman;sans-serif" w:hAnsi="Times New Roman;sans-serif"/>
          <w:b w:val="false"/>
          <w:color w:val="000000"/>
          <w:sz w:val="20"/>
        </w:rPr>
        <w:t xml:space="preserve">The Company has purchase commitments for materials, supplies, services, and property, plant and equipment as part of the normal course of business. This includes a long-term service agreement with Accenture, under which many of the Company’s key transaction processing activities and functions are performed.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SERIES A CONVERTIBLE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w:t>
      </w:r>
      <w:r>
        <w:rPr>
          <w:color w:val="000000"/>
          <w:shd w:fill="FFFFFF" w:val="clear"/>
        </w:rPr>
        <w:t xml:space="preserve"> </w:t>
      </w:r>
      <w:r>
        <w:rPr>
          <w:rFonts w:ascii="Times New Roman;sans-serif" w:hAnsi="Times New Roman;sans-serif"/>
          <w:b w:val="false"/>
          <w:color w:val="000000"/>
          <w:sz w:val="20"/>
          <w:shd w:fill="FFFFFF" w:val="clear"/>
        </w:rPr>
        <w:t xml:space="preserve">During the three months ended March 31, 2024 and 2023, the Company paid cash dividends of </w:t>
      </w:r>
      <w:r>
        <w:rPr>
          <w:rFonts w:ascii="Times New Roman;sans-serif" w:hAnsi="Times New Roman;sans-serif"/>
          <w:b w:val="false"/>
          <w:color w:val="000000"/>
          <w:sz w:val="20"/>
        </w:rPr>
        <w:t xml:space="preserve">$4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effective immediately after the close of business on October 17, 2023. As of March 31, 2024 and December 31, 2023, the maximum number of common shares that could be required to be issued upon conversion of the outstanding shares of Series A Convertible Preferred Stock was 15.9 million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EARNINGS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8, “Stock Compensation Plans”, for share information on the Company’s stock compensation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earnings (loss) per share are as follows:</w:t>
      </w:r>
    </w:p>
    <w:tbl>
      <w:tblPr>
        <w:tblW w:w="10205" w:type="dxa"/>
        <w:jc w:val="left"/>
        <w:tblInd w:w="0" w:type="dxa"/>
        <w:tblLayout w:type="fixed"/>
        <w:tblCellMar>
          <w:top w:w="28" w:type="dxa"/>
          <w:left w:w="28" w:type="dxa"/>
          <w:bottom w:w="28" w:type="dxa"/>
          <w:right w:w="28" w:type="dxa"/>
        </w:tblCellMar>
      </w:tblPr>
      <w:tblGrid>
        <w:gridCol w:w="2604"/>
        <w:gridCol w:w="2249"/>
        <w:gridCol w:w="2265"/>
        <w:gridCol w:w="109"/>
        <w:gridCol w:w="109"/>
        <w:gridCol w:w="109"/>
        <w:gridCol w:w="225"/>
        <w:gridCol w:w="622"/>
        <w:gridCol w:w="116"/>
        <w:gridCol w:w="116"/>
        <w:gridCol w:w="116"/>
        <w:gridCol w:w="116"/>
        <w:gridCol w:w="225"/>
        <w:gridCol w:w="622"/>
        <w:gridCol w:w="116"/>
        <w:gridCol w:w="109"/>
        <w:gridCol w:w="109"/>
        <w:gridCol w:w="109"/>
        <w:gridCol w:w="159"/>
      </w:tblGrid>
      <w:tr>
        <w:trPr/>
        <w:tc>
          <w:tcPr>
            <w:tcW w:w="260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1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basic and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(0.31)</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15.9 million for the as-if converted Series A Preferred Stock because their effect would have been anti-dilutive. Additionally, weighted average restricted stock units and stock options of 11.0 million were excluded from the diluted share count because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shares related to the as-if converted Series A Convertible Preferred Stock of 9.2 million were excluded from the diluted share count because their effect would have been anti-dilutive. Additionally, weighted average restricted stock units and stock options of 15.0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DERIVATIVES AND HEDGING INSTRUMENTS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certain risks arising from both our business operations and economic conditions. We principally manage exposures to a wide variety of business and operational risk through management of core business activities. We manage interest rate risk associated with our floating rate-debt by managing the amount, sources, and duration of debt funding and the use of derivative financial instruments. The Company has historically used interest rate cap agreements or interest rate swap contracts (“Interest Rate Derivatives”) to manage differences in the amount, timing and duration of known or expected cash payments related to our existing TLA Facility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 substantial portion of our operations and revenue occur outside the United States and, as such, the Company has exposure to approximately 40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at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the Company discontinues hedge accounting prospectively.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Foreign Currency Exchange Risk </w:t>
      </w:r>
      <w:r>
        <w:rPr>
          <w:rFonts w:ascii="Times New Roman;sans-serif" w:hAnsi="Times New Roman;sans-serif"/>
          <w:b w:val="false"/>
          <w:color w:val="000000"/>
          <w:sz w:val="20"/>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risk management strategy includes hedging, on behalf of certain subsidiaries, a portion of our forecasted, non-functional currency denominated cash flows for a period of up to 15 months. As a result, some of the impact of currency fluctuations on non-functional currency denominated transactions (and hence on subsidiary operating income, as stated in the functional currency), is mitigated in the near term. In the longer term (greater than 15 months), the subsidiaries are still subject to the effect of translating the functional currency results to United States Dollars.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Company’s marketing units and the foreign currency denominated inputs to our manufacturing units. If the hedge is designated as a highly effective cash flow hedge,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they are recorded in earnings when the exchange rates change. As of March 31, 2024 and December 31, 2023, the balance in AOCI related to foreign exchange derivative transactions was zero.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foreign exchange contracts to hedge our exposure of assets and liabilities denominated in non-functional currencies. We recognize the gains and losses on these types of hedges in earnings as exchange rates change.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Interest Rate Risk </w:t>
      </w:r>
      <w:r>
        <w:rPr>
          <w:rFonts w:ascii="Times New Roman;sans-serif" w:hAnsi="Times New Roman;sans-serif"/>
          <w:b w:val="false"/>
          <w:color w:val="000000"/>
          <w:sz w:val="20"/>
        </w:rPr>
        <w:t>The Company designates Interest Rate Derivative contracts as cash flow hedges of forecasted transactions when they are determined to be highly effective at inception.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interest rate swap contracts or interest rate cap agreements to add stability to interest cost and to manage exposure to interest rate movements as part of our interest rate risk management strategy. Payments and receipts related to Interest Rate Derivatives are included in cash flows from operating activities in the Condensed Consolidated Statements of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on the location and amounts of derivative fair values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894"/>
        <w:gridCol w:w="785"/>
        <w:gridCol w:w="791"/>
        <w:gridCol w:w="558"/>
        <w:gridCol w:w="558"/>
        <w:gridCol w:w="560"/>
        <w:gridCol w:w="109"/>
        <w:gridCol w:w="109"/>
        <w:gridCol w:w="109"/>
        <w:gridCol w:w="211"/>
        <w:gridCol w:w="481"/>
        <w:gridCol w:w="109"/>
        <w:gridCol w:w="109"/>
        <w:gridCol w:w="109"/>
        <w:gridCol w:w="109"/>
        <w:gridCol w:w="211"/>
        <w:gridCol w:w="406"/>
        <w:gridCol w:w="109"/>
        <w:gridCol w:w="109"/>
        <w:gridCol w:w="109"/>
        <w:gridCol w:w="109"/>
        <w:gridCol w:w="477"/>
        <w:gridCol w:w="477"/>
        <w:gridCol w:w="479"/>
        <w:gridCol w:w="109"/>
        <w:gridCol w:w="109"/>
        <w:gridCol w:w="109"/>
        <w:gridCol w:w="211"/>
        <w:gridCol w:w="481"/>
        <w:gridCol w:w="109"/>
        <w:gridCol w:w="109"/>
        <w:gridCol w:w="109"/>
        <w:gridCol w:w="109"/>
        <w:gridCol w:w="211"/>
        <w:gridCol w:w="293"/>
        <w:gridCol w:w="159"/>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 of Derivative Instruments</w:t>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foreign exchange contracts</w:t>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hedging instruments</w:t>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 of Derivative Instruments</w:t>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3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foreign exchange contracts</w:t>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hedging instruments</w:t>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derivative instruments on the Condensed Consolidated Statements of Operations and Condensed Consolidated Statements of Comprehensive Income for the three months ended March 31, 2024 and 2023 were as follows:</w:t>
      </w:r>
    </w:p>
    <w:tbl>
      <w:tblPr>
        <w:tblW w:w="10205" w:type="dxa"/>
        <w:jc w:val="left"/>
        <w:tblInd w:w="0" w:type="dxa"/>
        <w:tblLayout w:type="fixed"/>
        <w:tblCellMar>
          <w:top w:w="28" w:type="dxa"/>
          <w:left w:w="28" w:type="dxa"/>
          <w:bottom w:w="28" w:type="dxa"/>
          <w:right w:w="28" w:type="dxa"/>
        </w:tblCellMar>
      </w:tblPr>
      <w:tblGrid>
        <w:gridCol w:w="787"/>
        <w:gridCol w:w="690"/>
        <w:gridCol w:w="696"/>
        <w:gridCol w:w="318"/>
        <w:gridCol w:w="612"/>
        <w:gridCol w:w="164"/>
        <w:gridCol w:w="156"/>
        <w:gridCol w:w="156"/>
        <w:gridCol w:w="156"/>
        <w:gridCol w:w="312"/>
        <w:gridCol w:w="620"/>
        <w:gridCol w:w="161"/>
        <w:gridCol w:w="109"/>
        <w:gridCol w:w="109"/>
        <w:gridCol w:w="109"/>
        <w:gridCol w:w="674"/>
        <w:gridCol w:w="674"/>
        <w:gridCol w:w="676"/>
        <w:gridCol w:w="109"/>
        <w:gridCol w:w="109"/>
        <w:gridCol w:w="109"/>
        <w:gridCol w:w="318"/>
        <w:gridCol w:w="612"/>
        <w:gridCol w:w="164"/>
        <w:gridCol w:w="159"/>
        <w:gridCol w:w="159"/>
        <w:gridCol w:w="159"/>
        <w:gridCol w:w="308"/>
        <w:gridCol w:w="586"/>
        <w:gridCol w:w="23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Recognized in Other Comprehensive Income (OCI)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 from AOCI into the Condensed Consolidated Statement of Operations</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 Loss Reclassified from AOCI into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026" w:type="dxa"/>
            <w:gridSpan w:val="12"/>
            <w:tcBorders/>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center"/>
        <w:tblInd w:w="0" w:type="dxa"/>
        <w:tblLayout w:type="fixed"/>
        <w:tblCellMar>
          <w:top w:w="28" w:type="dxa"/>
          <w:left w:w="28" w:type="dxa"/>
          <w:bottom w:w="28" w:type="dxa"/>
          <w:right w:w="28" w:type="dxa"/>
        </w:tblCellMar>
      </w:tblPr>
      <w:tblGrid>
        <w:gridCol w:w="790"/>
        <w:gridCol w:w="694"/>
        <w:gridCol w:w="700"/>
        <w:gridCol w:w="1161"/>
        <w:gridCol w:w="1161"/>
        <w:gridCol w:w="1164"/>
        <w:gridCol w:w="109"/>
        <w:gridCol w:w="109"/>
        <w:gridCol w:w="109"/>
        <w:gridCol w:w="491"/>
        <w:gridCol w:w="736"/>
        <w:gridCol w:w="253"/>
        <w:gridCol w:w="253"/>
        <w:gridCol w:w="253"/>
        <w:gridCol w:w="253"/>
        <w:gridCol w:w="491"/>
        <w:gridCol w:w="736"/>
        <w:gridCol w:w="253"/>
        <w:gridCol w:w="109"/>
        <w:gridCol w:w="109"/>
        <w:gridCol w:w="109"/>
        <w:gridCol w:w="162"/>
      </w:tblGrid>
      <w:tr>
        <w:trPr/>
        <w:tc>
          <w:tcPr>
            <w:tcW w:w="7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Recognized in the Condensed Consolidated Statement of Operations</w:t>
            </w:r>
          </w:p>
        </w:tc>
        <w:tc>
          <w:tcPr>
            <w:tcW w:w="489" w:type="dxa"/>
            <w:gridSpan w:val="4"/>
            <w:tcBorders/>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 (Loss) Recognized in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3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impact of the Company’s cash flow hedge accounting relationships on the Condensed Consolidated Statement of Operations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1475"/>
        <w:gridCol w:w="1212"/>
        <w:gridCol w:w="1223"/>
        <w:gridCol w:w="109"/>
        <w:gridCol w:w="109"/>
        <w:gridCol w:w="109"/>
        <w:gridCol w:w="421"/>
        <w:gridCol w:w="937"/>
        <w:gridCol w:w="234"/>
        <w:gridCol w:w="421"/>
        <w:gridCol w:w="905"/>
        <w:gridCol w:w="234"/>
        <w:gridCol w:w="234"/>
        <w:gridCol w:w="234"/>
        <w:gridCol w:w="234"/>
        <w:gridCol w:w="234"/>
        <w:gridCol w:w="234"/>
        <w:gridCol w:w="127"/>
        <w:gridCol w:w="228"/>
        <w:gridCol w:w="474"/>
        <w:gridCol w:w="127"/>
        <w:gridCol w:w="196"/>
        <w:gridCol w:w="331"/>
        <w:gridCol w:w="163"/>
      </w:tblGrid>
      <w:tr>
        <w:trPr/>
        <w:tc>
          <w:tcPr>
            <w:tcW w:w="147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Location and Amount of (Gain) Loss Recognized in Income on Cash Flow Hedging Relationships for the three months ended March 31:</w:t>
            </w:r>
          </w:p>
        </w:tc>
        <w:tc>
          <w:tcPr>
            <w:tcW w:w="1646" w:type="dxa"/>
            <w:gridSpan w:val="7"/>
            <w:tcBorders/>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Services</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690" w:type="dxa"/>
            <w:gridSpan w:val="3"/>
            <w:tcBorders/>
          </w:tcPr>
          <w:p>
            <w:pPr>
              <w:pStyle w:val="TableContents"/>
              <w:bidi w:val="0"/>
              <w:spacing w:before="0" w:after="283"/>
              <w:jc w:val="left"/>
              <w:rPr>
                <w:sz w:val="4"/>
                <w:szCs w:val="4"/>
              </w:rPr>
            </w:pPr>
            <w:r>
              <w:rPr>
                <w:sz w:val="4"/>
                <w:szCs w:val="4"/>
              </w:rPr>
            </w:r>
          </w:p>
        </w:tc>
      </w:tr>
      <w:tr>
        <w:trPr/>
        <w:tc>
          <w:tcPr>
            <w:tcW w:w="3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amount of expense presented in the Condensed Consolidated Statements of Operations in which the effects of cash flow hedges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466</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(gain) loss reclassified from Accumulated other comprehensive loss, net of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14, “Fair Value of Assets and Liabilities”, for further information on derivative assets and liabilities recorded at fair value on a recurring basis.</w:t>
      </w:r>
    </w:p>
    <w:p>
      <w:pPr>
        <w:pStyle w:val="TextBody"/>
        <w:bidi w:val="0"/>
        <w:spacing w:lineRule="auto" w:line="288" w:before="28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March 31, 2024 and December 31, 2023, we did not have any major concentration of credit risk related to financial instruments.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FAIR VALUE OF ASSETS AND LIABILITIES </w:t>
      </w:r>
    </w:p>
    <w:p>
      <w:pPr>
        <w:pStyle w:val="TextBody"/>
        <w:bidi w:val="0"/>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as of March 31, 2024 and December 31, 2023 are set forth as follows:</w:t>
      </w:r>
    </w:p>
    <w:tbl>
      <w:tblPr>
        <w:tblW w:w="10139" w:type="dxa"/>
        <w:jc w:val="center"/>
        <w:tblInd w:w="0" w:type="dxa"/>
        <w:tblLayout w:type="fixed"/>
        <w:tblCellMar>
          <w:top w:w="28" w:type="dxa"/>
          <w:left w:w="28" w:type="dxa"/>
          <w:bottom w:w="28" w:type="dxa"/>
          <w:right w:w="28" w:type="dxa"/>
        </w:tblCellMar>
      </w:tblPr>
      <w:tblGrid>
        <w:gridCol w:w="1417"/>
        <w:gridCol w:w="1246"/>
        <w:gridCol w:w="1251"/>
        <w:gridCol w:w="211"/>
        <w:gridCol w:w="376"/>
        <w:gridCol w:w="109"/>
        <w:gridCol w:w="109"/>
        <w:gridCol w:w="109"/>
        <w:gridCol w:w="109"/>
        <w:gridCol w:w="431"/>
        <w:gridCol w:w="831"/>
        <w:gridCol w:w="224"/>
        <w:gridCol w:w="109"/>
        <w:gridCol w:w="109"/>
        <w:gridCol w:w="109"/>
        <w:gridCol w:w="414"/>
        <w:gridCol w:w="797"/>
        <w:gridCol w:w="215"/>
        <w:gridCol w:w="109"/>
        <w:gridCol w:w="109"/>
        <w:gridCol w:w="109"/>
        <w:gridCol w:w="447"/>
        <w:gridCol w:w="861"/>
        <w:gridCol w:w="328"/>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 held in money market mutual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25" w:type="dxa"/>
        <w:jc w:val="center"/>
        <w:tblInd w:w="0" w:type="dxa"/>
        <w:tblLayout w:type="fixed"/>
        <w:tblCellMar>
          <w:top w:w="28" w:type="dxa"/>
          <w:left w:w="28" w:type="dxa"/>
          <w:bottom w:w="28" w:type="dxa"/>
          <w:right w:w="28" w:type="dxa"/>
        </w:tblCellMar>
      </w:tblPr>
      <w:tblGrid>
        <w:gridCol w:w="912"/>
        <w:gridCol w:w="800"/>
        <w:gridCol w:w="808"/>
        <w:gridCol w:w="211"/>
        <w:gridCol w:w="256"/>
        <w:gridCol w:w="109"/>
        <w:gridCol w:w="109"/>
        <w:gridCol w:w="109"/>
        <w:gridCol w:w="109"/>
        <w:gridCol w:w="431"/>
        <w:gridCol w:w="831"/>
        <w:gridCol w:w="224"/>
        <w:gridCol w:w="109"/>
        <w:gridCol w:w="109"/>
        <w:gridCol w:w="109"/>
        <w:gridCol w:w="522"/>
        <w:gridCol w:w="633"/>
        <w:gridCol w:w="271"/>
        <w:gridCol w:w="109"/>
        <w:gridCol w:w="109"/>
        <w:gridCol w:w="109"/>
        <w:gridCol w:w="447"/>
        <w:gridCol w:w="861"/>
        <w:gridCol w:w="328"/>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in Cash and cash equivalents in the Condensed Consolidated Balance Sheets.</w:t>
      </w:r>
    </w:p>
    <w:p>
      <w:pPr>
        <w:pStyle w:val="TextBody"/>
        <w:bidi w:val="0"/>
        <w:spacing w:lineRule="auto" w:line="288" w:before="0" w:after="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Included in Prepaid and other current assets in the Condensed Consolidated Balance Sheets.</w:t>
      </w:r>
    </w:p>
    <w:p>
      <w:pPr>
        <w:pStyle w:val="TextBody"/>
        <w:bidi w:val="0"/>
        <w:spacing w:lineRule="auto" w:line="288" w:before="0" w:after="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Included in Other current liabilities in the Condensed Consolidated Balance Sheets.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Deposits Held in Money Market Mutual Funds </w:t>
      </w:r>
      <w:r>
        <w:rPr>
          <w:rFonts w:ascii="Times New Roman;sans-serif" w:hAnsi="Times New Roman;sans-serif"/>
          <w:b w:val="false"/>
          <w:color w:val="000000"/>
          <w:sz w:val="20"/>
        </w:rPr>
        <w:t>A portion of the Company’s excess cash is held in money market mutual funds that generate interest income based on prevailing market rates. Money market mutual fund holdings are measured at fair value using quoted market prices and are classified within Level 1 of the valuation hierarchy.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Foreign Exchange Contracts </w:t>
      </w:r>
      <w:r>
        <w:rPr>
          <w:rFonts w:ascii="Times New Roman;sans-serif" w:hAnsi="Times New Roman;sans-serif"/>
          <w:b w:val="false"/>
          <w:color w:val="000000"/>
          <w:sz w:val="20"/>
        </w:rPr>
        <w:t>As a result of our global operating activities, we are exposed to risks from changes in foreign currency exchange rates, which may 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March 31, 2024, we determined that the credit valuation adjustments are not significant to the overall valuation of our derivatives and therefore, the valuations are classified in Level 2 of the fair value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Assets Measured at Fair Value on a Non-recurring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months ended March 31, 2024 and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Accumulated Other Comprehensive Income (“AOCI”) by Component</w:t>
      </w:r>
    </w:p>
    <w:tbl>
      <w:tblPr>
        <w:tblW w:w="10205" w:type="dxa"/>
        <w:jc w:val="center"/>
        <w:tblInd w:w="0" w:type="dxa"/>
        <w:tblLayout w:type="fixed"/>
        <w:tblCellMar>
          <w:top w:w="28" w:type="dxa"/>
          <w:left w:w="28" w:type="dxa"/>
          <w:bottom w:w="28" w:type="dxa"/>
          <w:right w:w="28" w:type="dxa"/>
        </w:tblCellMar>
      </w:tblPr>
      <w:tblGrid>
        <w:gridCol w:w="1322"/>
        <w:gridCol w:w="956"/>
        <w:gridCol w:w="962"/>
        <w:gridCol w:w="489"/>
        <w:gridCol w:w="1115"/>
        <w:gridCol w:w="252"/>
        <w:gridCol w:w="632"/>
        <w:gridCol w:w="811"/>
        <w:gridCol w:w="329"/>
        <w:gridCol w:w="712"/>
        <w:gridCol w:w="1370"/>
        <w:gridCol w:w="372"/>
        <w:gridCol w:w="211"/>
        <w:gridCol w:w="512"/>
        <w:gridCol w:w="160"/>
      </w:tblGrid>
      <w:tr>
        <w:trPr/>
        <w:tc>
          <w:tcPr>
            <w:tcW w:w="132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Translation Adjustments</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Employee Benefit Plans</w:t>
            </w:r>
          </w:p>
        </w:tc>
        <w:tc>
          <w:tcPr>
            <w:tcW w:w="2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of Effective Cash Flow Hedges</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December 31, 2023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(424)</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current period other comprehensive (loss) income </w:t>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March 31, 2024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(446)</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Reclassifications Out of AOCI</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3"/>
        <w:gridCol w:w="477"/>
        <w:gridCol w:w="477"/>
        <w:gridCol w:w="1123"/>
        <w:gridCol w:w="609"/>
        <w:gridCol w:w="631"/>
        <w:gridCol w:w="525"/>
        <w:gridCol w:w="1011"/>
        <w:gridCol w:w="272"/>
        <w:gridCol w:w="518"/>
        <w:gridCol w:w="997"/>
        <w:gridCol w:w="269"/>
        <w:gridCol w:w="456"/>
        <w:gridCol w:w="943"/>
        <w:gridCol w:w="235"/>
        <w:gridCol w:w="109"/>
        <w:gridCol w:w="109"/>
        <w:gridCol w:w="109"/>
        <w:gridCol w:w="211"/>
        <w:gridCol w:w="418"/>
        <w:gridCol w:w="163"/>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r>
      <w:tr>
        <w:trPr/>
        <w:tc>
          <w:tcPr>
            <w:tcW w:w="38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Benefit Plans</w:t>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Actuarial Loss (Gain)</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Prior Service Benefit</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Cash Flow Hedge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line in Condensed Consolidated Statement of Operations:</w:t>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net of tax</w:t>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SUPPLEMENTAL FINANCIAL INFORMATION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accounts receivable are summarized as follows:</w:t>
      </w:r>
    </w:p>
    <w:tbl>
      <w:tblPr>
        <w:tblW w:w="5847" w:type="dxa"/>
        <w:jc w:val="center"/>
        <w:tblInd w:w="0" w:type="dxa"/>
        <w:tblLayout w:type="fixed"/>
        <w:tblCellMar>
          <w:top w:w="28" w:type="dxa"/>
          <w:left w:w="28" w:type="dxa"/>
          <w:bottom w:w="28" w:type="dxa"/>
          <w:right w:w="28" w:type="dxa"/>
        </w:tblCellMar>
      </w:tblPr>
      <w:tblGrid>
        <w:gridCol w:w="983"/>
        <w:gridCol w:w="860"/>
        <w:gridCol w:w="872"/>
        <w:gridCol w:w="332"/>
        <w:gridCol w:w="757"/>
        <w:gridCol w:w="171"/>
        <w:gridCol w:w="109"/>
        <w:gridCol w:w="109"/>
        <w:gridCol w:w="109"/>
        <w:gridCol w:w="392"/>
        <w:gridCol w:w="866"/>
        <w:gridCol w:w="287"/>
      </w:tblGrid>
      <w:tr>
        <w:trPr/>
        <w:tc>
          <w:tcPr>
            <w:tcW w:w="9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receivable, net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allowance for credit losses as of March 31, 2024 and December 31, 2023 was $28 million and $29 million, respectively. We continue to evaluate our reserves in light of the age and quality of our outstanding accounts receivable as well as risks to specific industries or countries and adjust the reserves accordingly. The impact to our allowance for credit losses for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March 31, 2024 was an expense of zero. The impact to our allowance for credit losses for the three months ended March 31, 2023 was an expense of $4 million. The Company recorded write-offs against the reserve for the three months ended March 31, 2024 of $1 million. The Company recorded write-offs against the reserve for the three months ended March 31, 2023 of $1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summarized as follows:</w:t>
      </w:r>
    </w:p>
    <w:tbl>
      <w:tblPr>
        <w:tblW w:w="6012" w:type="dxa"/>
        <w:jc w:val="left"/>
        <w:tblInd w:w="0" w:type="dxa"/>
        <w:tblLayout w:type="fixed"/>
        <w:tblCellMar>
          <w:top w:w="28" w:type="dxa"/>
          <w:left w:w="28" w:type="dxa"/>
          <w:bottom w:w="28" w:type="dxa"/>
          <w:right w:w="28" w:type="dxa"/>
        </w:tblCellMar>
      </w:tblPr>
      <w:tblGrid>
        <w:gridCol w:w="1042"/>
        <w:gridCol w:w="914"/>
        <w:gridCol w:w="924"/>
        <w:gridCol w:w="332"/>
        <w:gridCol w:w="757"/>
        <w:gridCol w:w="171"/>
        <w:gridCol w:w="109"/>
        <w:gridCol w:w="109"/>
        <w:gridCol w:w="109"/>
        <w:gridCol w:w="392"/>
        <w:gridCol w:w="866"/>
        <w:gridCol w:w="287"/>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parts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REVISED 2023 QUARTERLY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“Basis of Presentation and Summary of Significant Accounting Policies”, in February 2024, the Company identified fraudulent ACH disbursements from a Company bank account. The Company evaluated the impact of the errors and concluded they are not material to any previously issued interim consolidated financial statements. The following table sets forth the Company’s results of operations for the three months ended March 31, 2023, which have been retrospectively adjusted to reflect NCR Atleos historical financial results as discontinued operations, including the delayed countries that transferred to NCR Atleos during the three months ended March 31, 2024, as well as the revision impact of the fraudulent ACH disbursements and other immaterial errors.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ind w:left="0" w:right="0" w:firstLine="72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tbl>
      <w:tblPr>
        <w:tblW w:w="10205" w:type="dxa"/>
        <w:jc w:val="center"/>
        <w:tblInd w:w="0" w:type="dxa"/>
        <w:tblLayout w:type="fixed"/>
        <w:tblCellMar>
          <w:top w:w="28" w:type="dxa"/>
          <w:left w:w="28" w:type="dxa"/>
          <w:bottom w:w="28" w:type="dxa"/>
          <w:right w:w="28" w:type="dxa"/>
        </w:tblCellMar>
      </w:tblPr>
      <w:tblGrid>
        <w:gridCol w:w="1504"/>
        <w:gridCol w:w="1212"/>
        <w:gridCol w:w="1217"/>
        <w:gridCol w:w="109"/>
        <w:gridCol w:w="109"/>
        <w:gridCol w:w="109"/>
        <w:gridCol w:w="205"/>
        <w:gridCol w:w="495"/>
        <w:gridCol w:w="123"/>
        <w:gridCol w:w="109"/>
        <w:gridCol w:w="109"/>
        <w:gridCol w:w="109"/>
        <w:gridCol w:w="390"/>
        <w:gridCol w:w="877"/>
        <w:gridCol w:w="237"/>
        <w:gridCol w:w="109"/>
        <w:gridCol w:w="109"/>
        <w:gridCol w:w="109"/>
        <w:gridCol w:w="222"/>
        <w:gridCol w:w="499"/>
        <w:gridCol w:w="135"/>
        <w:gridCol w:w="109"/>
        <w:gridCol w:w="109"/>
        <w:gridCol w:w="109"/>
        <w:gridCol w:w="338"/>
        <w:gridCol w:w="863"/>
        <w:gridCol w:w="203"/>
        <w:gridCol w:w="109"/>
        <w:gridCol w:w="109"/>
        <w:gridCol w:w="159"/>
      </w:tblGrid>
      <w:tr>
        <w:trPr/>
        <w:tc>
          <w:tcPr>
            <w:tcW w:w="15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 March 31, 2023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recasted and revised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521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230</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291</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1,370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745</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625</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1,891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975</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916</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Cost of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456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187</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269</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969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552</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417</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292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139</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155</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49</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1,781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893</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890</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82</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26</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83</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(61)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74</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(66)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(74)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74</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attributable to noncontrolling interests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income (loss) attributable to NCR Voyix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Amounts attributable to NCR Voyix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(66)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continuing operations attributable to NCR Voyix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(70)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73</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(0.50)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0.52</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0.02</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(0.50)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0.52</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Diluted earnings per share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0.04</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0.02</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impact to the Condensed Consolidated Statements of Comprehensive Income (Loss) for the three months ended March 31, 2023, other than the impact to Net income (loss) as presented above. There is no impact to the Condensed Consolidated Statements of Changes in Stockholders’ Equity (Deficit) for the three months ended March 31, 2023 other than the impact to Retained earnings as a result of the changes in Net income (loss) as presented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net impact of the adjustments described above to the Condensed Consolidated Statements of Cash Flows to “Net cash provided by operating activities” for the three months ended March 31, 2023, as the impact to Net income (loss) is offset by the changes to operating assets and liabilities, net of effects of business acquired noted above.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170"/>
        <w:jc w:val="left"/>
        <w:rPr/>
      </w:pPr>
      <w:r>
        <w:rPr>
          <w:rFonts w:ascii="Times New Roman;sans-serif" w:hAnsi="Times New Roman;sans-serif"/>
          <w:b/>
          <w:color w:val="000000"/>
          <w:sz w:val="20"/>
        </w:rPr>
        <w:t>Item 2.    MANAGEMENT’S DISCUSSION AND ANALYSIS OF FINANCIAL CONDITION AND RESULTS OF OPERATIONS (</w:t>
      </w:r>
      <w:r>
        <w:rPr>
          <w:color w:val="000000"/>
        </w:rPr>
        <w:t>“</w:t>
      </w:r>
      <w:r>
        <w:rPr>
          <w:rFonts w:ascii="Times New Roman;sans-serif" w:hAnsi="Times New Roman;sans-serif"/>
          <w:b/>
          <w:color w:val="000000"/>
          <w:sz w:val="20"/>
        </w:rPr>
        <w:t>MD&amp;A</w:t>
      </w:r>
      <w:r>
        <w:rPr>
          <w:color w:val="000000"/>
        </w:rPr>
        <w:t>”</w:t>
      </w:r>
      <w:r>
        <w:rPr>
          <w:rFonts w:ascii="Times New Roman;sans-serif" w:hAnsi="Times New Roman;sans-serif"/>
          <w:b/>
          <w:color w:val="000000"/>
          <w:sz w:val="2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2023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within MD&amp;A is organized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This section contains background information on our company, summary of significant themes and events during the quarter as well as strategic initiatives and trends in order to provide context for management’s discussion and analysis of our financial condition and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This section contains an analysis of our results of operations presented in the accompanying condensed consolidated statements of income by comparing the results for the three months ended March 31, 2024 to the results for the three months ended March 31,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an analysis of our cash flows and a discussion of our contractual obligations at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NCR Voyix Corporation (“Voyix”, “NCR”, the “Company”, “we” or “us”), which, prior to its name change effective October 13, 2023 was known as NCR Corporation, was originally incorporated in 1884 and is a global provider of digital commerce solutions for retail stores, restaurants and financial institutions. Headquartered in Atlanta, Georgia, we are a software and services-led enterprise technology provider of run-the-store capabilities for retail and restaurants and cloud-based digital solutions for financial institutions, serving businesses of all sizes. Our software platforms, which run in the cloud and include microservices and APIs that integrate with our customers’ systems, and our As-a-Service solutions enable an end-to-end technology-based operations solution for our customers. Our offerings include digital first software and services offerings for retailers, restaurants and financial institutions, as well as payments acceptance solutions, multi-vendor connected device services, self-checkout (“SCO”) kiosks and related technologies, point of sale (“POS”) terminals and other self-service technologies. Our solutions are designed to enable restaurants, retailers, and financial institutions to seamlessly transact and engage with their customers and end users.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Completion of NCR Atleos Spin-Off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completed the spin-off (“Spin-Off”) of its ATM-focused businesses, including the self-service banking, payments &amp; network and telecommunications and technology businesses, into an independent, publicly traded company, NCR Atleos (“NCR Atleos”), on a tax-free basis. Accordingly, the historical financial results of NCR Atleos are reflected as discontinued operations in the Company’s consolidated financial statements. The 2023 presentation of discontinued operations has been updated to reflect the results of operations for the countries that transferred to NCR Atleos in the first quarter of 2024 and excludes the countries that have not yet transferred to NCR Atleos as of March 31, 2024. The results of operations for the countries that have not yet transferred will be presented as part of discontinued operations as of the date of their separation. As of December 31, 2023, there were seven countries that had not yet transferred to NCR Atleos. During the three months ended March 31, 2024, three of these delayed countries transferred to NCR Atleos, and one additional country transferred during April 2024. Refer to Note 2, “Discontinued Operations”, in the Notes to Consolidated Financial Statements in Item 1 of this Report, for additional information.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Spin-Off, the Company manages and reports the following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Retail</w:t>
      </w:r>
      <w:r>
        <w:rPr>
          <w:color w:val="000000"/>
        </w:rPr>
        <w:t xml:space="preserve"> </w:t>
      </w:r>
      <w:r>
        <w:rPr>
          <w:rFonts w:ascii="Times New Roman;sans-serif" w:hAnsi="Times New Roman;sans-serif"/>
          <w:b w:val="false"/>
          <w:color w:val="000000"/>
          <w:sz w:val="20"/>
        </w:rPr>
        <w:t>- Our Retail segment is focused on serving retailers of all sizes, from local businesses to some of the most recognized brands in the world. Our 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Restaurants</w:t>
      </w:r>
      <w:r>
        <w:rPr>
          <w:color w:val="000000"/>
        </w:rPr>
        <w:t xml:space="preserve"> </w:t>
      </w:r>
      <w:r>
        <w:rPr>
          <w:rFonts w:ascii="Times New Roman;sans-serif" w:hAnsi="Times New Roman;sans-serif"/>
          <w:b w:val="false"/>
          <w:color w:val="000000"/>
          <w:sz w:val="20"/>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E101A"/>
        </w:rPr>
        <w:t>•</w:t>
      </w:r>
      <w:r>
        <w:rPr>
          <w:rFonts w:ascii="Times New Roman;sans-serif" w:hAnsi="Times New Roman;sans-serif"/>
          <w:b w:val="false"/>
          <w:i/>
          <w:color w:val="000000"/>
          <w:sz w:val="20"/>
        </w:rPr>
        <w:t>Digital Banking</w:t>
      </w:r>
      <w:r>
        <w:rPr>
          <w:color w:val="000000"/>
        </w:rPr>
        <w:t xml:space="preserve"> </w:t>
      </w:r>
      <w:r>
        <w:rPr>
          <w:rFonts w:ascii="Times New Roman;sans-serif" w:hAnsi="Times New Roman;sans-serif"/>
          <w:b w:val="false"/>
          <w:color w:val="000000"/>
          <w:sz w:val="20"/>
        </w:rPr>
        <w:t>- Our Digital Banking segment serves financial institutions by delivering software solutions which enable a fully integrated digital experience for consumer and business customers across all channels. We serve banks and credit unions in the United States with our cloud-based software solutions including account opening, account management, transaction processing, imaging, and branch services, among others. We are unique in our ability to offer unified banking solutions across digital (application and browser), in-branch and via interactive teller machines (“ITMs”).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and certain countries which are expected to transfer to NCR Atleos during 2024, as well as commercial agreements with NCR Atleos.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SIGNIFICANT THEMES AND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were significant themes and events for the first quarter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 of $862 million, down 6% compared to the prior year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Recurring revenue, increased 1% as compared to the prior year period and comprised 62% of total consolidated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Software and services revenue, increased 2% as compared to the prior year period and comprised 77% of total consolidated revenue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of $120 million, down 3% compared to the prior year period</w:t>
      </w:r>
    </w:p>
    <w:p>
      <w:pPr>
        <w:pStyle w:val="TextBody"/>
        <w:bidi w:val="0"/>
        <w:spacing w:before="0" w:after="0"/>
        <w:jc w:val="both"/>
        <w:rPr/>
      </w:pPr>
      <w:r>
        <w:rPr/>
      </w:r>
    </w:p>
    <w:p>
      <w:pPr>
        <w:pStyle w:val="TextBody"/>
        <w:bidi w:val="0"/>
        <w:spacing w:lineRule="auto" w:line="417" w:before="6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Cyber Ransomware Incident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$36 million related to this matter in Cost of services and Selling, general and administrative expenses. As of December 31, 2023, we received $5 million of cash and expected to receive an additional $14 million of these costs to be recovered under our insurance policies, which was recorded as an insurance receivable. During the three months ended March 31, 2024, the Company incurred $6 million of additional expenses related to the cyber ransomware incident. To date, we have recovered $8 million under our insurance policies. As of March 31, 2024, we expect to receive an additional $17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ACH Disbursements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identified fraudulent automated clearing house “ACH” disbursements from a Company bank account. The cumulative amount of these disbursements total $34 million, and during the three months ended March 31, 2024, we recovered $12 million related to this matter. The Company continues to cooperate with law enforcement and its banks to attempt to recover additional amounts of the fraudulent transfers and to file insurance claims for the remainder. However, there can be no assurance that the Company will be successful in recovering additional amounts of the unauthorized ACH disbursements from the wrongdoers, the Company’s banks or the Company’s insurance providers. Although not materially impacting any previously reported periods, the misstatements resulted in the revision of interim periods in 2023.</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STRATEGIC INITIATIVES AND TRENDS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leading technology company, we seek to maintain our market position by expanding our share of wallet among existing customers and attracting new customers, leveraging our cloud-based, platform-enabled software and services offerings. We believe there is considerable opportunity to grow with new and existing customers as retailers, restaurants and financial institutions are increasingly adopting technology and support services to enhance and transform their operations. As digital adoption becomes increasingly important for businesses and financial institutions to engage with their end-users, we are investing in innovation to attract and retain customers across our three segments. Our ability to create experiences that ultimately improve end-user satisfaction through a combination of innovation and service is a competitive strength of the Company. In order to provide long-term value to all our stakeholders, we set complementary business goals and financial strategies. Execution of these is driven by the following key pillars: (i) focus on our customers; (ii) leverage our brand (and global distribution); (iii) support customers through innovation; and (iv) allocate our capital strategically through a cost-disciplined approach to operations. We also plan to continue to improve our execution to drive solid returns and to transform our business to enhance value for all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Macroeconomic Trends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multinational nature of our business, we are subject to risks and exposures from the evolving macroeconomic environment, including the effects of increased global inflationary pressures and interest rates, fluctuations in foreign currency exchange rates, political economic slowdowns or recessions and geopolitical pressures, including the unknown impacts of current and future trade regulations. We continuously monitor the direct and indirect impacts of these circumstances on our business and financial results, as well as the overall global economy and geopolitical landscape. For example, foreign currency exchange rate fluctuations may negatively impact our financial results during the reporting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of trends, uncertainties and other factors that could affect our operating results, refer to Part I, Item 1A, “Risk Factors”, contained in our 2023 Form 10-K and subsequent filings we make within the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Results from Operations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 the three months ended March 31, 2024 compared to the three months ended March 31,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results for the three months ended March 31, the relative percentage that those amounts represent to revenue, and the change in those amounts year-over-year.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8"/>
        <w:gridCol w:w="1038"/>
        <w:gridCol w:w="1004"/>
        <w:gridCol w:w="109"/>
        <w:gridCol w:w="109"/>
        <w:gridCol w:w="109"/>
        <w:gridCol w:w="245"/>
        <w:gridCol w:w="560"/>
        <w:gridCol w:w="126"/>
        <w:gridCol w:w="126"/>
        <w:gridCol w:w="126"/>
        <w:gridCol w:w="126"/>
        <w:gridCol w:w="245"/>
        <w:gridCol w:w="543"/>
        <w:gridCol w:w="126"/>
        <w:gridCol w:w="109"/>
        <w:gridCol w:w="109"/>
        <w:gridCol w:w="109"/>
        <w:gridCol w:w="315"/>
        <w:gridCol w:w="316"/>
        <w:gridCol w:w="340"/>
        <w:gridCol w:w="122"/>
        <w:gridCol w:w="122"/>
        <w:gridCol w:w="122"/>
        <w:gridCol w:w="307"/>
        <w:gridCol w:w="309"/>
        <w:gridCol w:w="306"/>
        <w:gridCol w:w="122"/>
        <w:gridCol w:w="122"/>
        <w:gridCol w:w="122"/>
        <w:gridCol w:w="294"/>
        <w:gridCol w:w="289"/>
        <w:gridCol w:w="860"/>
      </w:tblGrid>
      <w:tr>
        <w:trPr/>
        <w:tc>
          <w:tcPr>
            <w:tcW w:w="121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w:t>
            </w: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w:t>
            </w: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total revenue, except for product gross margin and service gross margin, which are divided by the related component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Strategic Financial Metrics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key strategic financial metrics for the three months ended March 31, the relative percentage that those amounts represent to total revenue, and the change in those amounts year-over-year.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Recurring revenue as a percentage of total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8"/>
        <w:gridCol w:w="913"/>
        <w:gridCol w:w="914"/>
        <w:gridCol w:w="109"/>
        <w:gridCol w:w="109"/>
        <w:gridCol w:w="109"/>
        <w:gridCol w:w="252"/>
        <w:gridCol w:w="576"/>
        <w:gridCol w:w="130"/>
        <w:gridCol w:w="130"/>
        <w:gridCol w:w="130"/>
        <w:gridCol w:w="130"/>
        <w:gridCol w:w="252"/>
        <w:gridCol w:w="558"/>
        <w:gridCol w:w="130"/>
        <w:gridCol w:w="109"/>
        <w:gridCol w:w="109"/>
        <w:gridCol w:w="109"/>
        <w:gridCol w:w="315"/>
        <w:gridCol w:w="316"/>
        <w:gridCol w:w="395"/>
        <w:gridCol w:w="142"/>
        <w:gridCol w:w="142"/>
        <w:gridCol w:w="142"/>
        <w:gridCol w:w="307"/>
        <w:gridCol w:w="309"/>
        <w:gridCol w:w="355"/>
        <w:gridCol w:w="142"/>
        <w:gridCol w:w="142"/>
        <w:gridCol w:w="142"/>
        <w:gridCol w:w="313"/>
        <w:gridCol w:w="312"/>
        <w:gridCol w:w="924"/>
      </w:tblGrid>
      <w:tr>
        <w:trPr/>
        <w:tc>
          <w:tcPr>
            <w:tcW w:w="10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Recurring revenue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62.2</w:t>
            </w: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w:t>
            </w: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Revenue by type</w:t>
      </w:r>
    </w:p>
    <w:tbl>
      <w:tblPr>
        <w:tblW w:w="9938"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54"/>
        <w:gridCol w:w="580"/>
        <w:gridCol w:w="131"/>
        <w:gridCol w:w="131"/>
        <w:gridCol w:w="131"/>
        <w:gridCol w:w="131"/>
        <w:gridCol w:w="254"/>
        <w:gridCol w:w="562"/>
        <w:gridCol w:w="131"/>
        <w:gridCol w:w="109"/>
        <w:gridCol w:w="109"/>
        <w:gridCol w:w="109"/>
        <w:gridCol w:w="315"/>
        <w:gridCol w:w="316"/>
        <w:gridCol w:w="399"/>
        <w:gridCol w:w="144"/>
        <w:gridCol w:w="144"/>
        <w:gridCol w:w="144"/>
        <w:gridCol w:w="307"/>
        <w:gridCol w:w="309"/>
        <w:gridCol w:w="359"/>
        <w:gridCol w:w="144"/>
        <w:gridCol w:w="144"/>
        <w:gridCol w:w="144"/>
        <w:gridCol w:w="317"/>
        <w:gridCol w:w="317"/>
        <w:gridCol w:w="92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77.3</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both"/>
        <w:rPr/>
      </w:pPr>
      <w:r>
        <w:rPr>
          <w:rFonts w:ascii="Times New Roman;sans-serif" w:hAnsi="Times New Roman;sans-serif"/>
          <w:b/>
          <w:i/>
          <w:color w:val="000000"/>
          <w:sz w:val="20"/>
        </w:rPr>
        <w:t>Net income (loss) from continuing operations attributable to NCR Voyix and Adjusted EBITDA</w:t>
      </w:r>
      <w:r>
        <w:rPr>
          <w:rFonts w:ascii="Times New Roman;sans-serif" w:hAnsi="Times New Roman;sans-serif"/>
          <w:b/>
          <w:i/>
          <w:color w:val="000000"/>
          <w:sz w:val="13"/>
        </w:rPr>
        <w:t>(2)</w:t>
      </w:r>
      <w:r>
        <w:rPr>
          <w:color w:val="000000"/>
        </w:rPr>
        <w:t xml:space="preserve"> </w:t>
      </w:r>
      <w:r>
        <w:rPr>
          <w:rFonts w:ascii="Times New Roman;sans-serif" w:hAnsi="Times New Roman;sans-serif"/>
          <w:b/>
          <w:i/>
          <w:color w:val="000000"/>
          <w:sz w:val="20"/>
        </w:rPr>
        <w:t>as a percentage of total 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4"/>
        <w:gridCol w:w="1180"/>
        <w:gridCol w:w="1187"/>
        <w:gridCol w:w="109"/>
        <w:gridCol w:w="109"/>
        <w:gridCol w:w="109"/>
        <w:gridCol w:w="234"/>
        <w:gridCol w:w="534"/>
        <w:gridCol w:w="120"/>
        <w:gridCol w:w="120"/>
        <w:gridCol w:w="120"/>
        <w:gridCol w:w="120"/>
        <w:gridCol w:w="234"/>
        <w:gridCol w:w="517"/>
        <w:gridCol w:w="120"/>
        <w:gridCol w:w="109"/>
        <w:gridCol w:w="109"/>
        <w:gridCol w:w="109"/>
        <w:gridCol w:w="262"/>
        <w:gridCol w:w="264"/>
        <w:gridCol w:w="353"/>
        <w:gridCol w:w="127"/>
        <w:gridCol w:w="127"/>
        <w:gridCol w:w="127"/>
        <w:gridCol w:w="254"/>
        <w:gridCol w:w="257"/>
        <w:gridCol w:w="318"/>
        <w:gridCol w:w="127"/>
        <w:gridCol w:w="127"/>
        <w:gridCol w:w="127"/>
        <w:gridCol w:w="256"/>
        <w:gridCol w:w="250"/>
        <w:gridCol w:w="745"/>
      </w:tblGrid>
      <w:tr>
        <w:trPr/>
        <w:tc>
          <w:tcPr>
            <w:tcW w:w="134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attributable to NCR Voyix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Refer to our definition of Adjusted EBITDA in the section entitled “Non-GAAP Financial Measures and Use of Certain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 and Use of Certain Terms:</w:t>
      </w:r>
    </w:p>
    <w:p>
      <w:pPr>
        <w:pStyle w:val="TextBody"/>
        <w:bidi w:val="0"/>
        <w:spacing w:before="0" w:after="0"/>
        <w:jc w:val="both"/>
        <w:rPr/>
      </w:pPr>
      <w:r>
        <w:rPr/>
      </w:r>
    </w:p>
    <w:p>
      <w:pPr>
        <w:pStyle w:val="TextBody"/>
        <w:bidi w:val="0"/>
        <w:spacing w:lineRule="auto" w:line="288" w:before="0" w:after="60"/>
        <w:jc w:val="both"/>
        <w:rPr/>
      </w:pPr>
      <w:r>
        <w:rPr>
          <w:rFonts w:ascii="Times New Roman;sans-serif" w:hAnsi="Times New Roman;sans-serif"/>
          <w:b w:val="false"/>
          <w:i/>
          <w:color w:val="000000"/>
          <w:sz w:val="20"/>
        </w:rPr>
        <w:t xml:space="preserve">Adjusted Earnings Before Interest, Taxes, Depreciation and Amortization (“Adjusted EBITDA”) </w:t>
      </w:r>
      <w:r>
        <w:rPr>
          <w:rFonts w:ascii="Times New Roman;sans-serif" w:hAnsi="Times New Roman;sans-serif"/>
          <w:b w:val="false"/>
          <w:color w:val="000000"/>
          <w:sz w:val="20"/>
        </w:rPr>
        <w:t>Our management uses the non-GAAP measure Adjusted 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other income (expense); plus pension mark-to-market adjustments and other special items, including amortization of acquisition-related intangibles, separation-related costs, cyber ransomware incident recovery costs, net of insurance recoveries, fraudulent ACH disbursements costs, net of recoveries, foreign currency devaluation, and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25"/>
        <w:gridCol w:w="2287"/>
        <w:gridCol w:w="2300"/>
        <w:gridCol w:w="252"/>
        <w:gridCol w:w="576"/>
        <w:gridCol w:w="130"/>
        <w:gridCol w:w="130"/>
        <w:gridCol w:w="130"/>
        <w:gridCol w:w="130"/>
        <w:gridCol w:w="252"/>
        <w:gridCol w:w="558"/>
        <w:gridCol w:w="130"/>
        <w:gridCol w:w="109"/>
        <w:gridCol w:w="109"/>
        <w:gridCol w:w="109"/>
        <w:gridCol w:w="109"/>
        <w:gridCol w:w="109"/>
        <w:gridCol w:w="160"/>
      </w:tblGrid>
      <w:tr>
        <w:trPr/>
        <w:tc>
          <w:tcPr>
            <w:tcW w:w="262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continuing operations attributable to NCR Voyix (GAAP)</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(excluding acquisition related amortization of intangibles)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amortization of intangibles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Transformation and restructuring costs</w:t>
            </w:r>
            <w:r>
              <w:rPr>
                <w:rFonts w:ascii="Times New Roman;sans-serif" w:hAnsi="Times New Roman;sans-serif"/>
                <w:b w:val="false"/>
                <w:color w:val="000000"/>
                <w:sz w:val="13"/>
              </w:rPr>
              <w:t>(1)</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Separation costs</w:t>
            </w:r>
            <w:r>
              <w:rPr>
                <w:rFonts w:ascii="Times New Roman;sans-serif" w:hAnsi="Times New Roman;sans-serif"/>
                <w:b w:val="false"/>
                <w:color w:val="000000"/>
                <w:sz w:val="13"/>
              </w:rPr>
              <w:t>(3)</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businesses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devaluation</w:t>
            </w:r>
            <w:r>
              <w:rPr>
                <w:rFonts w:ascii="Times New Roman;sans-serif" w:hAnsi="Times New Roman;sans-serif"/>
                <w:b w:val="false"/>
                <w:color w:val="000000"/>
                <w:sz w:val="13"/>
              </w:rPr>
              <w:t>(5)</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Fraudulent ACH disbursements</w:t>
            </w:r>
            <w:r>
              <w:rPr>
                <w:rFonts w:ascii="Times New Roman;sans-serif" w:hAnsi="Times New Roman;sans-serif"/>
                <w:b w:val="false"/>
                <w:color w:val="000000"/>
                <w:sz w:val="13"/>
              </w:rPr>
              <w:t>(2)</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Cyber ransomware incident recovery costs</w:t>
            </w:r>
            <w:r>
              <w:rPr>
                <w:rFonts w:ascii="Times New Roman;sans-serif" w:hAnsi="Times New Roman;sans-serif"/>
                <w:b w:val="false"/>
                <w:color w:val="000000"/>
                <w:sz w:val="13"/>
              </w:rPr>
              <w:t>(4)</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Represents integration, severance, and other exit and disposal costs, as well as professional fees related to strategic initiatives, which are considered non-operational in nature.</w:t>
      </w:r>
    </w:p>
    <w:p>
      <w:pPr>
        <w:pStyle w:val="TextBody"/>
        <w:bidi w:val="0"/>
        <w:spacing w:lineRule="auto" w:line="288" w:before="0" w:after="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costs incurred as a result of the Spin-Off. Professional fees to effect the spin-off of NCR Atleos including separation management, organizational design, and legal fees have been classified within discontinued operations during the three months ended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gains and losses recognized during the quarter due to changes in valuation of the Lebanese pound and the Egyptian pound.</w:t>
      </w:r>
    </w:p>
    <w:p>
      <w:pPr>
        <w:pStyle w:val="TextBody"/>
        <w:bidi w:val="0"/>
        <w:spacing w:lineRule="auto" w:line="288" w:before="0" w:after="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company identified fraudulent ACH disbursements from a company bank account, net of recoveries. Additional details regarding this item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w:t>
      </w:r>
    </w:p>
    <w:tbl>
      <w:tblPr>
        <w:tblW w:w="8827"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54"/>
        <w:gridCol w:w="580"/>
        <w:gridCol w:w="131"/>
        <w:gridCol w:w="131"/>
        <w:gridCol w:w="131"/>
        <w:gridCol w:w="131"/>
        <w:gridCol w:w="254"/>
        <w:gridCol w:w="562"/>
        <w:gridCol w:w="131"/>
        <w:gridCol w:w="109"/>
        <w:gridCol w:w="109"/>
        <w:gridCol w:w="109"/>
        <w:gridCol w:w="315"/>
        <w:gridCol w:w="316"/>
        <w:gridCol w:w="399"/>
        <w:gridCol w:w="144"/>
        <w:gridCol w:w="144"/>
        <w:gridCol w:w="144"/>
        <w:gridCol w:w="307"/>
        <w:gridCol w:w="309"/>
        <w:gridCol w:w="359"/>
        <w:gridCol w:w="144"/>
        <w:gridCol w:w="144"/>
        <w:gridCol w:w="144"/>
        <w:gridCol w:w="317"/>
        <w:gridCol w:w="317"/>
        <w:gridCol w:w="92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includes our hardware and software license revenue streams. Service revenue includes hardware and software maintenance revenue, implementation services revenue, cloud revenue, payments processing revenue as well as professional services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w:t>
      </w:r>
      <w:r>
        <w:rPr>
          <w:color w:val="000000"/>
        </w:rPr>
        <w:t xml:space="preserve"> </w:t>
      </w:r>
      <w:r>
        <w:rPr>
          <w:rFonts w:ascii="Times New Roman;sans-serif" w:hAnsi="Times New Roman;sans-serif"/>
          <w:b w:val="false"/>
          <w:i/>
          <w:color w:val="000000"/>
          <w:sz w:val="20"/>
        </w:rPr>
        <w:t>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decreased 6% for the three months ended March 31, 2024 compared to the three months ended March 31, 2023. Product revenue for the three months ended March 31, 2024 decreased 20% compared to the three months ended March 31, 2023 due to a decline in SCO and POS hardware revenues partially offset by an increase in software license revenue. Service revenue for the three months ended March 31, 2024 increased 1% compared to the three months ended March 31, 2023 due to growth in cloud services revenue, professional services revenue and hardware maintenance revenue, partially offset by declines in payments processing services revenue due to the divestitures at the end of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Gross Margin</w:t>
      </w:r>
    </w:p>
    <w:tbl>
      <w:tblPr>
        <w:tblW w:w="8806"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54"/>
        <w:gridCol w:w="580"/>
        <w:gridCol w:w="131"/>
        <w:gridCol w:w="131"/>
        <w:gridCol w:w="131"/>
        <w:gridCol w:w="131"/>
        <w:gridCol w:w="254"/>
        <w:gridCol w:w="562"/>
        <w:gridCol w:w="131"/>
        <w:gridCol w:w="109"/>
        <w:gridCol w:w="109"/>
        <w:gridCol w:w="109"/>
        <w:gridCol w:w="263"/>
        <w:gridCol w:w="263"/>
        <w:gridCol w:w="350"/>
        <w:gridCol w:w="126"/>
        <w:gridCol w:w="126"/>
        <w:gridCol w:w="126"/>
        <w:gridCol w:w="255"/>
        <w:gridCol w:w="256"/>
        <w:gridCol w:w="315"/>
        <w:gridCol w:w="126"/>
        <w:gridCol w:w="126"/>
        <w:gridCol w:w="126"/>
        <w:gridCol w:w="317"/>
        <w:gridCol w:w="317"/>
        <w:gridCol w:w="9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the related component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shd w:fill="FFFFFF" w:val="clear"/>
        </w:rPr>
        <w:t xml:space="preserve">ross margin as a percentage of revenue in </w:t>
      </w:r>
      <w:r>
        <w:rPr>
          <w:rFonts w:ascii="Times New Roman;sans-serif" w:hAnsi="Times New Roman;sans-serif"/>
          <w:b w:val="false"/>
          <w:color w:val="000000"/>
          <w:sz w:val="20"/>
        </w:rPr>
        <w:t>the three months ended</w:t>
      </w:r>
      <w:r>
        <w:rPr>
          <w:color w:val="000000"/>
          <w:shd w:fill="FFFFFF" w:val="clear"/>
        </w:rPr>
        <w:t xml:space="preserve">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22.7%</w:t>
      </w:r>
      <w:r>
        <w:rPr>
          <w:color w:val="000000"/>
          <w:shd w:fill="FFFFFF" w:val="clear"/>
        </w:rPr>
        <w:t xml:space="preserve">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25.1%</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the three months ended</w:t>
      </w:r>
      <w:r>
        <w:rPr>
          <w:color w:val="000000"/>
          <w:shd w:fill="FFFFFF" w:val="clear"/>
        </w:rPr>
        <w:t xml:space="preserve"> </w:t>
      </w:r>
      <w:r>
        <w:rPr>
          <w:rFonts w:ascii="Times New Roman;sans-serif" w:hAnsi="Times New Roman;sans-serif"/>
          <w:b w:val="false"/>
          <w:color w:val="000000"/>
          <w:sz w:val="20"/>
        </w:rPr>
        <w:t>March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Gross margin for</w:t>
      </w:r>
      <w:r>
        <w:rPr>
          <w:color w:val="000000"/>
          <w:shd w:fill="FFFFFF" w:val="clear"/>
        </w:rPr>
        <w:t xml:space="preserve"> </w:t>
      </w:r>
      <w:r>
        <w:rPr>
          <w:rFonts w:ascii="Times New Roman;sans-serif" w:hAnsi="Times New Roman;sans-serif"/>
          <w:b w:val="false"/>
          <w:color w:val="000000"/>
          <w:sz w:val="20"/>
        </w:rPr>
        <w:t xml:space="preserve">the three months ended March 31, 2024 included $10 million of transformation and restructuring costs, $3 million of stock-based compensation expense and $4 million of amortization of acquisition-related intangible assets. Gross margin for the three months ended March 31, 2023 included $3 million of stock-based compensation expense and $10 million of amortization of acquisition-related intangible assets. Excluding these items, gross margin as a percentage of revenue decreased from 26.5% in 2023 to 24.7% in 2024 mainly related to a decline in gross margin related to payments processing services due to the divestitures at the end of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0"/>
        <w:gridCol w:w="1045"/>
        <w:gridCol w:w="1055"/>
        <w:gridCol w:w="109"/>
        <w:gridCol w:w="109"/>
        <w:gridCol w:w="109"/>
        <w:gridCol w:w="246"/>
        <w:gridCol w:w="562"/>
        <w:gridCol w:w="127"/>
        <w:gridCol w:w="127"/>
        <w:gridCol w:w="127"/>
        <w:gridCol w:w="127"/>
        <w:gridCol w:w="246"/>
        <w:gridCol w:w="544"/>
        <w:gridCol w:w="127"/>
        <w:gridCol w:w="109"/>
        <w:gridCol w:w="109"/>
        <w:gridCol w:w="109"/>
        <w:gridCol w:w="263"/>
        <w:gridCol w:w="263"/>
        <w:gridCol w:w="381"/>
        <w:gridCol w:w="137"/>
        <w:gridCol w:w="137"/>
        <w:gridCol w:w="137"/>
        <w:gridCol w:w="255"/>
        <w:gridCol w:w="256"/>
        <w:gridCol w:w="343"/>
        <w:gridCol w:w="137"/>
        <w:gridCol w:w="137"/>
        <w:gridCol w:w="137"/>
        <w:gridCol w:w="296"/>
        <w:gridCol w:w="291"/>
        <w:gridCol w:w="858"/>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w:t>
            </w: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Selling, general, and administrative expenses were $132 million in the three months ended March 31, 2024, compared to $155 million in the three months ended</w:t>
      </w:r>
      <w:r>
        <w:rPr>
          <w:color w:val="000000"/>
          <w:shd w:fill="FFFFFF" w:val="clear"/>
        </w:rPr>
        <w:t xml:space="preserve"> </w:t>
      </w:r>
      <w:r>
        <w:rPr>
          <w:rFonts w:ascii="Times New Roman;sans-serif" w:hAnsi="Times New Roman;sans-serif"/>
          <w:b w:val="false"/>
          <w:color w:val="000000"/>
          <w:sz w:val="20"/>
        </w:rPr>
        <w:t xml:space="preserve">March 31, 2023. As a percentage of revenue, selling, general and administrative expenses were 15.3% in the three months ended March 31, 2024 compared to 16.9% in the same period of 2023. In the three months ended March 31, 2024, selling, general and administrative expenses included $18 million of transformation and restructuring costs, $7 million of stock-based compensation expense, $10 million of amortization of acquisition-related intangible assets and $1 million of separation-related costs, offset by $1 million in net recoveries related to the ACH fraud disbursements matter. In the three months ended March 31, 2023, selling, general and administrative expenses included $3 million of transformation and restructuring costs, $2 million of fraudulent ACH disbursement costs, $20 million of stock-based compensation expense, $7 million of amortization of acquisition-related intangible assets, and $2 million of separation-related costs. Excluding these items, selling, general and administrative expenses decreased as a percentage of revenue from 13.2% in 2023 to 11.3% in 2024 due to cost mitigation actions implemented during the three months ended March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before="0" w:after="0"/>
        <w:jc w:val="left"/>
        <w:rPr/>
      </w:pPr>
      <w:r>
        <w:rPr/>
      </w:r>
    </w:p>
    <w:tbl>
      <w:tblPr>
        <w:tblW w:w="10058"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86"/>
        <w:gridCol w:w="509"/>
        <w:gridCol w:w="147"/>
        <w:gridCol w:w="147"/>
        <w:gridCol w:w="147"/>
        <w:gridCol w:w="147"/>
        <w:gridCol w:w="286"/>
        <w:gridCol w:w="489"/>
        <w:gridCol w:w="147"/>
        <w:gridCol w:w="109"/>
        <w:gridCol w:w="109"/>
        <w:gridCol w:w="109"/>
        <w:gridCol w:w="210"/>
        <w:gridCol w:w="211"/>
        <w:gridCol w:w="399"/>
        <w:gridCol w:w="144"/>
        <w:gridCol w:w="144"/>
        <w:gridCol w:w="144"/>
        <w:gridCol w:w="203"/>
        <w:gridCol w:w="203"/>
        <w:gridCol w:w="359"/>
        <w:gridCol w:w="144"/>
        <w:gridCol w:w="144"/>
        <w:gridCol w:w="144"/>
        <w:gridCol w:w="317"/>
        <w:gridCol w:w="317"/>
        <w:gridCol w:w="92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Research and development expenses were $60 million in the three months ended March 31, 2024, compared to $49 million in the three months ended</w:t>
      </w:r>
      <w:r>
        <w:rPr>
          <w:color w:val="000000"/>
          <w:shd w:fill="FFFFFF" w:val="clear"/>
        </w:rPr>
        <w:t xml:space="preserve"> </w:t>
      </w:r>
      <w:r>
        <w:rPr>
          <w:rFonts w:ascii="Times New Roman;sans-serif" w:hAnsi="Times New Roman;sans-serif"/>
          <w:b w:val="false"/>
          <w:color w:val="000000"/>
          <w:sz w:val="20"/>
        </w:rPr>
        <w:t xml:space="preserve">March 31, 2023. As a percentage of revenue, research and development costs were 7.0% and 5.3% in the three months ended March 31, 2024 and 2023, respectively. In the three months ended March 31, 2024, research and development costs included $2 million of transformation and restructuring costs, $3 million of stock-based compensation expense and $4 million of separation-related costs. In the three months ended March 31, 2023, research and development expenses included $2 million of stock-based compensation expense. Excluding these items, research and development expenses increased as a percentage of revenue from 5.1% in 2023 to 5.9% in 2024 as the Company continues investing in research and development activities.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both"/>
        <w:rPr/>
      </w:pPr>
      <w:r>
        <w:rPr/>
      </w:r>
    </w:p>
    <w:tbl>
      <w:tblPr>
        <w:tblW w:w="5944"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86"/>
        <w:gridCol w:w="509"/>
        <w:gridCol w:w="147"/>
        <w:gridCol w:w="147"/>
        <w:gridCol w:w="147"/>
        <w:gridCol w:w="147"/>
        <w:gridCol w:w="286"/>
        <w:gridCol w:w="489"/>
        <w:gridCol w:w="147"/>
        <w:gridCol w:w="109"/>
        <w:gridCol w:w="109"/>
        <w:gridCol w:w="109"/>
        <w:gridCol w:w="317"/>
        <w:gridCol w:w="317"/>
        <w:gridCol w:w="92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$39 million compared to $83 million in the three months ended March 31, 2024 and 2023, respectively. Interest expense is primarily related to our senior unsecured notes and borrowings under the Senior Secured Credit Facility. The decrease in interest expense was due to the decrease in total debt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expense of $20 million and $4 million in the three months ended March 31, 2024 and 2023, respectively, with the components reflected in the following table:</w:t>
      </w:r>
    </w:p>
    <w:tbl>
      <w:tblPr>
        <w:tblW w:w="8544" w:type="dxa"/>
        <w:jc w:val="left"/>
        <w:tblInd w:w="0" w:type="dxa"/>
        <w:tblLayout w:type="fixed"/>
        <w:tblCellMar>
          <w:top w:w="28" w:type="dxa"/>
          <w:left w:w="28" w:type="dxa"/>
          <w:bottom w:w="28" w:type="dxa"/>
          <w:right w:w="28" w:type="dxa"/>
        </w:tblCellMar>
      </w:tblPr>
      <w:tblGrid>
        <w:gridCol w:w="1847"/>
        <w:gridCol w:w="1623"/>
        <w:gridCol w:w="1630"/>
        <w:gridCol w:w="109"/>
        <w:gridCol w:w="109"/>
        <w:gridCol w:w="109"/>
        <w:gridCol w:w="281"/>
        <w:gridCol w:w="581"/>
        <w:gridCol w:w="145"/>
        <w:gridCol w:w="145"/>
        <w:gridCol w:w="145"/>
        <w:gridCol w:w="145"/>
        <w:gridCol w:w="281"/>
        <w:gridCol w:w="441"/>
        <w:gridCol w:w="145"/>
        <w:gridCol w:w="109"/>
        <w:gridCol w:w="109"/>
        <w:gridCol w:w="109"/>
        <w:gridCol w:w="109"/>
        <w:gridCol w:w="109"/>
        <w:gridCol w:w="109"/>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fluctuations and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fluctuations and foreign exchange contracts within Other income (expense), net, includes a net loss of $15 million due to the impact of changes in the Lebanese pound and the Egyptian pound during the three months ended March 31, 2024. As of March 31, 2024, the operations of Lebanon and Egypt have transferred to NCR Atleos; however, we retained certain assets and liabilities under the separation and disclosure agreement which were impacted by the changes in foreign currency fluctuations.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tbl>
      <w:tblPr>
        <w:tblW w:w="5899"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293"/>
        <w:gridCol w:w="607"/>
        <w:gridCol w:w="151"/>
        <w:gridCol w:w="151"/>
        <w:gridCol w:w="151"/>
        <w:gridCol w:w="151"/>
        <w:gridCol w:w="293"/>
        <w:gridCol w:w="356"/>
        <w:gridCol w:w="151"/>
        <w:gridCol w:w="109"/>
        <w:gridCol w:w="109"/>
        <w:gridCol w:w="109"/>
        <w:gridCol w:w="109"/>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provisions for interim (quarterly) periods are based on an estimated annual effective income tax rate calculated separately from the effect of significant, infrequent or unusual items. Income tax benefit from continuing operations was $14 million for the three months ended March 31, 2024 compared to income tax expense of $5 million for the three months ended March 31, 2023. The change was primarily driven by a favorable mix of earnings between our U.S. and non-U.S. jurisdictions in the three months ended March 31, 2024 compared to the prior year. Additionally, the Company did not recognize any material discrete tax expenses or benefits in either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(Loss) from Discontinued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recognize a gain or loss from discontinued operations, net of tax, during the three months ended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income from discontinued operations, net of tax, of $74 million in the three months ended March 31, 2023 related to income from discontinued operations, net of tax, for NCR Atleos. Refer to Note 2, “Discontinued Operations”, of the Notes to Condensed Consolidated Financial Statements,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and Adjusted EBITDA by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and reports its businesses in the following segments: Retail, Restaurants (formerly reported as Hospitality), and Digital Banking.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certain countries which are expected to transfer to NCR Atleos during 2024, and commercial agreements with NCR Atleos.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segment revenue and Adjusted EBITDA for the three months ended March 31, the relative percentage that those amounts represent to segment revenue, and the change in those amounts year-over-year.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0"/>
        <w:gridCol w:w="862"/>
        <w:gridCol w:w="777"/>
        <w:gridCol w:w="109"/>
        <w:gridCol w:w="109"/>
        <w:gridCol w:w="109"/>
        <w:gridCol w:w="252"/>
        <w:gridCol w:w="577"/>
        <w:gridCol w:w="130"/>
        <w:gridCol w:w="130"/>
        <w:gridCol w:w="130"/>
        <w:gridCol w:w="130"/>
        <w:gridCol w:w="252"/>
        <w:gridCol w:w="559"/>
        <w:gridCol w:w="130"/>
        <w:gridCol w:w="109"/>
        <w:gridCol w:w="109"/>
        <w:gridCol w:w="109"/>
        <w:gridCol w:w="315"/>
        <w:gridCol w:w="316"/>
        <w:gridCol w:w="348"/>
        <w:gridCol w:w="125"/>
        <w:gridCol w:w="125"/>
        <w:gridCol w:w="125"/>
        <w:gridCol w:w="307"/>
        <w:gridCol w:w="309"/>
        <w:gridCol w:w="313"/>
        <w:gridCol w:w="125"/>
        <w:gridCol w:w="125"/>
        <w:gridCol w:w="125"/>
        <w:gridCol w:w="331"/>
        <w:gridCol w:w="331"/>
        <w:gridCol w:w="831"/>
        <w:gridCol w:w="109"/>
        <w:gridCol w:w="109"/>
        <w:gridCol w:w="109"/>
        <w:gridCol w:w="164"/>
      </w:tblGrid>
      <w:tr>
        <w:trPr/>
        <w:tc>
          <w:tcPr>
            <w:tcW w:w="98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97.5</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total revenue, except for Adjusted EBITDA, which are divided by the related component of revenue.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Retail revenue decreased 7% for the three months ended March 31, 2024 compared to the prior year period. For the three months ended March 31, 2024, the decrease in revenue is due to a decrease in hardware revenue partially offset by an increase in software and services revenue, mainly for software licenses and professional services revenues.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Restaurants revenue decreased 4% for the three months ended March 31, 2024 compared to the prior year period. For the three months ended March 31, 2024, the decrease in revenue is due to a decrease in hardware revenue partially offset by an increase in software and services revenue, mainly for payment processing services and software license revenues.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Banking revenue increased 7% for the three months ended March 31, 2024, compared to the prior year periods, due to an increase in recurring cloud services, professional services and software license revenues.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Segment Adjusted EBITDA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March 31, 2024 compared to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Retail and Restaurants Adjusted EBITDA increased 4% and 25% for the three months ended March 31, 2024, respectively, compared to the prior year period. Software and services revenue increased as a percentage of total revenue, from 62% and 73% in the three months ended March 31, 2023 to 70% and 77% in the three months ended March 31, 2024 for Retail and Restaurants, respectively. This increase in favorable software and services revenue mix, along with cost mitigation actions around cost of goods and service delivery costs taken during the quarter caused an increase in overall EBITDA performance for each segment.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Banking Adjusted EBITDA increased 10% for the three months ended March 31, 2024 compared to the prior year period due to the revenue growth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in the ordinary course of business are to: (i) fund normal operating expenses; (ii) meet the interest and principal requirements of our outstanding indebtedness, including finance leases; (iii) fund capital expenditures and operating lease payments; (iv) remediation payments related to environmental matters; (v) meet our expected pension and postemployment plan contributions; and (vi) payments related to transformation and restructuring initiatives. We believe these needs will be satisfied in both the short and long term based on our current cash position, cash flows generated by our operations, and existing financing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cash and cash equivalents totaled $246 million and our total debt was $2.7 billion. Our borrowing capacity under our senior secured credit facility was $282 million as of March 31, 2024.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activities, investing activities and financing activities for the three months ended March 31, 2023 and 2024: </w:t>
      </w:r>
    </w:p>
    <w:tbl>
      <w:tblPr>
        <w:tblW w:w="6566" w:type="dxa"/>
        <w:jc w:val="left"/>
        <w:tblInd w:w="0" w:type="dxa"/>
        <w:tblLayout w:type="fixed"/>
        <w:tblCellMar>
          <w:top w:w="28" w:type="dxa"/>
          <w:left w:w="28" w:type="dxa"/>
          <w:bottom w:w="28" w:type="dxa"/>
          <w:right w:w="28" w:type="dxa"/>
        </w:tblCellMar>
      </w:tblPr>
      <w:tblGrid>
        <w:gridCol w:w="1524"/>
        <w:gridCol w:w="1340"/>
        <w:gridCol w:w="1350"/>
        <w:gridCol w:w="259"/>
        <w:gridCol w:w="536"/>
        <w:gridCol w:w="134"/>
        <w:gridCol w:w="134"/>
        <w:gridCol w:w="134"/>
        <w:gridCol w:w="134"/>
        <w:gridCol w:w="259"/>
        <w:gridCol w:w="573"/>
        <w:gridCol w:w="189"/>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information related to cash flows from discontinued operations related to the Spin-Off of NCR Atleos: </w:t>
      </w:r>
    </w:p>
    <w:tbl>
      <w:tblPr>
        <w:tblW w:w="6565" w:type="dxa"/>
        <w:jc w:val="left"/>
        <w:tblInd w:w="0" w:type="dxa"/>
        <w:tblLayout w:type="fixed"/>
        <w:tblCellMar>
          <w:top w:w="28" w:type="dxa"/>
          <w:left w:w="28" w:type="dxa"/>
          <w:bottom w:w="28" w:type="dxa"/>
          <w:right w:w="28" w:type="dxa"/>
        </w:tblCellMar>
      </w:tblPr>
      <w:tblGrid>
        <w:gridCol w:w="1524"/>
        <w:gridCol w:w="1340"/>
        <w:gridCol w:w="1350"/>
        <w:gridCol w:w="263"/>
        <w:gridCol w:w="507"/>
        <w:gridCol w:w="136"/>
        <w:gridCol w:w="136"/>
        <w:gridCol w:w="136"/>
        <w:gridCol w:w="136"/>
        <w:gridCol w:w="263"/>
        <w:gridCol w:w="582"/>
        <w:gridCol w:w="192"/>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operations of NCR Atleos through date of separation versus full quarter of NCR Atleos operations for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discontinued operations related to environmental obligations were zero and $6 million for the three months ended March 31,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Cash used in operating activities was $35 million in the three months ended March 31, 2024 compared to cash provided by operating activities of $311 million in the three months ended March 31, 2023. The decrease in cash provided by operating activities was driven by the net loss in the three months ended March 31, 2024 and movement in the net working capital accounts, as well as employee related payments.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Capital Expenditures and Other Investing Activities</w:t>
      </w:r>
      <w:r>
        <w:rPr>
          <w:color w:val="000000"/>
        </w:rPr>
        <w:t xml:space="preserve"> </w:t>
      </w:r>
      <w:r>
        <w:rPr>
          <w:rFonts w:ascii="Times New Roman;sans-serif" w:hAnsi="Times New Roman;sans-serif"/>
          <w:b w:val="false"/>
          <w:color w:val="000000"/>
          <w:sz w:val="20"/>
        </w:rPr>
        <w:t>Our principal capital expenditures are for software (purchased and internally developed) and additions to property and equipment. We invested approximately $61 million and $83 million in capital expenditures during the three months ended March 31, 2024 and 2023, respectively. We expect to continue investing in property and equipment, purchased software and internally developed software to support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Financing activities mainly related to borrowings and repayments under our senior secured credit facilities as well as our unsecured senior notes. Financing activities also included dividends paid on the Series A preferred stock, proceeds from employee stock plans as well as tax withholding payments on behalf of employees for stock based awards that vested.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Adjusted free cash flow </w:t>
      </w:r>
      <w:r>
        <w:rPr>
          <w:rFonts w:ascii="Times New Roman;sans-serif" w:hAnsi="Times New Roman;sans-serif"/>
          <w:b w:val="false"/>
          <w:color w:val="000000"/>
          <w:sz w:val="20"/>
        </w:rPr>
        <w:t xml:space="preserve">NCR Voyix management uses a non-GAAP measure called “adjusted free cash flow-unrestricted” to assess the financial performance of the Company. We define adjusted free cash flow as net cash provided by (used in) operating activities less capital expenditures for property, plant and equipment, less additions to capitalized software, plus/minus net reductions or reinvestments in the trade receivables facility due to fluctuations in the outstanding balance of receivables sold, restricted cash settlement activity, NCR Atleos settlement activity, net cash provided by (used in) environmental discontinued operations plus acquisition-related items, and plus pension contributions and settlements. NCR Atleos settlement activity relates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changes in amounts owed to and amounts due from NCR Atleos for activity related to items governed by the separation and distribution agreement. Activity from the commercial and transition services agreements are not included in this adjustment.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free cash flow-unrestricted information is useful for investors because it relates the operating cash flows from the Company’s continuing and discontinued operations to the capital that is spent to continue and improve business operations. In particular, adjusted free cash flow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 does not have a uniform definition under GAAP, and therefore the Company’s definition may differ from other companies’ definitions of this measure. This non-GAAP measure should not be considered a substitute for, or superior to, cash flows from operating activities under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net cash provided by operating activities to NCR Voyix’s non-GAAP measure of adjusted free cash flow-unrestricted for the three months ended March 31:</w:t>
      </w:r>
    </w:p>
    <w:tbl>
      <w:tblPr>
        <w:tblW w:w="8978" w:type="dxa"/>
        <w:jc w:val="left"/>
        <w:tblInd w:w="0" w:type="dxa"/>
        <w:tblLayout w:type="fixed"/>
        <w:tblCellMar>
          <w:top w:w="28" w:type="dxa"/>
          <w:left w:w="28" w:type="dxa"/>
          <w:bottom w:w="28" w:type="dxa"/>
          <w:right w:w="28" w:type="dxa"/>
        </w:tblCellMar>
      </w:tblPr>
      <w:tblGrid>
        <w:gridCol w:w="2110"/>
        <w:gridCol w:w="1856"/>
        <w:gridCol w:w="1869"/>
        <w:gridCol w:w="804"/>
        <w:gridCol w:w="1661"/>
        <w:gridCol w:w="415"/>
        <w:gridCol w:w="109"/>
        <w:gridCol w:w="154"/>
      </w:tblGrid>
      <w:tr>
        <w:trPr/>
        <w:tc>
          <w:tcPr>
            <w:tcW w:w="211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Three months ended March 31, 2024</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(GAAP)</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plant and equipment</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software</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settlement activity</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NCR Atleos settlement activity</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contributions</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trade receivables facility</w:t>
            </w:r>
          </w:p>
        </w:tc>
        <w:tc>
          <w:tcPr>
            <w:tcW w:w="2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environmental discontinued operations</w:t>
            </w:r>
          </w:p>
        </w:tc>
        <w:tc>
          <w:tcPr>
            <w:tcW w:w="2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flow-unrestricted (non-GAAP)</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shd w:fill="FFFFFF" w:val="clear"/>
        </w:rPr>
        <w:t>(1)</w:t>
      </w:r>
      <w:r>
        <w:rPr>
          <w:rFonts w:ascii="Times New Roman;sans-serif" w:hAnsi="Times New Roman;sans-serif"/>
          <w:b w:val="false"/>
          <w:color w:val="000000"/>
          <w:sz w:val="16"/>
          <w:shd w:fill="FFFFFF" w:val="clear"/>
        </w:rPr>
        <w:t>Adjusted free cash flow-unrestricted for the three months ended March 31, 2023 is not meaningful for comparison purposes given the presentation of cash flows due to the Spin-Off of NCR Atleos.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Long Term Borrowings</w:t>
      </w:r>
      <w:r>
        <w:rPr>
          <w:color w:val="000000"/>
        </w:rPr>
        <w:t xml:space="preserve"> </w:t>
      </w:r>
      <w:r>
        <w:rPr>
          <w:rFonts w:ascii="Times New Roman;sans-serif" w:hAnsi="Times New Roman;sans-serif"/>
          <w:b w:val="false"/>
          <w:color w:val="000000"/>
          <w:sz w:val="20"/>
        </w:rPr>
        <w:t>The senior secured credit facilities include a term loan facility in an initial aggregate principal amount of $200 million, of which $196 million was outstanding as of March 31, 2024. Additionally, the senior secured credit facilities include a five-year Revolving Credit Facility with an aggregate principal amount of $500 million, of which $196 million was outstanding as of March 31, 2024. The Revolving Credit Facility also contains a sub-facility to be used for letters of credit, and as of March 31, 2024, there were $22 million letters of credit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outstanding $1.2 billion in aggregate principal balance of 5.125% senior unsecured notes due in 2029, $650 million aggregate principal balance of 5.000% senior unsecured notes due in 2028 and $450 million in aggregate principal balance of 5.250% senior unsecured notes due in 2030.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5, “Debt Obligations”, of the Notes to Condensed Consolidated Financial Statements, for additional information regarding debt transactions.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Employee Benefit Plans </w:t>
      </w:r>
      <w:r>
        <w:rPr>
          <w:rFonts w:ascii="Times New Roman;sans-serif" w:hAnsi="Times New Roman;sans-serif"/>
          <w:b w:val="false"/>
          <w:color w:val="000000"/>
          <w:sz w:val="20"/>
        </w:rPr>
        <w:t>In 2024, we expect to make contributions of $13 million to our international pension plans and $32 million to our postemployment plan. For additional information, refer to Note 9, “Employee Benefit Plans”, of the Notes to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Series A Convertible Preferred Stock</w:t>
      </w:r>
      <w:r>
        <w:rPr>
          <w:color w:val="000000"/>
        </w:rPr>
        <w:t xml:space="preserve"> </w:t>
      </w:r>
      <w:r>
        <w:rPr>
          <w:rFonts w:ascii="Times New Roman;sans-serif" w:hAnsi="Times New Roman;sans-serif"/>
          <w:b w:val="false"/>
          <w:color w:val="000000"/>
          <w:sz w:val="20"/>
        </w:rPr>
        <w:t>As of March 31, 2024, the redemption value of the Series A Preferred Stock was approximately $276 million. Holders of Series A Convertible Preferred Stock are entitled to a cumulative dividend at the rate of 5.5% per annum, payable quarterly in arrears. Beginning in the first quarter of 2020, dividends are payable in cash or in-kind at the option of the Company. During the three months ended March 31, 2024 and 2023, the Company paid cash dividends of $4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effective immediately after the close of business on October 17, 2023. As of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number of common shares that could be required to be issued upon conversion of the outstanding shares of the Series A Convertible Preferred Stock was 15.9 million shares, which would represent approximately 10% of our outstanding common stock as of March 31, 2024, including the preferred shares on an as-converted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Cash and Cash Equivalents Held by Foreign Subsidiaries </w:t>
      </w:r>
      <w:r>
        <w:rPr>
          <w:rFonts w:ascii="Times New Roman;sans-serif" w:hAnsi="Times New Roman;sans-serif"/>
          <w:b w:val="false"/>
          <w:color w:val="000000"/>
          <w:sz w:val="20"/>
        </w:rPr>
        <w:t>Cash and cash equivalents held by the Company’s foreign subsidiaries at March 31, 2024 and December 31, 2023 were $173 million</w:t>
      </w:r>
      <w:r>
        <w:rPr>
          <w:color w:val="000000"/>
          <w:shd w:fill="FFFFFF" w:val="clear"/>
        </w:rPr>
        <w:t xml:space="preserve"> </w:t>
      </w:r>
      <w:r>
        <w:rPr>
          <w:rFonts w:ascii="Times New Roman;sans-serif" w:hAnsi="Times New Roman;sans-serif"/>
          <w:b w:val="false"/>
          <w:color w:val="000000"/>
          <w:sz w:val="20"/>
        </w:rPr>
        <w:t>and $191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Summary </w:t>
      </w:r>
      <w:r>
        <w:rPr>
          <w:rFonts w:ascii="Times New Roman;sans-serif" w:hAnsi="Times New Roman;sans-serif"/>
          <w:b w:val="false"/>
          <w:color w:val="000000"/>
          <w:sz w:val="20"/>
        </w:rPr>
        <w:t>As of March 31, 2024, our cash and cash equivalents totaled $246 million and our total debt was $2.69 billion, excluding deferred fees. As of March 31, 2024, our borrowing capacity under the Revolving Credit Facility was approximately $282 million. Our ability to generate positive cash flows from operations is dependent on general economic conditions, the competitive environment in our industry, and is subject to the business and other risk factors described in Item 1A of Part I of the Company’s 2023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March 31, 2024) to meet our material 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Material Cash Requirements from Contractual and Other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contractual and other commercial obligations as described in our Form 10-K for the year ended December 31, 2023. </w:t>
      </w: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Critical Accounting Policies and Estimates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2023 Form 10-K. </w:t>
      </w: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Accounting Pronouncements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in Note 1, “Basis of Presentation and Summary of Significant Accounting Policies”, of the Notes to Condensed Consolidated Financial Statements for new accounting pronouncements.</w:t>
      </w:r>
    </w:p>
    <w:p>
      <w:pPr>
        <w:pStyle w:val="TextBody"/>
        <w:bidi w:val="0"/>
        <w:spacing w:before="100" w:after="283"/>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Forward-Looking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“anticipate,” “outlook,” “intend,” “plan,” “confident,” “believe,” “will,” “should,” “would,” “potential,” “positioning,” “proposed,” “planned,” “objective,” “likely,” “could,” “may,”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Examples of forward-looking statements in this Quarterly Report include, without limitation, statements regarding: the estimated or anticipated future results and benefits of the Company’s plans and operations; the Company’s expectations of demand for its solutions and the impact thereof on the Company's financial results in 2024; the Company’s ability to deliver increased value to customers and stockholders; statements regarding the spin-off of NCR Atleos, including, but not limited to, statements regarding the future commercial or financial performance of the Company following such transaction, and value creation and the ability to innovate and drive growth generally as a result of such transaction; and the Company’s ability to offset losses incurred from fraudulent ACH disbursements from a Company bank account identified in February 2024 through cooperation with law enforcement and the Company’s banks or through insurance proceeds. Forward-looking statements are based on our current beliefs, expectations and assumptions, which may not prove to be accurate, and involve a number of known and unknown risks and uncertainties, many of which are out of the Company’s control. Forward-looking statements are not guarantees of future performance, and there are a number of important factors that could cause actual outcomes and results to differ materially from the results contemplated by such forward-looking statements, including those factors relating to: challenges with transforming and growing our business, including our ability to attract new customers, increase use of our platform by existing customers and cross-sell additional products and solutions; development and introduction of new, competitive solutions on a timely, cost-effective basis; our ability to compete effectively against new and existing competitors; our ability to maintain a consistently high level of customer service; our ability to successfully manage our profitability and cost reduction initiatives; integration of acquisitions and management of other strategic transactions; the potential strategic benefits, synergies or opportunities expected from the Spin-Off may not be realized or may take longer to realize than expected; any unforeseen tax liabilities or impacts resulting from the Spin-Off, requests, requirements or penalties imposed by any governmental authorities related to certain existing liabilities; domestic and global economic and credit conditions; downturn or consolidation in the financial services industry; difficulties and risks associated with developing and selling complex new solutions and enhancements, including those using artificial intelligence; risks and uncertainties associated with our payments-related business; disruptions in our data center hosting and public cloud facilities; any failures or delays in our efforts to modernize our information technology infrastructure; retention and attraction of key employees; defects, errors, installation difficulties or development delays; failure of third-party suppliers; a major natural disaster or catastrophic event; geopolitical and macroeconomic challenges or events or acts of terrorism; environmental exposures from historical manufacturing activities; the impact of cybersecurity incidents on our business, including the April 2023 ransomware incident, and efforts to prevent or mitigate such incidents and any related impacts on our operations; efforts to comply with applicable data protection and data privacy laws; our level of indebtedness; the terms governing our indebtedness; incurrence of additional debt or other liabilities or obligations; access to the capital markets and other sources of financing; our cash flow sufficiency to service our indebtedness; interest rate risks and increased costs of borrowings; the terms governing our trade receivables facility; the impact of certain changes in control relating to acceleration of our indebtedness; our obligations under other financing arrangements, or required repurchase of our senior unsecured notes; any lowering or withdrawal of the ratings assigned to our debt securities by rating agencies; unforeseen tax liabilities or changes in tax law; our failure to maintain effective internal control over financial reporting and disclosure controls and procedures and our ability to remediate material weaknesses in our internal control over financial reporting; the write down of the value of certain significant assets; allegations or claims by third parties that our products or services infringe on intellectual property rights of others, including claims against our customers and claims by our customers to defend and indemnify them with respect to such claims; protection of our intellectual property; changes to our tax rates and additional income tax liabilities; and uncertainties regarding regulations, lawsuits and other related matters; rights preferences and privileges of holders of our Series A Convertible Stock compared to the rights of our common stockholders; impact of the terms of our Series A Convertible Preferred Stock relating to voting power, share dilution and market price of our common stock; actions or proposals from stockholders that do not align with our business strategies or the interest of our stockholders; and other factors presented in “Item 1A-Risk Factors” of our most recent Annual Report on Form 10-K for the year ended December 31, 2023 and subsequent filings we make with the U.S. Securities and Exchange Commission (“SEC”), which we advise you to review.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Should one or more of these risks or uncertainties materialize, or should underlying assumptions prove incorrect, actual results may vary materially from those set forth in the forward-looking statements. Any forward-looking statement speaks only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employ derivatives according to documented policies and procedures, including foreign currency contracts and interest rate swaps. We do not use derivatives for trading or speculative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Exchange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Since a substantial portion of our operations and revenue occur outside the United States, and in currencies other than the U.S. Dollar, our results can be significantly impacted by changes in foreign currency exchange rates. We have exposure to approximatel</w:t>
      </w:r>
      <w:r>
        <w:rPr>
          <w:rFonts w:ascii="Times New Roman;sans-serif" w:hAnsi="Times New Roman;sans-serif"/>
          <w:b w:val="false"/>
          <w:color w:val="000000"/>
          <w:sz w:val="20"/>
        </w:rPr>
        <w:t xml:space="preserve">y 40 functional currencies </w:t>
      </w:r>
      <w:r>
        <w:rPr>
          <w:rFonts w:ascii="Times New Roman;sans-serif" w:hAnsi="Times New Roman;sans-serif"/>
          <w:b w:val="false"/>
          <w:color w:val="000000"/>
          <w:sz w:val="20"/>
          <w:shd w:fill="FFFFFF" w:val="clear"/>
        </w:rPr>
        <w:t>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marketing units and the foreign currency denominated inputs to our manufacturing units. All of these transactions are forecasted. If these contracts are designated as highly effective cash flow hedges, the gains or losses are deferred into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shd w:fill="FFFFFF" w:val="clear"/>
        </w:rPr>
        <w:t xml:space="preserve">). The gains or losses from derivative contracts that are designated as highly effective cash flow hedges related to inventory purchases are recorded in cost of products when the inventory is sold to an unrelated third party. Otherwise, the gains or losses from these contracts are recognized in earnings as exchange rates change. We also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utilize non-exchange traded financial instruments, such as foreign exchange forward and option contracts, that we purchase exclusively from highly rated financial institutions. We record these contracts on our balance sheet at fair market value based upon market price quotations from the financial institutions. We do not enter into non-exchange traded contracts that require the use of fair value estimation techniques, but if we did, they could have a material impact on our financial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For purposes of analyzing potential risk, we use sensitivity analysis to quantify potential impacts that market rate changes may have on the fair values of our hedge portfolio related to firmly committed or forecasted transactions.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w:t>
      </w:r>
      <w:r>
        <w:rPr>
          <w:rFonts w:ascii="Times New Roman;sans-serif" w:hAnsi="Times New Roman;sans-serif"/>
          <w:b w:val="false"/>
          <w:color w:val="000000"/>
          <w:sz w:val="20"/>
        </w:rPr>
        <w:t>f $18 million</w:t>
      </w:r>
      <w:r>
        <w:rPr>
          <w:color w:val="000000"/>
          <w:shd w:fill="FFFFFF" w:val="clear"/>
        </w:rPr>
        <w:t xml:space="preserve"> </w:t>
      </w:r>
      <w:r>
        <w:rPr>
          <w:rFonts w:ascii="Times New Roman;sans-serif" w:hAnsi="Times New Roman;sans-serif"/>
          <w:b w:val="false"/>
          <w:color w:val="000000"/>
          <w:sz w:val="20"/>
          <w:shd w:fill="FFFFFF" w:val="clear"/>
        </w:rPr>
        <w:t>as of March 31, 2024. A 10% depreciation in the value of the U.S. Dollar against foreign currencies from the prevailing market rates would have resulted in a corresponding increase in the fair value of the hedge portfolio</w:t>
      </w:r>
      <w:r>
        <w:rPr>
          <w:color w:val="000000"/>
        </w:rPr>
        <w:t xml:space="preserve"> </w:t>
      </w:r>
      <w:r>
        <w:rPr>
          <w:rFonts w:ascii="Times New Roman;sans-serif" w:hAnsi="Times New Roman;sans-serif"/>
          <w:b w:val="false"/>
          <w:color w:val="000000"/>
          <w:sz w:val="20"/>
        </w:rPr>
        <w:t xml:space="preserve">of $18 million </w:t>
      </w:r>
      <w:r>
        <w:rPr>
          <w:rFonts w:ascii="Times New Roman;sans-serif" w:hAnsi="Times New Roman;sans-serif"/>
          <w:b w:val="false"/>
          <w:color w:val="000000"/>
          <w:sz w:val="20"/>
          <w:shd w:fill="FFFFFF" w:val="clear"/>
        </w:rPr>
        <w:t xml:space="preserve">as of March 31, 2024. The Company expects that any increase or decrease in the fair value of the portfolio would be substantially offset by increases or decreases in the underlying exposures being hedged.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U.S. Dollar was stronger in the first quarter of 2024 compared to the first quarter of 2023 based on comparable weighted averages for our functional currencies. This excludes the effects of our hedging activities and, therefore, does not reflect the actual impact of fluctuations in exchange rates on our operating income.</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are subject to interest rate risk principally in relation to variable-rate debt. Approximately 85% of our borrowings were on a fixed rate basis as of March 31, 2024. The increase in pre-tax interest expense for the three months ended March 31, 2024 from a hypothetical 100 basis point increase in variable interest rates would be approximatel</w:t>
      </w:r>
      <w:r>
        <w:rPr>
          <w:rFonts w:ascii="Times New Roman;sans-serif" w:hAnsi="Times New Roman;sans-serif"/>
          <w:b w:val="false"/>
          <w:color w:val="000000"/>
          <w:sz w:val="20"/>
        </w:rPr>
        <w:t>y $1 million</w:t>
      </w:r>
      <w:r>
        <w:rPr>
          <w:rFonts w:ascii="Times New Roman;sans-serif" w:hAnsi="Times New Roman;sans-serif"/>
          <w:b w:val="false"/>
          <w:color w:val="000000"/>
          <w:sz w:val="20"/>
          <w:shd w:fill="FFFFFF" w:val="clear"/>
        </w:rPr>
        <w:t>. As of March 31, 2024, we do not have any outstanding interest rate derivative contracts related to our variable rate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historically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Condensed Consolidated Statements of Cash Flows. Refer to Note 13, “Derivatives and Hedging Instruments”, for further information on our interest rate derivative contracts.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 of 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March 31, 2024, we did not have any significant concentration of credit risk related to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March 31, 2024. Based on this evaluation, the Company’s Chief Executive and Chief Financial Officers have concluded that, due to the material weaknesses in internal control over financial reporting described below, our disclosure controls and procedures were not effective as of March 31, 2024 to provide reasonable assurance that information required to be disclosed by the Company in reports that it files or submits under the Exchange Act is (i) recorded, processed, summarized and reported within the time periods specified in the SEC’s rules and forms and (ii) accumulated and communicated to the Company’s management, including its Chief Executive and Chief Financial Officers, as appropriate to allow timely decisions regarding required disclosure.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Previously Reported Material Weaknesses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in Part II, Item 9A, “Controls and Procedures” in the Company’s Annual Report on Form 10-K for the year ended December 31, 2023, management identified the following material weaknesses in the Company’s internal control over financial reporting as of December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Company did not design and maintain effective controls to prevent or timely detect unauthorized Automated Clearing House (“ACH”) disbursements;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Company did not design and maintain effective controls related to accounts receivable and accounts payable clearing accounts. Specifically, controls were not designed at a sufficient level of precision to timely reconcile and review the reasonableness and supportability of clearing account balances, including review of the nature and aging of the individual clearing account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not materially impacting any previously reported periods, these material weaknesses resulted in errors in the Company’s historical 2022 and 2021 financial statements and the revision of interim periods in 2023. Additionally, these material weaknesses could result in material misstatements to the Company’s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Status of Remediation Plans and 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and will continue to implement measures designed to ensure that the control deficiencies contributing to the material weaknesses described above are remediated. These remediation actions are ongoing and include or are expected to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designing and implementing a monitoring control to (i) perform at least an annual review of all Company bank account attributes and (ii) regularly review bank account activity for large and/or unusual transactions for all bank accounts permitting ACH direct debit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designing and implementing a monthly control, with a sufficient level of precision, to timely reconcile and review the reasonableness and supportability of accounts receivable and accounts payable clearing account balances, including a review of the nature and aging of the individual clearing account balances;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designing and implementing enhanced review controls specific to accounts receivable and accounts payable clearing accounts to ensure clear and precise escalation protocols for unreconciled items and the timely resolution of any matters escalated;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supplementing existing training materials regarding fraud prevention and detection and incident escalation and resolution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evaluate and work to improve its internal control over financial reporting, the Company may decide to take additional measures or modify the remediation plans described above. The Company believes that these actions will remediate the material weaknesses described above; however, the material weaknesses will not be considered remediated until the Company has completed the design and implementation of the applicable controls and those controls operate for a sufficient period of time and management has concluded, through testing, that these controls are operating effectively. The Company will continue to monitor the design and effectiveness of these and other processes, procedures and controls and make any further changes management deems appropriate.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material weaknesses referenced above, management has performed additional analyses and procedures in order to prepare the consolidated financial statements included in Item 1 of this Quarterly Report. Based on these analyses and procedures, management believes that the consolidated financial statements included in this Quarterly Report present, in all material respects, the Company’s financial condition, results of operations and cash flows at and for the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described above, there have been no changes in the Company’s internal control over financial reporting that occurred during the three months ended March 31, 2024 that have materially affected, or are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10, “Commitments and Contingencies”, of the Notes to Condensed Consolidated Financial Statements in this quarterly report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risk factors and other cautionary statements described under Part I, Item 1A. “Risk Factors” in the Company’s 2023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2023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2016, the Board approved a share repurchase program, with no expiration from the date of authorization, for the systematic repurchase of the Company’s common stock to offset the dilutive effects of the Company’s employee stock purchase plan, equity awards and in-kind dividends on the Company’s Series A Convertible Preferred Stock. Availability under this program accrues quarterly based on the average value of dilutive issuances during the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2017, the Board approved a second share repurchase program, with no expiration from the date of authorization, that provides for the repurchase of up to $300 million of the Company’s common stock. On July 25, 2018, the Board authorized an incremental $200 million of share repurchases under this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repurchases under these programs depend upon market conditions and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occasionally purchases vested restricted stock or exercised stock options at the current market price to cover withholding taxes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following table sets forth information with respect to our repurchases of shares of common stock during the three months ended </w:t>
      </w:r>
      <w:r>
        <w:rPr>
          <w:rFonts w:ascii="Times New Roman;sans-serif" w:hAnsi="Times New Roman;sans-serif"/>
          <w:b w:val="false"/>
          <w:color w:val="000000"/>
          <w:sz w:val="20"/>
          <w:shd w:fill="FFFFFF" w:val="clear"/>
        </w:rPr>
        <w:t>March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8"/>
        <w:gridCol w:w="314"/>
        <w:gridCol w:w="316"/>
        <w:gridCol w:w="643"/>
        <w:gridCol w:w="512"/>
        <w:gridCol w:w="513"/>
        <w:gridCol w:w="302"/>
        <w:gridCol w:w="883"/>
        <w:gridCol w:w="156"/>
        <w:gridCol w:w="1109"/>
        <w:gridCol w:w="873"/>
        <w:gridCol w:w="876"/>
        <w:gridCol w:w="848"/>
        <w:gridCol w:w="1873"/>
        <w:gridCol w:w="629"/>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6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2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3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to be purchased under the plans or programs (in millions)</w:t>
            </w:r>
            <w:r>
              <w:rPr>
                <w:rFonts w:ascii="Times New Roman;sans-serif" w:hAnsi="Times New Roman;sans-serif"/>
                <w:b/>
                <w:color w:val="000000"/>
                <w:sz w:val="12"/>
              </w:rPr>
              <w:t>(2)</w:t>
            </w:r>
          </w:p>
        </w:tc>
      </w:tr>
      <w:tr>
        <w:trPr/>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1/1/2024 - 1/31/2024</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212,348 </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2/1/2024 - 2/29/2024</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595,939 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8,984,453 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3/1/2024 - 3/31/2024</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153,124 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1,866,700 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For the three months ended </w:t>
      </w:r>
      <w:r>
        <w:rPr>
          <w:rFonts w:ascii="Times New Roman;sans-serif" w:hAnsi="Times New Roman;sans-serif"/>
          <w:b w:val="false"/>
          <w:color w:val="000000"/>
          <w:sz w:val="18"/>
          <w:shd w:fill="FFFFFF" w:val="clear"/>
        </w:rPr>
        <w:t xml:space="preserve">March 31, 2024, approximately </w:t>
      </w:r>
      <w:r>
        <w:rPr>
          <w:rFonts w:ascii="Times New Roman;sans-serif" w:hAnsi="Times New Roman;sans-serif"/>
          <w:b w:val="false"/>
          <w:color w:val="000000"/>
          <w:sz w:val="18"/>
        </w:rPr>
        <w:t xml:space="preserve">762,861 shares were repurchased to cover withholding taxes. </w:t>
      </w:r>
    </w:p>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Represents amounts available for repurchases under the October 2016 dilution offset program. As of each month in the quarter ended March 31, 2024, $153 million was available for repurchases under the March 2017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repurchase its common stock is restricted under the Company’s senior secured credit facilities and terms of the indentures governing the Company’s senior unsecured notes, which prohibit certain share repurchases, including during the occurrence of an event of default, and establish limits on the amount that the Company is permitted to use to repurchase shares and make other restricted payments. This amount is calculated using formulas based generally on 50% of the Company’s consolidated net income for the period beginning in the first quarter of 2024 through the end of the most recently ended fiscal quarter, subject to certain other adjustments and deductions, with certain prescribed minimums and its use is subject to customary conditions, including the absence of an event of default. These formulas are described in greater detail in the Company’s senior secured credit facilities and the indentures governing the Company’s senior unsecured notes, each of which is filed with the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17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2024, no director or officer of the Company adopted or terminated a “Rule 10b5-1 trading arrangement” or “non-Rule 10b5-1 trading arrangement,” as each term is defined in Item 408(a) of the SEC’s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3022"/>
        <w:gridCol w:w="2773"/>
        <w:gridCol w:w="392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10.1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NCR Voyix Corporation 2024 Executive Severance Plan adopted March 13, 2024 (Exhibit 10.1.3 to the Company’s Annual Report on Form 10-K for the fiscal year ended December 31,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10.2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Employment Agreement, dated March 13, 2024, between David Wilkinson and NCR Voyix Corporation (Exhibit 10.17.1 to the Company’s Annual Report on Form 10-K for the fiscal year ended December 31,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10.3</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Letter Agreement, dated March 13, 2024 between Brian Webb-Walsh and NCR Voyix Corporation (Exhibit 10.18.1 to the Company’s Annual Report on Form 10-K for the fiscal year ended December 31,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sec302ceocert-03.htm">
              <w:r>
                <w:rPr>
                  <w:rStyle w:val="InternetLink"/>
                  <w:rFonts w:ascii="Times New Roman;sans-serif" w:hAnsi="Times New Roman;sans-serif"/>
                  <w:b w:val="false"/>
                  <w:color w:val="0000FF"/>
                  <w:sz w:val="20"/>
                  <w:u w:val="single"/>
                </w:rPr>
                <w:t>31.1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 and Rule 15d-14(a) of the Securities Exchange Act of 1934.</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sec302cfocert-03.htm">
              <w:r>
                <w:rPr>
                  <w:rStyle w:val="InternetLink"/>
                  <w:rFonts w:ascii="Times New Roman;sans-serif" w:hAnsi="Times New Roman;sans-serif"/>
                  <w:b w:val="false"/>
                  <w:color w:val="0000FF"/>
                  <w:sz w:val="20"/>
                  <w:u w:val="single"/>
                </w:rPr>
                <w:t>31.2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 and Rule 15d-14(a) of the Securities Exchange Act of 1934.</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sec906ceoandcfoce.htm">
              <w:r>
                <w:rPr>
                  <w:rStyle w:val="InternetLink"/>
                  <w:rFonts w:ascii="Times New Roman;sans-serif" w:hAnsi="Times New Roman;sans-serif"/>
                  <w:b w:val="false"/>
                  <w:color w:val="0000FF"/>
                  <w:sz w:val="20"/>
                  <w:u w:val="single"/>
                </w:rPr>
                <w:t>32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NCR Voyix Corporation’s Quarterly Report on Form 10-Q for the quarter ended March 31, 2024, formatted in iXBRL (Inline Extensible Business Reporting Language): (i) our condensed consolidated statements of operations for the three months ended March 31, 2024 and 2023; (ii) our condensed consolidated statements of comprehensive income for the three months ended March 31, 2024 and 2023; (iii) our condensed consolidated balance sheets as of March 31, 2024 and December 31, 2023; (iv) our condensed consolidated statements of cash flows for the three months ended March 31, 2024 and 2023; (v) our condensed consolidated statements of changes in stockholder's equity for the three months ended March 31, 2024 and 2023; and (vi) the notes to our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Management contracts or compensatory plans/arrangements.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74fceb10c5e4020b8ec21097c4cffc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2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77"/>
        <w:gridCol w:w="277"/>
        <w:gridCol w:w="277"/>
        <w:gridCol w:w="277"/>
        <w:gridCol w:w="277"/>
        <w:gridCol w:w="277"/>
        <w:gridCol w:w="1146"/>
        <w:gridCol w:w="1146"/>
        <w:gridCol w:w="16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NCR VOYIX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Kelly Moyer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Kelly Moyer</w:t>
              <w:br/>
              <w:t>Corporate Vice President, Chief Accounting Officer</w:t>
              <w:br/>
              <w:t>(Principal Accounting Officer)</w:t>
            </w:r>
          </w:p>
        </w:tc>
      </w:tr>
    </w:tbl>
    <w:p>
      <w:pPr>
        <w:pStyle w:val="TextBody"/>
        <w:bidi w:val="0"/>
        <w:spacing w:lineRule="auto" w:line="288" w:before="10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Wilkinson,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4090"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Wilkinson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Wilkinson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Webb-Walsh,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6461"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NCR Voyix Corporation (the “Company”) for the period ending March 31, 2024 as filed with the U.S. Securities and Exchange Commission on the date hereof (the “Report”), each of the undersigned officers of the Company does hereby certify, pursuant to 18 U.S.C. § 1350 (section 906 of the Sarbanes-Oxley Act of 2002),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The foregoing certification (i) is given to such officers’ knowledge, based upon such officers’ investigation as such officers reasonably deem appropriate; and (ii) is being furnished solely pursuant to 18 U.S.C. § 1350 (section 906 of the Sarbanes-Oxley Act of 2002) and is not being filed as part of the Report or as a separate disclosure document. </w:t>
      </w:r>
    </w:p>
    <w:tbl>
      <w:tblPr>
        <w:tblW w:w="4195"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604"/>
        <w:gridCol w:w="604"/>
        <w:gridCol w:w="86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Wilkinson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Wilkinson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6566"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0866/000007086615000046/q2201510-qexhibit101aandre.htm" TargetMode="External"/><Relationship Id="rId3" Type="http://schemas.openxmlformats.org/officeDocument/2006/relationships/hyperlink" Target="https://www.sec.gov/Archives/edgar/data/70866/000007086624000014/exhibit10171amendmenttoemp.htm" TargetMode="External"/><Relationship Id="rId4" Type="http://schemas.openxmlformats.org/officeDocument/2006/relationships/hyperlink" Target="https://www.sec.gov/Archives/edgar/data/70866/000007086624000014/exhibit10181amendmentbrian.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28956</Words>
  <Characters>161853</Characters>
  <CharactersWithSpaces>189107</CharactersWithSpaces>
  <Paragraphs>3024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