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CURRENT REPORT</w:t>
      </w:r>
    </w:p>
    <w:p>
      <w:pPr>
        <w:spacing w:after="0" w:line="16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April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NCR CORPORATION</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0" w:lineRule="exact"/>
        <w:rPr>
          <w:sz w:val="24"/>
          <w:szCs w:val="24"/>
          <w:color w:val="auto"/>
        </w:rPr>
      </w:pPr>
    </w:p>
    <w:tbl>
      <w:tblPr>
        <w:tblLayout w:type="fixed"/>
        <w:tblInd w:w="880" w:type="dxa"/>
        <w:tblCellMar>
          <w:top w:w="0" w:type="dxa"/>
          <w:left w:w="0" w:type="dxa"/>
          <w:bottom w:w="0" w:type="dxa"/>
          <w:right w:w="0" w:type="dxa"/>
        </w:tblCellMar>
      </w:tblPr>
      <w:tr>
        <w:trPr>
          <w:trHeight w:val="203"/>
        </w:trPr>
        <w:tc>
          <w:tcPr>
            <w:tcW w:w="2720" w:type="dxa"/>
            <w:vAlign w:val="bottom"/>
          </w:tcPr>
          <w:p>
            <w:pPr>
              <w:jc w:val="center"/>
              <w:ind w:right="635"/>
              <w:spacing w:after="0"/>
              <w:rPr>
                <w:sz w:val="20"/>
                <w:szCs w:val="20"/>
                <w:color w:val="auto"/>
              </w:rPr>
            </w:pPr>
            <w:r>
              <w:rPr>
                <w:rFonts w:ascii="Arial" w:cs="Arial" w:eastAsia="Arial" w:hAnsi="Arial"/>
                <w:sz w:val="17"/>
                <w:szCs w:val="17"/>
                <w:b w:val="1"/>
                <w:bCs w:val="1"/>
                <w:color w:val="auto"/>
                <w:w w:val="96"/>
              </w:rPr>
              <w:t>Maryland</w:t>
            </w:r>
          </w:p>
        </w:tc>
        <w:tc>
          <w:tcPr>
            <w:tcW w:w="4220" w:type="dxa"/>
            <w:vAlign w:val="bottom"/>
          </w:tcPr>
          <w:p>
            <w:pPr>
              <w:jc w:val="center"/>
              <w:ind w:right="79"/>
              <w:spacing w:after="0"/>
              <w:rPr>
                <w:sz w:val="20"/>
                <w:szCs w:val="20"/>
                <w:color w:val="auto"/>
              </w:rPr>
            </w:pPr>
            <w:r>
              <w:rPr>
                <w:rFonts w:ascii="Arial" w:cs="Arial" w:eastAsia="Arial" w:hAnsi="Arial"/>
                <w:sz w:val="17"/>
                <w:szCs w:val="17"/>
                <w:b w:val="1"/>
                <w:bCs w:val="1"/>
                <w:color w:val="auto"/>
                <w:w w:val="90"/>
              </w:rPr>
              <w:t>001-00395</w:t>
            </w:r>
          </w:p>
        </w:tc>
        <w:tc>
          <w:tcPr>
            <w:tcW w:w="2220" w:type="dxa"/>
            <w:vAlign w:val="bottom"/>
          </w:tcPr>
          <w:p>
            <w:pPr>
              <w:jc w:val="center"/>
              <w:ind w:left="795"/>
              <w:spacing w:after="0"/>
              <w:rPr>
                <w:sz w:val="20"/>
                <w:szCs w:val="20"/>
                <w:color w:val="auto"/>
              </w:rPr>
            </w:pPr>
            <w:r>
              <w:rPr>
                <w:rFonts w:ascii="Arial" w:cs="Arial" w:eastAsia="Arial" w:hAnsi="Arial"/>
                <w:sz w:val="17"/>
                <w:szCs w:val="17"/>
                <w:b w:val="1"/>
                <w:bCs w:val="1"/>
                <w:color w:val="auto"/>
                <w:w w:val="90"/>
              </w:rPr>
              <w:t>31-0387920</w:t>
            </w:r>
          </w:p>
        </w:tc>
      </w:tr>
      <w:tr>
        <w:trPr>
          <w:trHeight w:val="203"/>
        </w:trPr>
        <w:tc>
          <w:tcPr>
            <w:tcW w:w="2720" w:type="dxa"/>
            <w:vAlign w:val="bottom"/>
          </w:tcPr>
          <w:p>
            <w:pPr>
              <w:jc w:val="center"/>
              <w:ind w:right="615"/>
              <w:spacing w:after="0"/>
              <w:rPr>
                <w:sz w:val="20"/>
                <w:szCs w:val="20"/>
                <w:color w:val="auto"/>
              </w:rPr>
            </w:pPr>
            <w:r>
              <w:rPr>
                <w:rFonts w:ascii="Arial" w:cs="Arial" w:eastAsia="Arial" w:hAnsi="Arial"/>
                <w:sz w:val="17"/>
                <w:szCs w:val="17"/>
                <w:b w:val="1"/>
                <w:bCs w:val="1"/>
                <w:color w:val="auto"/>
                <w:w w:val="91"/>
              </w:rPr>
              <w:t>(State or Other Jurisdiction</w:t>
            </w:r>
          </w:p>
        </w:tc>
        <w:tc>
          <w:tcPr>
            <w:tcW w:w="4220" w:type="dxa"/>
            <w:vAlign w:val="bottom"/>
          </w:tcPr>
          <w:p>
            <w:pPr>
              <w:spacing w:after="0"/>
              <w:rPr>
                <w:sz w:val="17"/>
                <w:szCs w:val="17"/>
                <w:color w:val="auto"/>
              </w:rPr>
            </w:pPr>
          </w:p>
        </w:tc>
        <w:tc>
          <w:tcPr>
            <w:tcW w:w="2220" w:type="dxa"/>
            <w:vAlign w:val="bottom"/>
          </w:tcPr>
          <w:p>
            <w:pPr>
              <w:jc w:val="center"/>
              <w:ind w:left="795"/>
              <w:spacing w:after="0"/>
              <w:rPr>
                <w:sz w:val="20"/>
                <w:szCs w:val="20"/>
                <w:color w:val="auto"/>
              </w:rPr>
            </w:pPr>
            <w:r>
              <w:rPr>
                <w:rFonts w:ascii="Arial" w:cs="Arial" w:eastAsia="Arial" w:hAnsi="Arial"/>
                <w:sz w:val="17"/>
                <w:szCs w:val="17"/>
                <w:b w:val="1"/>
                <w:bCs w:val="1"/>
                <w:color w:val="auto"/>
                <w:w w:val="94"/>
              </w:rPr>
              <w:t>(IRS Employer</w:t>
            </w:r>
          </w:p>
        </w:tc>
      </w:tr>
      <w:tr>
        <w:trPr>
          <w:trHeight w:val="220"/>
        </w:trPr>
        <w:tc>
          <w:tcPr>
            <w:tcW w:w="2720" w:type="dxa"/>
            <w:vAlign w:val="bottom"/>
          </w:tcPr>
          <w:p>
            <w:pPr>
              <w:jc w:val="center"/>
              <w:ind w:right="615"/>
              <w:spacing w:after="0"/>
              <w:rPr>
                <w:sz w:val="20"/>
                <w:szCs w:val="20"/>
                <w:color w:val="auto"/>
              </w:rPr>
            </w:pPr>
            <w:r>
              <w:rPr>
                <w:rFonts w:ascii="Arial" w:cs="Arial" w:eastAsia="Arial" w:hAnsi="Arial"/>
                <w:sz w:val="17"/>
                <w:szCs w:val="17"/>
                <w:b w:val="1"/>
                <w:bCs w:val="1"/>
                <w:color w:val="auto"/>
                <w:w w:val="92"/>
              </w:rPr>
              <w:t>of Incorporation)</w:t>
            </w:r>
          </w:p>
        </w:tc>
        <w:tc>
          <w:tcPr>
            <w:tcW w:w="4220" w:type="dxa"/>
            <w:vAlign w:val="bottom"/>
          </w:tcPr>
          <w:p>
            <w:pPr>
              <w:jc w:val="center"/>
              <w:ind w:right="79"/>
              <w:spacing w:after="0"/>
              <w:rPr>
                <w:sz w:val="20"/>
                <w:szCs w:val="20"/>
                <w:color w:val="auto"/>
              </w:rPr>
            </w:pPr>
            <w:r>
              <w:rPr>
                <w:rFonts w:ascii="Arial" w:cs="Arial" w:eastAsia="Arial" w:hAnsi="Arial"/>
                <w:sz w:val="17"/>
                <w:szCs w:val="17"/>
                <w:b w:val="1"/>
                <w:bCs w:val="1"/>
                <w:color w:val="auto"/>
                <w:w w:val="91"/>
              </w:rPr>
              <w:t>(Commission File Number)</w:t>
            </w:r>
          </w:p>
        </w:tc>
        <w:tc>
          <w:tcPr>
            <w:tcW w:w="2220" w:type="dxa"/>
            <w:vAlign w:val="bottom"/>
          </w:tcPr>
          <w:p>
            <w:pPr>
              <w:jc w:val="center"/>
              <w:ind w:left="795"/>
              <w:spacing w:after="0"/>
              <w:rPr>
                <w:sz w:val="20"/>
                <w:szCs w:val="20"/>
                <w:color w:val="auto"/>
              </w:rPr>
            </w:pPr>
            <w:r>
              <w:rPr>
                <w:rFonts w:ascii="Arial" w:cs="Arial" w:eastAsia="Arial" w:hAnsi="Arial"/>
                <w:sz w:val="17"/>
                <w:szCs w:val="17"/>
                <w:b w:val="1"/>
                <w:bCs w:val="1"/>
                <w:color w:val="auto"/>
                <w:w w:val="93"/>
              </w:rPr>
              <w:t>Identification No.)</w:t>
            </w:r>
          </w:p>
        </w:tc>
      </w:tr>
      <w:tr>
        <w:trPr>
          <w:trHeight w:val="347"/>
        </w:trPr>
        <w:tc>
          <w:tcPr>
            <w:tcW w:w="2720" w:type="dxa"/>
            <w:vAlign w:val="bottom"/>
          </w:tcPr>
          <w:p>
            <w:pPr>
              <w:spacing w:after="0"/>
              <w:rPr>
                <w:sz w:val="24"/>
                <w:szCs w:val="24"/>
                <w:color w:val="auto"/>
              </w:rPr>
            </w:pPr>
          </w:p>
        </w:tc>
        <w:tc>
          <w:tcPr>
            <w:tcW w:w="4220" w:type="dxa"/>
            <w:vAlign w:val="bottom"/>
          </w:tcPr>
          <w:p>
            <w:pPr>
              <w:ind w:left="1200"/>
              <w:spacing w:after="0"/>
              <w:rPr>
                <w:sz w:val="20"/>
                <w:szCs w:val="20"/>
                <w:color w:val="auto"/>
              </w:rPr>
            </w:pPr>
            <w:r>
              <w:rPr>
                <w:rFonts w:ascii="Arial" w:cs="Arial" w:eastAsia="Arial" w:hAnsi="Arial"/>
                <w:sz w:val="17"/>
                <w:szCs w:val="17"/>
                <w:b w:val="1"/>
                <w:bCs w:val="1"/>
                <w:color w:val="auto"/>
              </w:rPr>
              <w:t>864 Spring Street NW</w:t>
            </w:r>
          </w:p>
        </w:tc>
        <w:tc>
          <w:tcPr>
            <w:tcW w:w="2220" w:type="dxa"/>
            <w:vAlign w:val="bottom"/>
          </w:tcPr>
          <w:p>
            <w:pPr>
              <w:spacing w:after="0"/>
              <w:rPr>
                <w:sz w:val="24"/>
                <w:szCs w:val="24"/>
                <w:color w:val="auto"/>
              </w:rPr>
            </w:pPr>
          </w:p>
        </w:tc>
      </w:tr>
      <w:tr>
        <w:trPr>
          <w:trHeight w:val="210"/>
        </w:trPr>
        <w:tc>
          <w:tcPr>
            <w:tcW w:w="2720" w:type="dxa"/>
            <w:vAlign w:val="bottom"/>
          </w:tcPr>
          <w:p>
            <w:pPr>
              <w:spacing w:after="0"/>
              <w:rPr>
                <w:sz w:val="18"/>
                <w:szCs w:val="18"/>
                <w:color w:val="auto"/>
              </w:rPr>
            </w:pPr>
          </w:p>
        </w:tc>
        <w:tc>
          <w:tcPr>
            <w:tcW w:w="4220" w:type="dxa"/>
            <w:vAlign w:val="bottom"/>
          </w:tcPr>
          <w:p>
            <w:pPr>
              <w:jc w:val="center"/>
              <w:ind w:right="99"/>
              <w:spacing w:after="0"/>
              <w:rPr>
                <w:sz w:val="20"/>
                <w:szCs w:val="20"/>
                <w:color w:val="auto"/>
              </w:rPr>
            </w:pPr>
            <w:r>
              <w:rPr>
                <w:rFonts w:ascii="Arial" w:cs="Arial" w:eastAsia="Arial" w:hAnsi="Arial"/>
                <w:sz w:val="17"/>
                <w:szCs w:val="17"/>
                <w:b w:val="1"/>
                <w:bCs w:val="1"/>
                <w:color w:val="auto"/>
                <w:w w:val="94"/>
              </w:rPr>
              <w:t>Atlanta, GA 30308</w:t>
            </w:r>
          </w:p>
        </w:tc>
        <w:tc>
          <w:tcPr>
            <w:tcW w:w="2220" w:type="dxa"/>
            <w:vAlign w:val="bottom"/>
          </w:tcPr>
          <w:p>
            <w:pPr>
              <w:spacing w:after="0"/>
              <w:rPr>
                <w:sz w:val="18"/>
                <w:szCs w:val="18"/>
                <w:color w:val="auto"/>
              </w:rPr>
            </w:pPr>
          </w:p>
        </w:tc>
      </w:tr>
      <w:tr>
        <w:trPr>
          <w:trHeight w:val="160"/>
        </w:trPr>
        <w:tc>
          <w:tcPr>
            <w:tcW w:w="2720" w:type="dxa"/>
            <w:vAlign w:val="bottom"/>
          </w:tcPr>
          <w:p>
            <w:pPr>
              <w:spacing w:after="0"/>
              <w:rPr>
                <w:sz w:val="13"/>
                <w:szCs w:val="13"/>
                <w:color w:val="auto"/>
              </w:rPr>
            </w:pPr>
          </w:p>
        </w:tc>
        <w:tc>
          <w:tcPr>
            <w:tcW w:w="4220" w:type="dxa"/>
            <w:vAlign w:val="bottom"/>
          </w:tcPr>
          <w:p>
            <w:pPr>
              <w:jc w:val="center"/>
              <w:ind w:right="79"/>
              <w:spacing w:after="0"/>
              <w:rPr>
                <w:sz w:val="20"/>
                <w:szCs w:val="20"/>
                <w:color w:val="auto"/>
              </w:rPr>
            </w:pPr>
            <w:r>
              <w:rPr>
                <w:rFonts w:ascii="Arial" w:cs="Arial" w:eastAsia="Arial" w:hAnsi="Arial"/>
                <w:sz w:val="13"/>
                <w:szCs w:val="13"/>
                <w:color w:val="auto"/>
                <w:w w:val="88"/>
              </w:rPr>
              <w:t>(Address of principal executive offices and zip code)</w:t>
            </w:r>
          </w:p>
        </w:tc>
        <w:tc>
          <w:tcPr>
            <w:tcW w:w="2220" w:type="dxa"/>
            <w:vAlign w:val="bottom"/>
          </w:tcPr>
          <w:p>
            <w:pPr>
              <w:spacing w:after="0"/>
              <w:rPr>
                <w:sz w:val="13"/>
                <w:szCs w:val="13"/>
                <w:color w:val="auto"/>
              </w:rPr>
            </w:pPr>
          </w:p>
        </w:tc>
      </w:tr>
    </w:tbl>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(937) 445-5000</w:t>
      </w:r>
    </w:p>
    <w:p>
      <w:pPr>
        <w:spacing w:after="0" w:line="15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(Former name or former address, if changed since last report)</w:t>
      </w:r>
    </w:p>
    <w:p>
      <w:pPr>
        <w:spacing w:after="0" w:line="134" w:lineRule="exact"/>
        <w:rPr>
          <w:sz w:val="24"/>
          <w:szCs w:val="24"/>
          <w:color w:val="auto"/>
        </w:rPr>
      </w:pPr>
    </w:p>
    <w:p>
      <w:pPr>
        <w:ind w:right="30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3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28" w:lineRule="exact"/>
        <w:rPr>
          <w:rFonts w:ascii="MS PGothic" w:cs="MS PGothic" w:eastAsia="MS PGothic" w:hAnsi="MS PGothic"/>
          <w:sz w:val="17"/>
          <w:szCs w:val="17"/>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28" w:lineRule="exact"/>
        <w:rPr>
          <w:rFonts w:ascii="MS PGothic" w:cs="MS PGothic" w:eastAsia="MS PGothic" w:hAnsi="MS PGothic"/>
          <w:sz w:val="17"/>
          <w:szCs w:val="17"/>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28" w:lineRule="exact"/>
        <w:rPr>
          <w:rFonts w:ascii="MS PGothic" w:cs="MS PGothic" w:eastAsia="MS PGothic" w:hAnsi="MS PGothic"/>
          <w:sz w:val="17"/>
          <w:szCs w:val="17"/>
          <w:color w:val="auto"/>
        </w:rPr>
      </w:pPr>
    </w:p>
    <w:p>
      <w:pPr>
        <w:ind w:right="3420" w:firstLine="8"/>
        <w:spacing w:after="0" w:line="473" w:lineRule="auto"/>
        <w:tabs>
          <w:tab w:leader="none" w:pos="205"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413"/>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399"/>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Common Stock, par value $0.01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NCR</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New York Stock Exchange</w:t>
            </w:r>
          </w:p>
        </w:tc>
      </w:tr>
    </w:tbl>
    <w:p>
      <w:pPr>
        <w:spacing w:after="0" w:line="185" w:lineRule="exact"/>
        <w:rPr>
          <w:sz w:val="24"/>
          <w:szCs w:val="24"/>
          <w:color w:val="auto"/>
        </w:rPr>
      </w:pPr>
    </w:p>
    <w:p>
      <w:pPr>
        <w:ind w:right="280"/>
        <w:spacing w:after="0" w:line="261"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jc w:val="right"/>
        <w:ind w:right="20"/>
        <w:spacing w:after="0" w:line="196" w:lineRule="exact"/>
        <w:tabs>
          <w:tab w:leader="none" w:pos="160" w:val="left"/>
        </w:tabs>
        <w:rPr>
          <w:sz w:val="20"/>
          <w:szCs w:val="20"/>
          <w:color w:val="auto"/>
        </w:rPr>
      </w:pPr>
      <w:r>
        <w:rPr>
          <w:rFonts w:ascii="Arial" w:cs="Arial" w:eastAsia="Arial" w:hAnsi="Arial"/>
          <w:sz w:val="17"/>
          <w:szCs w:val="17"/>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1" w:lineRule="exact"/>
        <w:rPr>
          <w:sz w:val="24"/>
          <w:szCs w:val="24"/>
          <w:color w:val="auto"/>
        </w:rPr>
      </w:pPr>
    </w:p>
    <w:p>
      <w:pPr>
        <w:ind w:right="56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11" w:right="319" w:bottom="1440" w:gutter="0" w:footer="0" w:header="0"/>
        </w:sectPr>
      </w:pPr>
    </w:p>
    <w:bookmarkStart w:id="1" w:name="page2"/>
    <w:bookmarkEnd w:id="1"/>
    <w:p>
      <w:pPr>
        <w:spacing w:after="0"/>
        <w:tabs>
          <w:tab w:leader="none" w:pos="142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2" w:lineRule="exact"/>
        <w:rPr>
          <w:sz w:val="20"/>
          <w:szCs w:val="20"/>
          <w:color w:val="auto"/>
        </w:rPr>
      </w:pPr>
    </w:p>
    <w:p>
      <w:pPr>
        <w:ind w:right="80" w:firstLine="450"/>
        <w:spacing w:after="0" w:line="260" w:lineRule="auto"/>
        <w:rPr>
          <w:sz w:val="20"/>
          <w:szCs w:val="20"/>
          <w:color w:val="auto"/>
        </w:rPr>
      </w:pPr>
      <w:r>
        <w:rPr>
          <w:rFonts w:ascii="Arial" w:cs="Arial" w:eastAsia="Arial" w:hAnsi="Arial"/>
          <w:sz w:val="20"/>
          <w:szCs w:val="20"/>
          <w:color w:val="auto"/>
        </w:rPr>
        <w:t>In this Current Report on Form 8-K, unless otherwise indicated or the context otherwise requires, the “Company,” “NCR,” “we,” “our” and “us” refer to NCR Corporation and its consolidated subsidiaries.</w:t>
      </w:r>
    </w:p>
    <w:p>
      <w:pPr>
        <w:spacing w:after="0" w:line="190" w:lineRule="exact"/>
        <w:rPr>
          <w:sz w:val="20"/>
          <w:szCs w:val="20"/>
          <w:color w:val="auto"/>
        </w:rPr>
      </w:pPr>
    </w:p>
    <w:p>
      <w:pPr>
        <w:ind w:right="700" w:firstLine="450"/>
        <w:spacing w:after="0" w:line="260" w:lineRule="auto"/>
        <w:rPr>
          <w:sz w:val="20"/>
          <w:szCs w:val="20"/>
          <w:color w:val="auto"/>
        </w:rPr>
      </w:pPr>
      <w:r>
        <w:rPr>
          <w:rFonts w:ascii="Arial" w:cs="Arial" w:eastAsia="Arial" w:hAnsi="Arial"/>
          <w:sz w:val="20"/>
          <w:szCs w:val="20"/>
          <w:color w:val="auto"/>
        </w:rPr>
        <w:t>As part of a previously announced private financing transaction, we anticipate disclosing to prospective investors the following estimated preliminary results of operations for our first quarter ended March 31, 2020.</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Certain Preliminary Financial Results for the First Quarter of 2020</w:t>
      </w:r>
    </w:p>
    <w:p>
      <w:pPr>
        <w:spacing w:after="0" w:line="243" w:lineRule="exact"/>
        <w:rPr>
          <w:sz w:val="20"/>
          <w:szCs w:val="20"/>
          <w:color w:val="auto"/>
        </w:rPr>
      </w:pPr>
    </w:p>
    <w:p>
      <w:pPr>
        <w:ind w:right="40" w:firstLine="432"/>
        <w:spacing w:after="0" w:line="256" w:lineRule="auto"/>
        <w:rPr>
          <w:sz w:val="20"/>
          <w:szCs w:val="20"/>
          <w:color w:val="auto"/>
        </w:rPr>
      </w:pPr>
      <w:r>
        <w:rPr>
          <w:rFonts w:ascii="Arial" w:cs="Arial" w:eastAsia="Arial" w:hAnsi="Arial"/>
          <w:sz w:val="19"/>
          <w:szCs w:val="19"/>
          <w:color w:val="auto"/>
        </w:rPr>
        <w:t>We expect to report for the three months ended March 31, 2020, revenues in the range of $1,490 million to $1,505 million, segment operating income in the range of $95 million to $105 million, net income attributable to NCR in the range of $15 million to $25 million, cash and cash equivalents in the range of $1,190 million to $1,230 million and Adjusted EBITDA in the range of $180 million to $190 million, as compared to $1,536 million, $147 million, $37 million, $414 million and $218 million, respectively, for the three months ended March 31, 2019. In addition, for the three months ended March 31, 2020, we expect to report that our top ten customers accounted for a percentage of our revenue ranging from 10% to 13% and our top 100 customers accounted for a percentage of our revenue ranging from 35% to 40%. Our results of operations for the first quarter were driven by factors described in Exhibit 99.1 to this Current Report on Form 8-K under the heading “Recent Developments—COVID-19,” as well as our shift to recurring revenue, which we discussed in our fourth quarter 2019 earnings release.</w:t>
      </w:r>
    </w:p>
    <w:p>
      <w:pPr>
        <w:spacing w:after="0" w:line="184" w:lineRule="exact"/>
        <w:rPr>
          <w:sz w:val="20"/>
          <w:szCs w:val="20"/>
          <w:color w:val="auto"/>
        </w:rPr>
      </w:pPr>
    </w:p>
    <w:p>
      <w:pPr>
        <w:ind w:firstLine="432"/>
        <w:spacing w:after="0" w:line="257" w:lineRule="auto"/>
        <w:rPr>
          <w:sz w:val="20"/>
          <w:szCs w:val="20"/>
          <w:color w:val="auto"/>
        </w:rPr>
      </w:pPr>
      <w:r>
        <w:rPr>
          <w:rFonts w:ascii="Arial" w:cs="Arial" w:eastAsia="Arial" w:hAnsi="Arial"/>
          <w:sz w:val="19"/>
          <w:szCs w:val="19"/>
          <w:color w:val="auto"/>
        </w:rPr>
        <w:t>We have provided ranges, rather than specific amounts, for the preliminary results described above primarily because our financial closing procedures for the three months ended March 31, 2020 are not yet complete and, as a result, we expect that our final results upon completion of our closing procedures may vary materially from the preliminary estimates within the ranges as described above. The estimates were prepared by and are the responsibility of our management, based upon a number of assumptions, in connection with preparation of our financial statements and completion of the quarter. Such ranges have not been audited, reviewed, compiled, or had agreed-upon procedures applied by our independent registered public accounting firm. Accordingly, our independent registered public accounting firm does not express an opinion or any other form of assurance with respect thereto. We plan to report completed financial results for the three months ended March 31, 2020 on or about May 5, 2020.</w:t>
      </w:r>
    </w:p>
    <w:p>
      <w:pPr>
        <w:spacing w:after="0" w:line="180" w:lineRule="exact"/>
        <w:rPr>
          <w:sz w:val="20"/>
          <w:szCs w:val="20"/>
          <w:color w:val="auto"/>
        </w:rPr>
      </w:pPr>
    </w:p>
    <w:p>
      <w:pPr>
        <w:ind w:right="120" w:firstLine="450"/>
        <w:spacing w:after="0" w:line="259" w:lineRule="auto"/>
        <w:rPr>
          <w:sz w:val="20"/>
          <w:szCs w:val="20"/>
          <w:color w:val="auto"/>
        </w:rPr>
      </w:pPr>
      <w:r>
        <w:rPr>
          <w:rFonts w:ascii="Arial" w:cs="Arial" w:eastAsia="Arial" w:hAnsi="Arial"/>
          <w:sz w:val="19"/>
          <w:szCs w:val="19"/>
          <w:color w:val="auto"/>
        </w:rPr>
        <w:t>Additional items that would require material adjustments to the preliminary financial information may be identified. Factors that could cause our actual first quarter results to differ from the ranges presented herein include, without limitation, completion of the closing process, which includes account reconciliations, business performance reviews and fluctuation analyses. Estimates of results are inherently uncertain and subject to change, and we undertake no obligation to update this information. In addition, the preliminary results for the three months ended March 31, 2020 are not necessarily indicative of future performance or any other period, including the results to be achieved for the remainder of the fiscal year ending December 31, 2020 or any future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483870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2" w:name="page3"/>
    <w:bookmarkEnd w:id="2"/>
    <w:p>
      <w:pPr>
        <w:ind w:left="460"/>
        <w:spacing w:after="0"/>
        <w:rPr>
          <w:sz w:val="20"/>
          <w:szCs w:val="20"/>
          <w:color w:val="auto"/>
        </w:rPr>
      </w:pPr>
      <w:r>
        <w:rPr>
          <w:rFonts w:ascii="Arial" w:cs="Arial" w:eastAsia="Arial" w:hAnsi="Arial"/>
          <w:sz w:val="20"/>
          <w:szCs w:val="20"/>
          <w:i w:val="1"/>
          <w:iCs w:val="1"/>
          <w:color w:val="auto"/>
        </w:rPr>
        <w:t>Reconciliation of Adjusted EBITDA to Income from Continuing Operations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jc w:val="center"/>
              <w:ind w:left="215"/>
              <w:spacing w:after="0"/>
              <w:rPr>
                <w:sz w:val="20"/>
                <w:szCs w:val="20"/>
                <w:color w:val="auto"/>
              </w:rPr>
            </w:pPr>
            <w:r>
              <w:rPr>
                <w:rFonts w:ascii="Arial" w:cs="Arial" w:eastAsia="Arial" w:hAnsi="Arial"/>
                <w:sz w:val="17"/>
                <w:szCs w:val="17"/>
                <w:b w:val="1"/>
                <w:bCs w:val="1"/>
                <w:color w:val="auto"/>
                <w:w w:val="92"/>
              </w:rPr>
              <w:t>Three Months Ended</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0" w:type="dxa"/>
            <w:vAlign w:val="bottom"/>
            <w:gridSpan w:val="4"/>
          </w:tcPr>
          <w:p>
            <w:pPr>
              <w:ind w:left="1080"/>
              <w:spacing w:after="0"/>
              <w:rPr>
                <w:sz w:val="20"/>
                <w:szCs w:val="20"/>
                <w:color w:val="auto"/>
              </w:rPr>
            </w:pPr>
            <w:r>
              <w:rPr>
                <w:rFonts w:ascii="Arial" w:cs="Arial" w:eastAsia="Arial" w:hAnsi="Arial"/>
                <w:sz w:val="17"/>
                <w:szCs w:val="17"/>
                <w:b w:val="1"/>
                <w:bCs w:val="1"/>
                <w:color w:val="auto"/>
              </w:rPr>
              <w:t>Three Months Ended March 31, 2020</w:t>
            </w:r>
          </w:p>
        </w:tc>
      </w:tr>
      <w:tr>
        <w:trPr>
          <w:trHeight w:val="227"/>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Borders>
              <w:bottom w:val="single" w:sz="8" w:color="auto"/>
            </w:tcBorders>
          </w:tcPr>
          <w:p>
            <w:pPr>
              <w:jc w:val="center"/>
              <w:ind w:left="215"/>
              <w:spacing w:after="0"/>
              <w:rPr>
                <w:sz w:val="20"/>
                <w:szCs w:val="20"/>
                <w:color w:val="auto"/>
              </w:rPr>
            </w:pPr>
            <w:r>
              <w:rPr>
                <w:rFonts w:ascii="Arial" w:cs="Arial" w:eastAsia="Arial" w:hAnsi="Arial"/>
                <w:sz w:val="17"/>
                <w:szCs w:val="17"/>
                <w:b w:val="1"/>
                <w:bCs w:val="1"/>
                <w:color w:val="auto"/>
                <w:w w:val="92"/>
              </w:rPr>
              <w:t>March 31, 2019</w:t>
            </w:r>
          </w:p>
        </w:tc>
        <w:tc>
          <w:tcPr>
            <w:tcW w:w="3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Low</w:t>
            </w:r>
          </w:p>
        </w:tc>
        <w:tc>
          <w:tcPr>
            <w:tcW w:w="340" w:type="dxa"/>
            <w:vAlign w:val="bottom"/>
            <w:tcBorders>
              <w:top w:val="single" w:sz="8" w:color="auto"/>
            </w:tcBorders>
          </w:tcPr>
          <w:p>
            <w:pPr>
              <w:spacing w:after="0"/>
              <w:rPr>
                <w:sz w:val="19"/>
                <w:szCs w:val="19"/>
                <w:color w:val="auto"/>
              </w:rPr>
            </w:pPr>
          </w:p>
        </w:tc>
        <w:tc>
          <w:tcPr>
            <w:tcW w:w="22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19"/>
                <w:szCs w:val="19"/>
                <w:color w:val="auto"/>
              </w:rPr>
            </w:pPr>
          </w:p>
        </w:tc>
      </w:tr>
      <w:tr>
        <w:trPr>
          <w:trHeight w:val="223"/>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tcPr>
          <w:p>
            <w:pPr>
              <w:jc w:val="right"/>
              <w:ind w:right="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3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Reconciliation of Adjusted EBITDA to</w:t>
            </w:r>
          </w:p>
        </w:tc>
        <w:tc>
          <w:tcPr>
            <w:tcW w:w="34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340" w:type="dxa"/>
            <w:vAlign w:val="bottom"/>
            <w:shd w:val="clear" w:color="auto" w:fill="CFF0FC"/>
          </w:tcPr>
          <w:p>
            <w:pPr>
              <w:spacing w:after="0"/>
              <w:rPr>
                <w:sz w:val="20"/>
                <w:szCs w:val="20"/>
                <w:color w:val="auto"/>
              </w:rPr>
            </w:pPr>
          </w:p>
        </w:tc>
        <w:tc>
          <w:tcPr>
            <w:tcW w:w="19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5"/>
        </w:trPr>
        <w:tc>
          <w:tcPr>
            <w:tcW w:w="33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w w:val="98"/>
              </w:rPr>
              <w:t>attributable to NCR common stockholders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Plus: Interest expense (net)</w:t>
            </w:r>
          </w:p>
        </w:tc>
        <w:tc>
          <w:tcPr>
            <w:tcW w:w="3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FF0FC"/>
          </w:tcPr>
          <w:p>
            <w:pPr>
              <w:spacing w:after="0"/>
              <w:rPr>
                <w:sz w:val="19"/>
                <w:szCs w:val="19"/>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FF0FC"/>
          </w:tcPr>
          <w:p>
            <w:pPr>
              <w:spacing w:after="0"/>
              <w:rPr>
                <w:sz w:val="19"/>
                <w:szCs w:val="19"/>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Plus: Income tax expense (benefit)</w:t>
            </w: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Plus: Depreciation and amortization</w:t>
            </w:r>
          </w:p>
        </w:tc>
        <w:tc>
          <w:tcPr>
            <w:tcW w:w="340" w:type="dxa"/>
            <w:vAlign w:val="bottom"/>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FF0FC"/>
          </w:tcPr>
          <w:p>
            <w:pPr>
              <w:spacing w:after="0"/>
              <w:rPr>
                <w:sz w:val="19"/>
                <w:szCs w:val="19"/>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FF0FC"/>
          </w:tcPr>
          <w:p>
            <w:pPr>
              <w:spacing w:after="0"/>
              <w:rPr>
                <w:sz w:val="19"/>
                <w:szCs w:val="19"/>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19"/>
                <w:szCs w:val="19"/>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EBITDA</w:t>
            </w: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169</w:t>
            </w:r>
          </w:p>
        </w:tc>
        <w:tc>
          <w:tcPr>
            <w:tcW w:w="3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150</w:t>
            </w:r>
          </w:p>
        </w:tc>
        <w:tc>
          <w:tcPr>
            <w:tcW w:w="3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34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(a) Transformation charges</w:t>
            </w: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(b) Stock based compensation</w:t>
            </w:r>
          </w:p>
        </w:tc>
        <w:tc>
          <w:tcPr>
            <w:tcW w:w="340" w:type="dxa"/>
            <w:vAlign w:val="bottom"/>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FF0FC"/>
          </w:tcPr>
          <w:p>
            <w:pPr>
              <w:spacing w:after="0"/>
              <w:rPr>
                <w:sz w:val="19"/>
                <w:szCs w:val="19"/>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FF0FC"/>
          </w:tcPr>
          <w:p>
            <w:pPr>
              <w:spacing w:after="0"/>
              <w:rPr>
                <w:sz w:val="19"/>
                <w:szCs w:val="19"/>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r>
      <w:tr>
        <w:trPr>
          <w:trHeight w:val="223"/>
        </w:trPr>
        <w:tc>
          <w:tcPr>
            <w:tcW w:w="3300" w:type="dxa"/>
            <w:vAlign w:val="bottom"/>
          </w:tcPr>
          <w:p>
            <w:pPr>
              <w:spacing w:after="0"/>
              <w:rPr>
                <w:sz w:val="20"/>
                <w:szCs w:val="20"/>
                <w:color w:val="auto"/>
              </w:rPr>
            </w:pPr>
            <w:r>
              <w:rPr>
                <w:rFonts w:ascii="Arial" w:cs="Arial" w:eastAsia="Arial" w:hAnsi="Arial"/>
                <w:sz w:val="18"/>
                <w:szCs w:val="18"/>
                <w:color w:val="auto"/>
              </w:rPr>
              <w:t>Adjusted EBITDA</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3" w:lineRule="exact"/>
        <w:rPr>
          <w:sz w:val="20"/>
          <w:szCs w:val="20"/>
          <w:color w:val="auto"/>
        </w:rPr>
      </w:pPr>
    </w:p>
    <w:p>
      <w:pPr>
        <w:ind w:right="100" w:firstLine="450"/>
        <w:spacing w:after="0" w:line="263" w:lineRule="auto"/>
        <w:rPr>
          <w:sz w:val="20"/>
          <w:szCs w:val="20"/>
          <w:color w:val="auto"/>
        </w:rPr>
      </w:pPr>
      <w:r>
        <w:rPr>
          <w:rFonts w:ascii="Arial" w:cs="Arial" w:eastAsia="Arial" w:hAnsi="Arial"/>
          <w:sz w:val="19"/>
          <w:szCs w:val="19"/>
          <w:color w:val="auto"/>
        </w:rPr>
        <w:t>EBITDA and Adjusted EBITDA as presented above, are supplemental measures of our performance that are not required by, or presented in accordance with, generally accepted accounting principles (“GAAP”). They are not measurements of our financial performance under GAAP and should not be considered as alternatives to revenues, net income or any other performance measures derived in accordance with GAAP or as alternatives to cash flow from operating activities as measures of our liquidity.</w:t>
      </w:r>
    </w:p>
    <w:p>
      <w:pPr>
        <w:spacing w:after="0" w:line="176" w:lineRule="exact"/>
        <w:rPr>
          <w:sz w:val="20"/>
          <w:szCs w:val="20"/>
          <w:color w:val="auto"/>
        </w:rPr>
      </w:pPr>
    </w:p>
    <w:p>
      <w:pPr>
        <w:ind w:right="40" w:firstLine="450"/>
        <w:spacing w:after="0" w:line="273" w:lineRule="auto"/>
        <w:rPr>
          <w:sz w:val="20"/>
          <w:szCs w:val="20"/>
          <w:color w:val="auto"/>
        </w:rPr>
      </w:pPr>
      <w:r>
        <w:rPr>
          <w:rFonts w:ascii="Arial" w:cs="Arial" w:eastAsia="Arial" w:hAnsi="Arial"/>
          <w:sz w:val="18"/>
          <w:szCs w:val="18"/>
          <w:color w:val="auto"/>
        </w:rPr>
        <w:t>While NCR reports its results in accordance with GAAP, it believes certain non-GAAP financial measures provide additional useful information regarding NCR’s financial results. NCR’s management evaluates our results excluding certain items, such as pension mark-to-market adjustments, to assess our financial performance and believes this information is useful for investors because it provides a more complete understanding of NCR’s underlying operational performance, as well as consistency and comparability with NCR’s past reports of financial results. In addition, management uses certain of these measures to manage and determine effectiveness of its business managers and as a basis for incentive compensation. NCR management’s calculation of these non-GAAP measures may differ from similarly-titled measures reported by other companies and cannot, therefore, be compared with similarly-titled measures of other companies. These non-GAAP measures should not be considered as substitutes for, or superior to, results determined in accordance with GAAP.</w:t>
      </w:r>
    </w:p>
    <w:p>
      <w:pPr>
        <w:spacing w:after="0" w:line="168" w:lineRule="exact"/>
        <w:rPr>
          <w:sz w:val="20"/>
          <w:szCs w:val="20"/>
          <w:color w:val="auto"/>
        </w:rPr>
      </w:pPr>
    </w:p>
    <w:p>
      <w:pPr>
        <w:ind w:right="40" w:firstLine="450"/>
        <w:spacing w:after="0" w:line="242" w:lineRule="auto"/>
        <w:rPr>
          <w:sz w:val="20"/>
          <w:szCs w:val="20"/>
          <w:color w:val="auto"/>
        </w:rPr>
      </w:pPr>
      <w:r>
        <w:rPr>
          <w:rFonts w:ascii="Arial" w:cs="Arial" w:eastAsia="Arial" w:hAnsi="Arial"/>
          <w:sz w:val="20"/>
          <w:szCs w:val="20"/>
          <w:color w:val="auto"/>
        </w:rPr>
        <w:t>EBITDA is defined as income from continuing operations attributable to NCR common stockholders plus interest expense (net), income tax expense (benefit) and depreciation and amortization. Adjusted EBITDA is defined as EBITDA as further adjusted to exclude other adjustments identified in the reconciliation table above. Additionally, we believe Adjusted EBITDA is frequently used by securities analysts, investors and other interested parties in the evaluation of companies in our industry on a consistent basis by excluding items that we do not believe are indicative of our core operating performance. We also believe that Adjusted EBITDA provides useful information to investors because it is an indicator of the strength and performance of the Company’s ongoing business operations, including its ability to fund discretionary spending, such as capital expenditures, strategic acquisitions and other investments. Adjusted EBITDA has limitations as an analytical tool, and you should not consider it in isolation, or as a substitute for analysis of our results as reported in accordance with GAAP.</w:t>
      </w:r>
    </w:p>
    <w:p>
      <w:pPr>
        <w:spacing w:after="0" w:line="194" w:lineRule="exact"/>
        <w:rPr>
          <w:sz w:val="20"/>
          <w:szCs w:val="20"/>
          <w:color w:val="auto"/>
        </w:rPr>
      </w:pPr>
    </w:p>
    <w:p>
      <w:pPr>
        <w:ind w:right="320" w:firstLine="450"/>
        <w:spacing w:after="0" w:line="246" w:lineRule="auto"/>
        <w:rPr>
          <w:sz w:val="20"/>
          <w:szCs w:val="20"/>
          <w:color w:val="auto"/>
        </w:rPr>
      </w:pPr>
      <w:r>
        <w:rPr>
          <w:rFonts w:ascii="Arial" w:cs="Arial" w:eastAsia="Arial" w:hAnsi="Arial"/>
          <w:sz w:val="20"/>
          <w:szCs w:val="20"/>
          <w:color w:val="auto"/>
        </w:rPr>
        <w:t>The information furnished under Item 2.02 in this Form 8-K shall not be deemed “filed” for purposes of Section 18 of the Securities Exchange Act of 1934, as amended (the “Exchange Act”), or otherwise subject to the liabilities of that section and shall not be deemed incorporated by reference in any filing made by the Company under the Securities Act of 1933, as amended (the “Securities Act”), or the Exchange Act, except as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3" w:name="page4"/>
    <w:bookmarkEnd w:id="3"/>
    <w:p>
      <w:pPr>
        <w:spacing w:after="0"/>
        <w:tabs>
          <w:tab w:leader="none" w:pos="148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2" w:lineRule="exact"/>
        <w:rPr>
          <w:sz w:val="20"/>
          <w:szCs w:val="20"/>
          <w:color w:val="auto"/>
        </w:rPr>
      </w:pPr>
    </w:p>
    <w:p>
      <w:pPr>
        <w:ind w:right="100" w:firstLine="450"/>
        <w:spacing w:after="0" w:line="250" w:lineRule="auto"/>
        <w:rPr>
          <w:sz w:val="20"/>
          <w:szCs w:val="20"/>
          <w:color w:val="auto"/>
        </w:rPr>
      </w:pPr>
      <w:r>
        <w:rPr>
          <w:rFonts w:ascii="Arial" w:cs="Arial" w:eastAsia="Arial" w:hAnsi="Arial"/>
          <w:sz w:val="20"/>
          <w:szCs w:val="20"/>
          <w:color w:val="auto"/>
        </w:rPr>
        <w:t>In connection with a previously announced private financing transaction, we anticipate disclosing to prospective investors certain information that has not been previously publicly reported. This information is attached hereto as Exhibit 99.1 and incorporated by reference herein.</w:t>
      </w:r>
    </w:p>
    <w:p>
      <w:pPr>
        <w:spacing w:after="0" w:line="186" w:lineRule="exact"/>
        <w:rPr>
          <w:sz w:val="20"/>
          <w:szCs w:val="20"/>
          <w:color w:val="auto"/>
        </w:rPr>
      </w:pPr>
    </w:p>
    <w:p>
      <w:pPr>
        <w:jc w:val="both"/>
        <w:ind w:firstLine="450"/>
        <w:spacing w:after="0" w:line="250" w:lineRule="auto"/>
        <w:rPr>
          <w:sz w:val="20"/>
          <w:szCs w:val="20"/>
          <w:color w:val="auto"/>
        </w:rPr>
      </w:pPr>
      <w:r>
        <w:rPr>
          <w:rFonts w:ascii="Arial" w:cs="Arial" w:eastAsia="Arial" w:hAnsi="Arial"/>
          <w:sz w:val="20"/>
          <w:szCs w:val="20"/>
          <w:color w:val="auto"/>
        </w:rPr>
        <w:t>This report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186" w:lineRule="exact"/>
        <w:rPr>
          <w:sz w:val="20"/>
          <w:szCs w:val="20"/>
          <w:color w:val="auto"/>
        </w:rPr>
      </w:pPr>
    </w:p>
    <w:p>
      <w:pPr>
        <w:ind w:right="320" w:firstLine="450"/>
        <w:spacing w:after="0" w:line="282" w:lineRule="auto"/>
        <w:rPr>
          <w:sz w:val="20"/>
          <w:szCs w:val="20"/>
          <w:color w:val="auto"/>
        </w:rPr>
      </w:pPr>
      <w:r>
        <w:rPr>
          <w:rFonts w:ascii="Arial" w:cs="Arial" w:eastAsia="Arial" w:hAnsi="Arial"/>
          <w:sz w:val="18"/>
          <w:szCs w:val="18"/>
          <w:color w:val="auto"/>
        </w:rPr>
        <w:t>The information furnished under Item 7.01 in this Form 8-K shall not be deemed “filed” for purposes of Section 18 of the Exchange Act, or otherwise subject to the liabilities of that section and shall not be deemed incorporated by reference in any filing made by the Company under the Securities Act or the Exchange Act, except as set forth by specific reference in such filing. This report shall not be deemed an admission as to the materiality of any information in this report that is being disclosed pursuant to Regulation FD.</w:t>
      </w:r>
    </w:p>
    <w:p>
      <w:pPr>
        <w:spacing w:after="0" w:line="236"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exhibits are attached with this current report on Form 8-K: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20"/>
                <w:szCs w:val="20"/>
                <w:color w:val="auto"/>
              </w:rPr>
              <w:t>Exhibit No</w:t>
            </w:r>
          </w:p>
        </w:tc>
        <w:tc>
          <w:tcPr>
            <w:tcW w:w="10160" w:type="dxa"/>
            <w:vAlign w:val="bottom"/>
          </w:tcPr>
          <w:p>
            <w:pPr>
              <w:ind w:left="200"/>
              <w:spacing w:after="0"/>
              <w:rPr>
                <w:sz w:val="20"/>
                <w:szCs w:val="20"/>
                <w:color w:val="auto"/>
              </w:rPr>
            </w:pPr>
            <w:r>
              <w:rPr>
                <w:rFonts w:ascii="Arial" w:cs="Arial" w:eastAsia="Arial" w:hAnsi="Arial"/>
                <w:sz w:val="20"/>
                <w:szCs w:val="20"/>
                <w:color w:val="auto"/>
              </w:rPr>
              <w:t>Description</w:t>
            </w:r>
          </w:p>
        </w:tc>
      </w:tr>
      <w:tr>
        <w:trPr>
          <w:trHeight w:val="229"/>
        </w:trPr>
        <w:tc>
          <w:tcPr>
            <w:tcW w:w="1080" w:type="dxa"/>
            <w:vAlign w:val="bottom"/>
          </w:tcPr>
          <w:p>
            <w:pPr>
              <w:spacing w:after="0"/>
              <w:rPr>
                <w:sz w:val="20"/>
                <w:szCs w:val="20"/>
                <w:color w:val="auto"/>
              </w:rPr>
            </w:pPr>
            <w:r>
              <w:rPr>
                <w:rFonts w:ascii="Arial" w:cs="Arial" w:eastAsia="Arial" w:hAnsi="Arial"/>
                <w:sz w:val="20"/>
                <w:szCs w:val="20"/>
                <w:color w:val="auto"/>
              </w:rPr>
              <w:t>99.1</w:t>
            </w:r>
          </w:p>
        </w:tc>
        <w:tc>
          <w:tcPr>
            <w:tcW w:w="10160" w:type="dxa"/>
            <w:vAlign w:val="bottom"/>
          </w:tcPr>
          <w:p>
            <w:pPr>
              <w:ind w:left="200"/>
              <w:spacing w:after="0"/>
              <w:rPr>
                <w:rFonts w:ascii="Arial" w:cs="Arial" w:eastAsia="Arial" w:hAnsi="Arial"/>
                <w:sz w:val="20"/>
                <w:szCs w:val="20"/>
                <w:color w:val="0000EE"/>
              </w:rPr>
            </w:pPr>
            <w:hyperlink w:anchor="page6">
              <w:r>
                <w:rPr>
                  <w:rFonts w:ascii="Arial" w:cs="Arial" w:eastAsia="Arial" w:hAnsi="Arial"/>
                  <w:sz w:val="20"/>
                  <w:szCs w:val="20"/>
                  <w:u w:val="single" w:color="auto"/>
                  <w:color w:val="0000EE"/>
                </w:rPr>
                <w:t>Certain information with respect to NCR Corporation that has not been previously reported to the public</w:t>
              </w:r>
              <w:r>
                <w:rPr>
                  <w:rFonts w:ascii="Arial" w:cs="Arial" w:eastAsia="Arial" w:hAnsi="Arial"/>
                  <w:sz w:val="20"/>
                  <w:szCs w:val="20"/>
                  <w:color w:val="0000EE"/>
                </w:rPr>
                <w:t>.</w:t>
              </w:r>
            </w:hyperlink>
          </w:p>
        </w:tc>
      </w:tr>
      <w:tr>
        <w:trPr>
          <w:trHeight w:val="250"/>
        </w:trPr>
        <w:tc>
          <w:tcPr>
            <w:tcW w:w="1080" w:type="dxa"/>
            <w:vAlign w:val="bottom"/>
          </w:tcPr>
          <w:p>
            <w:pPr>
              <w:spacing w:after="0"/>
              <w:rPr>
                <w:sz w:val="20"/>
                <w:szCs w:val="20"/>
                <w:color w:val="auto"/>
              </w:rPr>
            </w:pPr>
            <w:r>
              <w:rPr>
                <w:rFonts w:ascii="Arial" w:cs="Arial" w:eastAsia="Arial" w:hAnsi="Arial"/>
                <w:sz w:val="20"/>
                <w:szCs w:val="20"/>
                <w:color w:val="auto"/>
              </w:rPr>
              <w:t>104</w:t>
            </w:r>
          </w:p>
        </w:tc>
        <w:tc>
          <w:tcPr>
            <w:tcW w:w="10160" w:type="dxa"/>
            <w:vAlign w:val="bottom"/>
          </w:tcPr>
          <w:p>
            <w:pPr>
              <w:ind w:left="200"/>
              <w:spacing w:after="0"/>
              <w:rPr>
                <w:sz w:val="20"/>
                <w:szCs w:val="20"/>
                <w:color w:val="auto"/>
              </w:rPr>
            </w:pPr>
            <w:r>
              <w:rPr>
                <w:rFonts w:ascii="Arial" w:cs="Arial" w:eastAsia="Arial" w:hAnsi="Arial"/>
                <w:sz w:val="20"/>
                <w:szCs w:val="20"/>
                <w:color w:val="auto"/>
              </w:rPr>
              <w:t>Cover Page Interactive Data File (the cover page XBRL tags are embedded within the Inline XBRL document).</w:t>
            </w:r>
          </w:p>
        </w:tc>
      </w:tr>
      <w:tr>
        <w:trPr>
          <w:trHeight w:val="1245"/>
        </w:trPr>
        <w:tc>
          <w:tcPr>
            <w:tcW w:w="1080" w:type="dxa"/>
            <w:vAlign w:val="bottom"/>
            <w:tcBorders>
              <w:bottom w:val="single" w:sz="8" w:color="9A9A9A"/>
            </w:tcBorders>
          </w:tcPr>
          <w:p>
            <w:pPr>
              <w:spacing w:after="0"/>
              <w:rPr>
                <w:sz w:val="24"/>
                <w:szCs w:val="24"/>
                <w:color w:val="auto"/>
              </w:rPr>
            </w:pPr>
          </w:p>
        </w:tc>
        <w:tc>
          <w:tcPr>
            <w:tcW w:w="10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SIGNATURES</w:t>
      </w:r>
    </w:p>
    <w:p>
      <w:pPr>
        <w:spacing w:after="0" w:line="221" w:lineRule="exact"/>
        <w:rPr>
          <w:sz w:val="20"/>
          <w:szCs w:val="20"/>
          <w:color w:val="auto"/>
        </w:rPr>
      </w:pPr>
    </w:p>
    <w:p>
      <w:pPr>
        <w:ind w:right="480" w:firstLine="54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100" w:type="dxa"/>
            <w:vAlign w:val="bottom"/>
          </w:tcPr>
          <w:p>
            <w:pPr>
              <w:ind w:left="540"/>
              <w:spacing w:after="0"/>
              <w:rPr>
                <w:sz w:val="20"/>
                <w:szCs w:val="20"/>
                <w:color w:val="auto"/>
              </w:rPr>
            </w:pPr>
            <w:r>
              <w:rPr>
                <w:rFonts w:ascii="Arial" w:cs="Arial" w:eastAsia="Arial" w:hAnsi="Arial"/>
                <w:sz w:val="20"/>
                <w:szCs w:val="20"/>
                <w:b w:val="1"/>
                <w:bCs w:val="1"/>
                <w:color w:val="auto"/>
              </w:rPr>
              <w:t>NCR CORPORATION</w:t>
            </w:r>
          </w:p>
        </w:tc>
        <w:tc>
          <w:tcPr>
            <w:tcW w:w="1940" w:type="dxa"/>
            <w:vAlign w:val="bottom"/>
          </w:tcPr>
          <w:p>
            <w:pPr>
              <w:spacing w:after="0"/>
              <w:rPr>
                <w:sz w:val="22"/>
                <w:szCs w:val="22"/>
                <w:color w:val="auto"/>
              </w:rPr>
            </w:pPr>
          </w:p>
        </w:tc>
        <w:tc>
          <w:tcPr>
            <w:tcW w:w="5200" w:type="dxa"/>
            <w:vAlign w:val="bottom"/>
          </w:tcPr>
          <w:p>
            <w:pPr>
              <w:spacing w:after="0"/>
              <w:rPr>
                <w:sz w:val="22"/>
                <w:szCs w:val="22"/>
                <w:color w:val="auto"/>
              </w:rPr>
            </w:pPr>
          </w:p>
        </w:tc>
      </w:tr>
      <w:tr>
        <w:trPr>
          <w:trHeight w:val="468"/>
        </w:trPr>
        <w:tc>
          <w:tcPr>
            <w:tcW w:w="4100" w:type="dxa"/>
            <w:vAlign w:val="bottom"/>
          </w:tcPr>
          <w:p>
            <w:pPr>
              <w:spacing w:after="0"/>
              <w:rPr>
                <w:sz w:val="20"/>
                <w:szCs w:val="20"/>
                <w:color w:val="auto"/>
              </w:rPr>
            </w:pPr>
            <w:r>
              <w:rPr>
                <w:rFonts w:ascii="Arial" w:cs="Arial" w:eastAsia="Arial" w:hAnsi="Arial"/>
                <w:sz w:val="20"/>
                <w:szCs w:val="20"/>
                <w:color w:val="auto"/>
              </w:rPr>
              <w:t>Date: April 7, 2020</w:t>
            </w:r>
          </w:p>
        </w:tc>
        <w:tc>
          <w:tcPr>
            <w:tcW w:w="7140" w:type="dxa"/>
            <w:vAlign w:val="bottom"/>
            <w:gridSpan w:val="2"/>
          </w:tcPr>
          <w:p>
            <w:pPr>
              <w:ind w:left="1580"/>
              <w:spacing w:after="0"/>
              <w:rPr>
                <w:sz w:val="20"/>
                <w:szCs w:val="20"/>
                <w:color w:val="auto"/>
              </w:rPr>
            </w:pPr>
            <w:r>
              <w:rPr>
                <w:rFonts w:ascii="Arial" w:cs="Arial" w:eastAsia="Arial" w:hAnsi="Arial"/>
                <w:sz w:val="20"/>
                <w:szCs w:val="20"/>
                <w:color w:val="auto"/>
              </w:rPr>
              <w:t>By: /s/ Andre J. Fernandez</w:t>
            </w:r>
          </w:p>
        </w:tc>
      </w:tr>
      <w:tr>
        <w:trPr>
          <w:trHeight w:val="233"/>
        </w:trPr>
        <w:tc>
          <w:tcPr>
            <w:tcW w:w="4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2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Andre J. Fernandez</w:t>
            </w:r>
          </w:p>
        </w:tc>
      </w:tr>
      <w:tr>
        <w:trPr>
          <w:trHeight w:val="250"/>
        </w:trPr>
        <w:tc>
          <w:tcPr>
            <w:tcW w:w="4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200" w:type="dxa"/>
            <w:vAlign w:val="bottom"/>
          </w:tcPr>
          <w:p>
            <w:pPr>
              <w:spacing w:after="0"/>
              <w:rPr>
                <w:sz w:val="20"/>
                <w:szCs w:val="20"/>
                <w:color w:val="auto"/>
              </w:rPr>
            </w:pPr>
            <w:r>
              <w:rPr>
                <w:rFonts w:ascii="Arial" w:cs="Arial" w:eastAsia="Arial" w:hAnsi="Arial"/>
                <w:sz w:val="20"/>
                <w:szCs w:val="20"/>
                <w:i w:val="1"/>
                <w:iCs w:val="1"/>
                <w:color w:val="auto"/>
              </w:rPr>
              <w:t>Executive Vice President and Chief Financial Officer</w:t>
            </w:r>
          </w:p>
        </w:tc>
      </w:tr>
    </w:tbl>
    <w:p>
      <w:pPr>
        <w:sectPr>
          <w:pgSz w:w="11900" w:h="16838" w:orient="portrait"/>
          <w:cols w:equalWidth="0" w:num="1">
            <w:col w:w="11240"/>
          </w:cols>
          <w:pgMar w:left="320" w:top="118"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42" w:lineRule="exact"/>
        <w:rPr>
          <w:sz w:val="20"/>
          <w:szCs w:val="20"/>
          <w:color w:val="auto"/>
        </w:rPr>
      </w:pPr>
    </w:p>
    <w:p>
      <w:pPr>
        <w:ind w:right="520"/>
        <w:spacing w:after="0" w:line="250" w:lineRule="auto"/>
        <w:rPr>
          <w:sz w:val="20"/>
          <w:szCs w:val="20"/>
          <w:color w:val="auto"/>
        </w:rPr>
      </w:pPr>
      <w:r>
        <w:rPr>
          <w:rFonts w:ascii="Arial" w:cs="Arial" w:eastAsia="Arial" w:hAnsi="Arial"/>
          <w:sz w:val="22"/>
          <w:szCs w:val="22"/>
          <w:color w:val="auto"/>
        </w:rPr>
        <w:t>Unless otherwise indicated or the context otherwise requires, the “Company,</w:t>
      </w:r>
      <w:r>
        <w:rPr>
          <w:rFonts w:ascii="Arial" w:cs="Arial" w:eastAsia="Arial" w:hAnsi="Arial"/>
          <w:sz w:val="17"/>
          <w:szCs w:val="17"/>
          <w:color w:val="auto"/>
        </w:rPr>
        <w:t>”</w:t>
      </w:r>
      <w:r>
        <w:rPr>
          <w:rFonts w:ascii="Arial" w:cs="Arial" w:eastAsia="Arial" w:hAnsi="Arial"/>
          <w:sz w:val="22"/>
          <w:szCs w:val="22"/>
          <w:color w:val="auto"/>
        </w:rPr>
        <w:t xml:space="preserve"> “NCR,” “we,” “our” and “us” refer to NCR Corporation and its consolidated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COVID-19</w:t>
      </w:r>
    </w:p>
    <w:p>
      <w:pPr>
        <w:spacing w:after="0" w:line="220" w:lineRule="exact"/>
        <w:rPr>
          <w:sz w:val="20"/>
          <w:szCs w:val="20"/>
          <w:color w:val="auto"/>
        </w:rPr>
      </w:pPr>
    </w:p>
    <w:p>
      <w:pPr>
        <w:ind w:right="60" w:firstLine="540"/>
        <w:spacing w:after="0" w:line="279" w:lineRule="auto"/>
        <w:rPr>
          <w:sz w:val="20"/>
          <w:szCs w:val="20"/>
          <w:color w:val="auto"/>
        </w:rPr>
      </w:pPr>
      <w:r>
        <w:rPr>
          <w:rFonts w:ascii="Arial" w:cs="Arial" w:eastAsia="Arial" w:hAnsi="Arial"/>
          <w:sz w:val="19"/>
          <w:szCs w:val="19"/>
          <w:color w:val="auto"/>
        </w:rPr>
        <w:t>The impact of the novel strain of the coronavirus identified in late 2019 (“</w:t>
      </w:r>
      <w:r>
        <w:rPr>
          <w:rFonts w:ascii="Arial" w:cs="Arial" w:eastAsia="Arial" w:hAnsi="Arial"/>
          <w:sz w:val="19"/>
          <w:szCs w:val="19"/>
          <w:i w:val="1"/>
          <w:iCs w:val="1"/>
          <w:color w:val="auto"/>
        </w:rPr>
        <w:t>COVID-19</w:t>
      </w:r>
      <w:r>
        <w:rPr>
          <w:rFonts w:ascii="Arial" w:cs="Arial" w:eastAsia="Arial" w:hAnsi="Arial"/>
          <w:sz w:val="19"/>
          <w:szCs w:val="19"/>
          <w:color w:val="auto"/>
        </w:rPr>
        <w:t>”) has grown throughout the world, including in the United States. Governmental authorities have implemented numerous measures attempting to contain and mitigate the effects of COVID-19, including travel bans and restrictions, quarantines, shelter in place orders and shutdowns. The information set forth below is as of the date hereof (unless otherwise indicated) and is subject to change and should not be assumed to be correct as of any date subsequent to such date. See “Risks Related to Our Business—The recent novel coronavirus (COVID-19) outbreak could materially adversely affect our financial condition and results of operations.”</w:t>
      </w:r>
    </w:p>
    <w:p>
      <w:pPr>
        <w:spacing w:after="0" w:line="164" w:lineRule="exact"/>
        <w:rPr>
          <w:sz w:val="20"/>
          <w:szCs w:val="20"/>
          <w:color w:val="auto"/>
        </w:rPr>
      </w:pPr>
    </w:p>
    <w:p>
      <w:pPr>
        <w:ind w:right="160" w:firstLine="540"/>
        <w:spacing w:after="0" w:line="282" w:lineRule="auto"/>
        <w:rPr>
          <w:sz w:val="20"/>
          <w:szCs w:val="20"/>
          <w:color w:val="auto"/>
        </w:rPr>
      </w:pPr>
      <w:r>
        <w:rPr>
          <w:rFonts w:ascii="Arial" w:cs="Arial" w:eastAsia="Arial" w:hAnsi="Arial"/>
          <w:sz w:val="19"/>
          <w:szCs w:val="19"/>
          <w:color w:val="auto"/>
        </w:rPr>
        <w:t>We have been actively monitoring the global outbreak and spread of COVID-19 and taking steps to mitigate the potential risks to us posed by its spread and related circumstances and impacts. We continue to assess and update our business continuity plan in the context of this pandemic. We have taken precautions to help keep our workforce healthy and safe, including establishing a coronavirus task force in January 2020, thermal screening procedures at our manufacturing plants and call centers and remote working arrangements for the vast majority of our back-office employees.</w:t>
      </w:r>
    </w:p>
    <w:p>
      <w:pPr>
        <w:spacing w:after="0" w:line="161" w:lineRule="exact"/>
        <w:rPr>
          <w:sz w:val="20"/>
          <w:szCs w:val="20"/>
          <w:color w:val="auto"/>
        </w:rPr>
      </w:pPr>
    </w:p>
    <w:p>
      <w:pPr>
        <w:ind w:right="220" w:firstLine="540"/>
        <w:spacing w:after="0" w:line="282" w:lineRule="auto"/>
        <w:rPr>
          <w:sz w:val="20"/>
          <w:szCs w:val="20"/>
          <w:color w:val="auto"/>
        </w:rPr>
      </w:pPr>
      <w:r>
        <w:rPr>
          <w:rFonts w:ascii="Arial" w:cs="Arial" w:eastAsia="Arial" w:hAnsi="Arial"/>
          <w:sz w:val="19"/>
          <w:szCs w:val="19"/>
          <w:color w:val="auto"/>
        </w:rPr>
        <w:t>With respect to our Banking segment, we are working with local governments to make sure that these businesses are designated as essential critical infrastructure businesses. Although we may experience potential installation delays, we have not experienced any significant impact to our recurring services revenue stream. We believe our ATM break-fix services, which represented the largest percentage (37%) of Banking segment revenue for the year ended December 31, 2019, has remained strong, although there can be no assurance that such operations will not be impacted in the future.</w:t>
      </w:r>
    </w:p>
    <w:p>
      <w:pPr>
        <w:spacing w:after="0" w:line="161" w:lineRule="exact"/>
        <w:rPr>
          <w:sz w:val="20"/>
          <w:szCs w:val="20"/>
          <w:color w:val="auto"/>
        </w:rPr>
      </w:pPr>
    </w:p>
    <w:p>
      <w:pPr>
        <w:ind w:right="40" w:firstLine="540"/>
        <w:spacing w:after="0" w:line="246" w:lineRule="auto"/>
        <w:rPr>
          <w:sz w:val="20"/>
          <w:szCs w:val="20"/>
          <w:color w:val="auto"/>
        </w:rPr>
      </w:pPr>
      <w:r>
        <w:rPr>
          <w:rFonts w:ascii="Arial" w:cs="Arial" w:eastAsia="Arial" w:hAnsi="Arial"/>
          <w:sz w:val="21"/>
          <w:szCs w:val="21"/>
          <w:color w:val="auto"/>
        </w:rPr>
        <w:t>With respect to our Retail segment, the food, drug and mass merchandising market, which includes grocery stores, drug stores and big box retailers, and which represented 70% of our Retail segment revenue for the year ended December 31, 2019, is currently designated as an essential critical infrastructure business in many jurisdictions. We have realigned our resources to capitalize on the recent significant uptick in customer demand in this market, particularly with regard to online ordering, curbside pickup and self-checkout. However, customers in our department and specialty retail market and in our small and medium business market, which accounted for 16% and 5%, respectively, of our Retail segment revenue for the year ended December 31, 2019, have encountered significant adverse impacts in connection with COVID-19, including as a result of temporary closures of physical stores.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 w:name="page7"/>
    <w:bookmarkEnd w:id="6"/>
    <w:p>
      <w:pPr>
        <w:ind w:right="80" w:firstLine="540"/>
        <w:spacing w:after="0" w:line="245" w:lineRule="auto"/>
        <w:rPr>
          <w:sz w:val="20"/>
          <w:szCs w:val="20"/>
          <w:color w:val="auto"/>
        </w:rPr>
      </w:pPr>
      <w:r>
        <w:rPr>
          <w:rFonts w:ascii="Arial" w:cs="Arial" w:eastAsia="Arial" w:hAnsi="Arial"/>
          <w:sz w:val="21"/>
          <w:szCs w:val="21"/>
          <w:color w:val="auto"/>
        </w:rPr>
        <w:t>With respect to our Hospitality segment, we have experienced an increase in customer demand with respect to drive-through and pick up services, mitigating losses in demand in certain markets due to temporary closures of dining rooms. However, customers in our small and medium business market, which represented 21% of our Hospitality segment revenue for the year ended December 31, 2019, have experienced significant near-term working capital and cash flow adverse impacts as a result of the COVID-19 pandemic, which is expected to continue until COVID-19 is contained and the economy begins to rebound. As of the date hereof, we are working with over 200 small and medium business market customers and have enabled over 100 online ordering sites since the pandemic started. Additionally, customers in our travel and entertainment market, which represented 7% of our Hospitality revenues for the year ended December 31, 2019, have encountered significant adverse impacts as a result of events being canceled or postponed.</w:t>
      </w:r>
    </w:p>
    <w:p>
      <w:pPr>
        <w:spacing w:after="0" w:line="198" w:lineRule="exact"/>
        <w:rPr>
          <w:sz w:val="20"/>
          <w:szCs w:val="20"/>
          <w:color w:val="auto"/>
        </w:rPr>
      </w:pPr>
    </w:p>
    <w:p>
      <w:pPr>
        <w:ind w:firstLine="540"/>
        <w:spacing w:after="0" w:line="236" w:lineRule="auto"/>
        <w:rPr>
          <w:sz w:val="20"/>
          <w:szCs w:val="20"/>
          <w:color w:val="auto"/>
        </w:rPr>
      </w:pPr>
      <w:r>
        <w:rPr>
          <w:rFonts w:ascii="Arial" w:cs="Arial" w:eastAsia="Arial" w:hAnsi="Arial"/>
          <w:sz w:val="22"/>
          <w:szCs w:val="22"/>
          <w:color w:val="auto"/>
        </w:rPr>
        <w:t>We have also made progress in improving our manufacturing cost structure over the past 18 months and have been moving to a mostly variable cost structure. We estimate 70% to 80% of our manufacturing costs are variable, which we believe provides us with the capability to absorb volume changes related to COVID-19 with less impact to profitability. Each of our manufacturing facilities source many of their parts from localized supply chains, which provides us additional flexibility to obtain parts from various suppliers.</w:t>
      </w:r>
    </w:p>
    <w:p>
      <w:pPr>
        <w:spacing w:after="0" w:line="201" w:lineRule="exact"/>
        <w:rPr>
          <w:sz w:val="20"/>
          <w:szCs w:val="20"/>
          <w:color w:val="auto"/>
        </w:rPr>
      </w:pPr>
    </w:p>
    <w:p>
      <w:pPr>
        <w:ind w:right="80" w:firstLine="540"/>
        <w:spacing w:after="0" w:line="272" w:lineRule="auto"/>
        <w:rPr>
          <w:sz w:val="20"/>
          <w:szCs w:val="20"/>
          <w:color w:val="auto"/>
        </w:rPr>
      </w:pPr>
      <w:r>
        <w:rPr>
          <w:rFonts w:ascii="Arial" w:cs="Arial" w:eastAsia="Arial" w:hAnsi="Arial"/>
          <w:sz w:val="19"/>
          <w:szCs w:val="19"/>
          <w:color w:val="auto"/>
        </w:rPr>
        <w:t>We are currently seeking to run our business on at least a cash flow neutral basis until the end of the COVID-19 pandemic and currently intend to address potential business impacts with spending cuts. We have taken several steps to build our cash reserve to maximize financial liquidity and flexibility, including suspending our share repurchase programs, limiting our M&amp;A activity, reducing salary for members of our leadership team and other salaried employees, reducing our planned capital expenditures, eliminating contractors, curtailing travel, freezing merit increases and hiring and drawing down on our five-year, $1,100 million revolving credit facility (the “</w:t>
      </w:r>
      <w:r>
        <w:rPr>
          <w:rFonts w:ascii="Arial" w:cs="Arial" w:eastAsia="Arial" w:hAnsi="Arial"/>
          <w:sz w:val="19"/>
          <w:szCs w:val="19"/>
          <w:i w:val="1"/>
          <w:iCs w:val="1"/>
          <w:color w:val="auto"/>
        </w:rPr>
        <w:t>Revolving Credit Facility</w:t>
      </w:r>
      <w:r>
        <w:rPr>
          <w:rFonts w:ascii="Arial" w:cs="Arial" w:eastAsia="Arial" w:hAnsi="Arial"/>
          <w:sz w:val="19"/>
          <w:szCs w:val="19"/>
          <w:color w:val="auto"/>
        </w:rPr>
        <w:t>”) as described below. The COVID-19 pandemic is complex and rapidly evolving, and the ultimate impact on our overall financial and operating results will depend on the currently unknowable duration and severity of the pandemic as well as any additional governmental and public actions taken in response. Given this rapidly evolving environment, on March 31, 2020, we withdrew our guidance for 2020 (provided on February 11, 2020), and investors should no longer rely upon this guidance. There can be no assurance that the measures we have taken will completely offset any negative impact of COVID-19. See “Risks Related to Our Business—The recent novel coronavirus (COVID-19) outbreak could materially adversely affect our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Revolver Draw-Down; Credit Agreement Amendment</w:t>
      </w:r>
    </w:p>
    <w:p>
      <w:pPr>
        <w:spacing w:after="0" w:line="220" w:lineRule="exact"/>
        <w:rPr>
          <w:sz w:val="20"/>
          <w:szCs w:val="20"/>
          <w:color w:val="auto"/>
        </w:rPr>
      </w:pPr>
    </w:p>
    <w:p>
      <w:pPr>
        <w:ind w:right="20" w:firstLine="540"/>
        <w:spacing w:after="0" w:line="235" w:lineRule="auto"/>
        <w:rPr>
          <w:sz w:val="20"/>
          <w:szCs w:val="20"/>
          <w:color w:val="auto"/>
        </w:rPr>
      </w:pPr>
      <w:r>
        <w:rPr>
          <w:rFonts w:ascii="Arial" w:cs="Arial" w:eastAsia="Arial" w:hAnsi="Arial"/>
          <w:sz w:val="22"/>
          <w:szCs w:val="22"/>
          <w:color w:val="auto"/>
        </w:rPr>
        <w:t>On March 26, 2020, we borrowed loans in an aggregate principal amount of $630 million (the “</w:t>
      </w:r>
      <w:r>
        <w:rPr>
          <w:rFonts w:ascii="Arial" w:cs="Arial" w:eastAsia="Arial" w:hAnsi="Arial"/>
          <w:sz w:val="22"/>
          <w:szCs w:val="22"/>
          <w:i w:val="1"/>
          <w:iCs w:val="1"/>
          <w:color w:val="auto"/>
        </w:rPr>
        <w:t>Revolver Draw-down</w:t>
      </w:r>
      <w:r>
        <w:rPr>
          <w:rFonts w:ascii="Arial" w:cs="Arial" w:eastAsia="Arial" w:hAnsi="Arial"/>
          <w:sz w:val="22"/>
          <w:szCs w:val="22"/>
          <w:color w:val="auto"/>
        </w:rPr>
        <w:t>”) under the Revolving Credit Facility, resulting in such facility being fully drawn. We initiated the Revolver Draw-down as a precautionary measure in order to increase our cash position and preserve financial flexibility in light of current uncertainty in the global markets resulting from the COVID-19 global pandemic. We expect to use the proceeds from the Revolver Draw-down for working capital and general corporate purposes. As of March 31, 2020, $1,070 million of revolving loan borrowings were outstanding under the Revolving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ind w:right="300"/>
        <w:spacing w:after="0"/>
        <w:rPr>
          <w:sz w:val="20"/>
          <w:szCs w:val="20"/>
          <w:color w:val="auto"/>
        </w:rPr>
      </w:pPr>
      <w:r>
        <w:rPr>
          <w:rFonts w:ascii="Arial" w:cs="Arial" w:eastAsia="Arial" w:hAnsi="Arial"/>
          <w:sz w:val="22"/>
          <w:szCs w:val="22"/>
          <w:color w:val="auto"/>
        </w:rPr>
        <w:t>Credit Facility, as well as $28 million of letters of credit (which reduce borrowing availability for revolving loans under the Revolving Credit Facility). We have no immediate plans to repay these amounts, even after the consummation of the proposed private offering.</w:t>
      </w:r>
    </w:p>
    <w:p>
      <w:pPr>
        <w:spacing w:after="0" w:line="200" w:lineRule="exact"/>
        <w:rPr>
          <w:sz w:val="20"/>
          <w:szCs w:val="20"/>
          <w:color w:val="auto"/>
        </w:rPr>
      </w:pPr>
    </w:p>
    <w:p>
      <w:pPr>
        <w:ind w:right="60" w:firstLine="540"/>
        <w:spacing w:after="0" w:line="234" w:lineRule="auto"/>
        <w:rPr>
          <w:sz w:val="20"/>
          <w:szCs w:val="20"/>
          <w:color w:val="auto"/>
        </w:rPr>
      </w:pPr>
      <w:r>
        <w:rPr>
          <w:rFonts w:ascii="Arial" w:cs="Arial" w:eastAsia="Arial" w:hAnsi="Arial"/>
          <w:sz w:val="22"/>
          <w:szCs w:val="22"/>
          <w:color w:val="auto"/>
        </w:rPr>
        <w:t>We have received requisite consent for an amendment to the amended and restated credit agreement dated as of August 28, 2019, among us, the lenders party thereto and JPMorgan Chase Bank, National Association, as administrative agent, governing our senior secured credit facilities (the “</w:t>
      </w:r>
      <w:r>
        <w:rPr>
          <w:rFonts w:ascii="Arial" w:cs="Arial" w:eastAsia="Arial" w:hAnsi="Arial"/>
          <w:sz w:val="22"/>
          <w:szCs w:val="22"/>
          <w:i w:val="1"/>
          <w:iCs w:val="1"/>
          <w:color w:val="auto"/>
        </w:rPr>
        <w:t>Credit Agreement Amendment</w:t>
      </w:r>
      <w:r>
        <w:rPr>
          <w:rFonts w:ascii="Arial" w:cs="Arial" w:eastAsia="Arial" w:hAnsi="Arial"/>
          <w:sz w:val="22"/>
          <w:szCs w:val="22"/>
          <w:color w:val="auto"/>
        </w:rPr>
        <w:t>”) to permit the incurrence of up to $750 million principal amount of indebtedness that matures earlier than, or has a weighted average life to maturity (determined without giving effect to any prepayments that reduce amortization) earlier than, 91 days after the maturity of the term loans under our senior secured credit facilities. The Credit Agreement Amendment is expected to be required to permit the incurrence of the debt in our proposed private offering.</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NCR Global Fulfillment Center</w:t>
      </w:r>
    </w:p>
    <w:p>
      <w:pPr>
        <w:spacing w:after="0" w:line="220" w:lineRule="exact"/>
        <w:rPr>
          <w:sz w:val="20"/>
          <w:szCs w:val="20"/>
          <w:color w:val="auto"/>
        </w:rPr>
      </w:pPr>
    </w:p>
    <w:p>
      <w:pPr>
        <w:ind w:firstLine="535"/>
        <w:spacing w:after="0" w:line="245" w:lineRule="auto"/>
        <w:rPr>
          <w:sz w:val="20"/>
          <w:szCs w:val="20"/>
          <w:color w:val="auto"/>
        </w:rPr>
      </w:pPr>
      <w:r>
        <w:rPr>
          <w:rFonts w:ascii="Arial" w:cs="Arial" w:eastAsia="Arial" w:hAnsi="Arial"/>
          <w:sz w:val="21"/>
          <w:szCs w:val="21"/>
          <w:color w:val="auto"/>
        </w:rPr>
        <w:t>One of our Global Fulfillment Centers, operated with a third-party logistics partner in Mt. Juliet, Tennessee, was impacted by tornados in the greater Nashville, Tennessee area on March 3, 2020. We and our third-party logistics partner initiated our respective business continuity plans to address continuity of our customers’ business needs and began filling orders from certain of our other facilities within approximately one week of the tornados. Within approximately two weeks of the tornados, we established another fulfillment center in the Nashville area and shipments from that fulfillment center, together with our other facilities, returned to normal capacity. While we have a backlog of orders relating to this event, we expect to fulfill that backlog by approximately mid-April 2020. We maintain substantial property damage and business interruption insurance coverage for this Global Fulfillment Center. However, there can be no assurance of the adequacy of such coverage or of our ability to recover under the applicable policies.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Goodwill Assessment</w:t>
      </w:r>
    </w:p>
    <w:p>
      <w:pPr>
        <w:spacing w:after="0" w:line="220" w:lineRule="exact"/>
        <w:rPr>
          <w:sz w:val="20"/>
          <w:szCs w:val="20"/>
          <w:color w:val="auto"/>
        </w:rPr>
      </w:pPr>
    </w:p>
    <w:p>
      <w:pPr>
        <w:ind w:right="100" w:firstLine="535"/>
        <w:spacing w:after="0" w:line="245" w:lineRule="auto"/>
        <w:rPr>
          <w:sz w:val="20"/>
          <w:szCs w:val="20"/>
          <w:color w:val="auto"/>
        </w:rPr>
      </w:pPr>
      <w:r>
        <w:rPr>
          <w:rFonts w:ascii="Arial" w:cs="Arial" w:eastAsia="Arial" w:hAnsi="Arial"/>
          <w:sz w:val="21"/>
          <w:szCs w:val="21"/>
          <w:color w:val="auto"/>
        </w:rPr>
        <w:t>Based on the recent impacts from the COVID-19 pandemic on our Hospitality segment, we identified the potential that the carrying value of net assets assigned to our Hospitality segment may be in excess of its fair value as of March 31, 2020. Accordingly, we are in the process of completing an interim impairment assessment of goodwill. Based on initial results of the assessment, our current conclusion based on discounted cash flow forecasts of the Hospitality segment is that the fair value remains greater than the carrying value and thus no impairment charge is expected in the first quarter of 2020. However, this is only a preliminary assessment, and there can be no assurances that we will not determine an impairment exists for the first quarter of 2020 or any later period, whether as a result of the impacts of the COVID-19 pandemic or otherwise. See “Risks Related to Our Business—The recent novel coronavirus (COVID-19) outbreak could materially adversely affect our financial condition and results of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Risks Related to Our Business</w:t>
      </w:r>
    </w:p>
    <w:p>
      <w:pPr>
        <w:spacing w:after="0" w:line="222"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b w:val="1"/>
          <w:bCs w:val="1"/>
          <w:i w:val="1"/>
          <w:iCs w:val="1"/>
          <w:color w:val="auto"/>
        </w:rPr>
        <w:t>The recent novel coronavirus (COVID-19) outbreak could materially adversely affect our business, financial condition and results of operations.</w:t>
      </w:r>
    </w:p>
    <w:p>
      <w:pPr>
        <w:spacing w:after="0" w:line="186" w:lineRule="exact"/>
        <w:rPr>
          <w:sz w:val="20"/>
          <w:szCs w:val="20"/>
          <w:color w:val="auto"/>
        </w:rPr>
      </w:pPr>
    </w:p>
    <w:p>
      <w:pPr>
        <w:ind w:right="100" w:firstLine="535"/>
        <w:spacing w:after="0" w:line="249" w:lineRule="auto"/>
        <w:rPr>
          <w:sz w:val="20"/>
          <w:szCs w:val="20"/>
          <w:color w:val="auto"/>
        </w:rPr>
      </w:pPr>
      <w:r>
        <w:rPr>
          <w:rFonts w:ascii="Arial" w:cs="Arial" w:eastAsia="Arial" w:hAnsi="Arial"/>
          <w:sz w:val="21"/>
          <w:szCs w:val="21"/>
          <w:color w:val="auto"/>
        </w:rPr>
        <w:t>The impact of COVID-19 has grown throughout the world, including in the United States. Governmental authorities have implemented numerous measures attempting to contain and mitigate the effects of the virus, including travel bans and restrictions, quarantines, shelter in place orders and shutdowns. While we have implemented programs to mitigate the impact of these measures on our results of operations, there can be no assurance that these programs will be successful. There is significant uncertainty regarding such measures and potential future measures.</w:t>
      </w:r>
    </w:p>
    <w:p>
      <w:pPr>
        <w:spacing w:after="0" w:line="192" w:lineRule="exact"/>
        <w:rPr>
          <w:sz w:val="20"/>
          <w:szCs w:val="20"/>
          <w:color w:val="auto"/>
        </w:rPr>
      </w:pPr>
    </w:p>
    <w:p>
      <w:pPr>
        <w:ind w:right="60" w:firstLine="535"/>
        <w:spacing w:after="0" w:line="287" w:lineRule="auto"/>
        <w:rPr>
          <w:sz w:val="20"/>
          <w:szCs w:val="20"/>
          <w:color w:val="auto"/>
        </w:rPr>
      </w:pPr>
      <w:r>
        <w:rPr>
          <w:rFonts w:ascii="Arial" w:cs="Arial" w:eastAsia="Arial" w:hAnsi="Arial"/>
          <w:sz w:val="19"/>
          <w:szCs w:val="19"/>
          <w:color w:val="auto"/>
        </w:rPr>
        <w:t>Our manufacturing and distribution facilities are located in areas that have been affected by the pandemic and have taken measures to try to contain it. Restrictions on our access to our manufacturing facilities or on our support operations or workforce, or similar limitations for our distributors and suppliers, could limit customer demand and/or our capacity to meet customer demand and have a material adverse effect on our business, financial condition and results of operations.</w:t>
      </w:r>
    </w:p>
    <w:p>
      <w:pPr>
        <w:spacing w:after="0" w:line="156" w:lineRule="exact"/>
        <w:rPr>
          <w:sz w:val="20"/>
          <w:szCs w:val="20"/>
          <w:color w:val="auto"/>
        </w:rPr>
      </w:pPr>
    </w:p>
    <w:p>
      <w:pPr>
        <w:ind w:firstLine="535"/>
        <w:spacing w:after="0" w:line="272" w:lineRule="auto"/>
        <w:rPr>
          <w:sz w:val="20"/>
          <w:szCs w:val="20"/>
          <w:color w:val="auto"/>
        </w:rPr>
      </w:pPr>
      <w:r>
        <w:rPr>
          <w:rFonts w:ascii="Arial" w:cs="Arial" w:eastAsia="Arial" w:hAnsi="Arial"/>
          <w:sz w:val="19"/>
          <w:szCs w:val="19"/>
          <w:color w:val="auto"/>
        </w:rPr>
        <w:t>The continued spread of COVID-19 could cause delay, or limit the ability of, customers to continue to operate and perform, including in making timely payments to us, or cause a decrease in customer demand or a slowdown in customer expansion. Local governmental restrictions and public perceptions of the risks associated with the COVID-19 pandemic have caused, and may continue to cause, consumers to avoid or limit gatherings in public places or social interactions, which could adversely impact the businesses of our customers. For example, customers in our small and medium business market, which represented 21% of our Hospitality segment revenue as of December 31, 2019, have experienced significant near-term working capital and cash flow adverse impacts as a result of the COVID-19 pandemic. Similarly, customers in our department and specialty retail market, which accounted for 16% of our Retail segment revenue as of December 31, 2019, have encountered significant adverse impacts as a result of temporary closures of physical stores in connection with COVID-19. Furthermore, negative economic conditions related to the COVID-19 pandemic may impact the willingness of our customers to make capital expenditures or pay accounts receivable, the ability of our customers to obtain financing for the purchase of our products, or the amount of disposable income available to consumers, which may adversely impact the businesses of our customers. Any of these effects could have a material adverse effect on our business, financial condition and results of operations.</w:t>
      </w:r>
    </w:p>
    <w:p>
      <w:pPr>
        <w:spacing w:after="0" w:line="169" w:lineRule="exact"/>
        <w:rPr>
          <w:sz w:val="20"/>
          <w:szCs w:val="20"/>
          <w:color w:val="auto"/>
        </w:rPr>
      </w:pPr>
    </w:p>
    <w:p>
      <w:pPr>
        <w:ind w:right="40" w:firstLine="535"/>
        <w:spacing w:after="0" w:line="282" w:lineRule="auto"/>
        <w:rPr>
          <w:sz w:val="20"/>
          <w:szCs w:val="20"/>
          <w:color w:val="auto"/>
        </w:rPr>
      </w:pPr>
      <w:r>
        <w:rPr>
          <w:rFonts w:ascii="Arial" w:cs="Arial" w:eastAsia="Arial" w:hAnsi="Arial"/>
          <w:sz w:val="19"/>
          <w:szCs w:val="19"/>
          <w:color w:val="auto"/>
        </w:rPr>
        <w:t>In addition, the spread of COVID-19 has caused us to modify our business practices, such as employee work locations, and we may take further actions as may be required by government authorities or that we determine is in the best interests of our employees, customers, distributors, suppliers and contractors. There is no certainty that such measures will be sufficient to mitigate the risks posed by the virus, and our ability to perform critical functions could be harmed. These measures, and similar measures at our customers, have resulted in and may result in further installation delays.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ind w:right="240" w:firstLine="535"/>
        <w:spacing w:after="0" w:line="236" w:lineRule="auto"/>
        <w:rPr>
          <w:sz w:val="20"/>
          <w:szCs w:val="20"/>
          <w:color w:val="auto"/>
        </w:rPr>
      </w:pPr>
      <w:r>
        <w:rPr>
          <w:rFonts w:ascii="Arial" w:cs="Arial" w:eastAsia="Arial" w:hAnsi="Arial"/>
          <w:sz w:val="22"/>
          <w:szCs w:val="22"/>
          <w:color w:val="auto"/>
        </w:rPr>
        <w:t>COVID-19 or any other adverse public health development could inhibit our ability to execute our strategic initiatives including, without limitation, expanding our customer base by increasing our use of indirect sales channels and by developing, marketing and selling solutions aimed at the small and medium business market, improving the experience of our customers, investing in growing identified strategic growth platforms and shifting the mix of revenue in our business to software and services revenue as well as recurring revenue.</w:t>
      </w:r>
    </w:p>
    <w:p>
      <w:pPr>
        <w:spacing w:after="0" w:line="201" w:lineRule="exact"/>
        <w:rPr>
          <w:sz w:val="20"/>
          <w:szCs w:val="20"/>
          <w:color w:val="auto"/>
        </w:rPr>
      </w:pPr>
    </w:p>
    <w:p>
      <w:pPr>
        <w:ind w:firstLine="535"/>
        <w:spacing w:after="0" w:line="238" w:lineRule="auto"/>
        <w:rPr>
          <w:sz w:val="20"/>
          <w:szCs w:val="20"/>
          <w:color w:val="auto"/>
        </w:rPr>
      </w:pPr>
      <w:r>
        <w:rPr>
          <w:rFonts w:ascii="Arial" w:cs="Arial" w:eastAsia="Arial" w:hAnsi="Arial"/>
          <w:sz w:val="22"/>
          <w:szCs w:val="22"/>
          <w:color w:val="auto"/>
        </w:rPr>
        <w:t>The degree to which COVID-19 affects our financial results and operations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See “Recent Developments—COVID-19.”</w:t>
      </w:r>
    </w:p>
    <w:p>
      <w:pPr>
        <w:spacing w:after="0" w:line="198" w:lineRule="exact"/>
        <w:rPr>
          <w:sz w:val="20"/>
          <w:szCs w:val="20"/>
          <w:color w:val="auto"/>
        </w:rPr>
      </w:pPr>
    </w:p>
    <w:p>
      <w:pPr>
        <w:ind w:right="100" w:firstLine="535"/>
        <w:spacing w:after="0" w:line="297" w:lineRule="auto"/>
        <w:rPr>
          <w:sz w:val="20"/>
          <w:szCs w:val="20"/>
          <w:color w:val="auto"/>
        </w:rPr>
      </w:pPr>
      <w:r>
        <w:rPr>
          <w:rFonts w:ascii="Arial" w:cs="Arial" w:eastAsia="Arial" w:hAnsi="Arial"/>
          <w:sz w:val="19"/>
          <w:szCs w:val="19"/>
          <w:color w:val="auto"/>
        </w:rPr>
        <w:t>To the extent the COVID-19 pandemic materially adversely affects our business and financial results, it may also have the effect of significantly heightening many of the other risks associated with our business and substantial indebtedness, including those described in our most recent Annual Report on Form 10-K for the year ended December 31, 2019.</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55</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2020-04-07T08:12:48Z</dcterms:created>
  <dcterms:modified xsi:type="dcterms:W3CDTF">2020-04-07T08:12:48Z</dcterms:modified>
</cp:coreProperties>
</file>