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10-K </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tbl>
      <w:tblPr>
        <w:tblW w:w="4242" w:type="dxa"/>
        <w:jc w:val="left"/>
        <w:tblInd w:w="0" w:type="dxa"/>
        <w:tblLayout w:type="fixed"/>
        <w:tblCellMar>
          <w:top w:w="28" w:type="dxa"/>
          <w:left w:w="28" w:type="dxa"/>
          <w:bottom w:w="28" w:type="dxa"/>
          <w:right w:w="28" w:type="dxa"/>
        </w:tblCellMar>
      </w:tblPr>
      <w:tblGrid>
        <w:gridCol w:w="124"/>
        <w:gridCol w:w="109"/>
        <w:gridCol w:w="109"/>
        <w:gridCol w:w="1141"/>
        <w:gridCol w:w="1141"/>
        <w:gridCol w:w="16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fiscal year ended December 31, 2025</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br/>
              <w:br/>
              <w:t>For the transition period from ____________ to ____________</w:t>
            </w:r>
          </w:p>
        </w:tc>
      </w:tr>
    </w:tbl>
    <w:p>
      <w:pPr>
        <w:pStyle w:val="TextBody"/>
        <w:bidi w:val="0"/>
        <w:spacing w:before="0" w:after="0"/>
        <w:jc w:val="left"/>
        <w:rPr/>
      </w:pPr>
      <w:r>
        <w:rPr/>
      </w:r>
    </w:p>
    <w:tbl>
      <w:tblPr>
        <w:tblW w:w="3657" w:type="dxa"/>
        <w:jc w:val="left"/>
        <w:tblInd w:w="0" w:type="dxa"/>
        <w:tblLayout w:type="fixed"/>
        <w:tblCellMar>
          <w:top w:w="28" w:type="dxa"/>
          <w:left w:w="28" w:type="dxa"/>
          <w:bottom w:w="28" w:type="dxa"/>
          <w:right w:w="28" w:type="dxa"/>
        </w:tblCellMar>
      </w:tblPr>
      <w:tblGrid>
        <w:gridCol w:w="124"/>
        <w:gridCol w:w="109"/>
        <w:gridCol w:w="109"/>
        <w:gridCol w:w="969"/>
        <w:gridCol w:w="969"/>
        <w:gridCol w:w="13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Commission File Number: 001-00395</w:t>
            </w:r>
          </w:p>
        </w:tc>
      </w:tr>
    </w:tbl>
    <w:p>
      <w:pPr>
        <w:pStyle w:val="TextBody"/>
        <w:bidi w:val="0"/>
        <w:spacing w:lineRule="auto" w:line="288" w:before="20" w:after="283"/>
        <w:jc w:val="center"/>
        <w:rPr>
          <w:color w:val="000000"/>
        </w:rPr>
      </w:pPr>
      <w:r>
        <w:rPr>
          <w:color w:val="000000"/>
        </w:rPr>
        <w:t> </w:t>
      </w:r>
      <w:r>
        <w:rPr>
          <w:rFonts w:ascii="Times New Roman;serif" w:hAnsi="Times New Roman;serif"/>
          <w:b w:val="false"/>
          <w:color w:val="000000"/>
          <w:sz w:val="20"/>
        </w:rPr>
        <w:t>________________________</w:t>
      </w:r>
    </w:p>
    <w:p>
      <w:pPr>
        <w:pStyle w:val="TextBody"/>
        <w:bidi w:val="0"/>
        <w:spacing w:lineRule="auto" w:line="288" w:before="100" w:after="283"/>
        <w:jc w:val="center"/>
        <w:rPr/>
      </w:pPr>
      <w:r>
        <w:rPr>
          <w:rFonts w:ascii="Times New Roman;serif" w:hAnsi="Times New Roman;serif"/>
          <w:b/>
          <w:color w:val="000000"/>
          <w:sz w:val="36"/>
        </w:rPr>
        <w:t>NCR VOYIX CORPORATION</w:t>
      </w:r>
      <w:r>
        <w:rPr>
          <w:color w:val="54B948"/>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80" w:after="283"/>
        <w:jc w:val="center"/>
        <w:rPr>
          <w:color w:val="000000"/>
        </w:rPr>
      </w:pPr>
      <w:r>
        <w:rPr>
          <w:color w:val="000000"/>
        </w:rPr>
        <w:t> </w:t>
      </w:r>
    </w:p>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31-0387920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864 Spring Street NW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Atlanta, GA 30308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(800) 225-5627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VYX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center"/>
        <w:rPr/>
      </w:pPr>
      <w:r>
        <w:rPr>
          <w:rFonts w:ascii="Times New Roman;serif" w:hAnsi="Times New Roman;serif"/>
          <w:b/>
          <w:color w:val="000000"/>
          <w:sz w:val="20"/>
        </w:rPr>
        <w:t xml:space="preserve">Securities registered pursuant to Section 12(g) of the Act: </w:t>
      </w:r>
      <w:r>
        <w:rPr>
          <w:rFonts w:ascii="Times New Roman;serif" w:hAnsi="Times New Roman;serif"/>
          <w:b w:val="false"/>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80" w:after="283"/>
        <w:jc w:val="left"/>
        <w:rPr/>
      </w:pPr>
      <w:r>
        <w:rPr>
          <w:color w:val="000000"/>
        </w:rPr>
        <w:t>    </w:t>
      </w: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80" w:after="283"/>
        <w:jc w:val="left"/>
        <w:rPr/>
      </w:pPr>
      <w:r>
        <w:rPr>
          <w:color w:val="000000"/>
        </w:rPr>
        <w:t>    </w:t>
      </w:r>
      <w:r>
        <w:rPr>
          <w:rFonts w:ascii="Times New Roman;serif" w:hAnsi="Times New Roman;serif"/>
          <w:b w:val="false"/>
          <w:color w:val="000000"/>
          <w:sz w:val="20"/>
        </w:rPr>
        <w:t>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color w:val="000000"/>
        </w:rPr>
        <w:t> ☑</w:t>
      </w:r>
    </w:p>
    <w:p>
      <w:pPr>
        <w:pStyle w:val="TextBody"/>
        <w:bidi w:val="0"/>
        <w:spacing w:lineRule="auto" w:line="288" w:before="180" w:after="283"/>
        <w:jc w:val="left"/>
        <w:rPr/>
      </w:pPr>
      <w:r>
        <w:rPr>
          <w:color w:val="000000"/>
        </w:rPr>
        <w:t>    </w:t>
      </w: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80" w:after="283"/>
        <w:jc w:val="left"/>
        <w:rPr/>
      </w:pPr>
      <w:r>
        <w:rPr>
          <w:color w:val="000000"/>
        </w:rPr>
        <w:t>    </w:t>
      </w: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80" w:after="283"/>
        <w:jc w:val="left"/>
        <w:rPr>
          <w:color w:val="000000"/>
        </w:rPr>
      </w:pPr>
      <w:r>
        <w:rPr>
          <w:color w:val="000000"/>
        </w:rPr>
        <w:t>    </w:t>
      </w: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8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80" w:after="283"/>
        <w:jc w:val="left"/>
        <w:rPr/>
      </w:pPr>
      <w:r>
        <w:rPr>
          <w:color w:val="000000"/>
        </w:rPr>
        <w:t>    </w:t>
      </w: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lineRule="auto" w:line="288" w:before="180" w:after="283"/>
        <w:ind w:left="0" w:right="0" w:firstLine="720"/>
        <w:jc w:val="left"/>
        <w:rPr/>
      </w:pPr>
      <w:r>
        <w:rPr>
          <w:rFonts w:ascii="Times New Roman;serif" w:hAnsi="Times New Roman;serif"/>
          <w:b w:val="false"/>
          <w:color w:val="000000"/>
          <w:sz w:val="20"/>
        </w:rPr>
        <w:t>Indicate by check mark whether the registrant is a shell company (as defined in Rule 12b-2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market value of voting and non-voting common equity held by non-affiliates of the registrant as of June 30, 2025, the last business day of NCR Voyix Corporation’s most recently completed second fiscal quarter, was approximately $1.6 billion.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19, 2026, there were 139,011,364 shares of common stock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DOCUMENTS INCORPORATED BY REFERENCE </w:t>
      </w:r>
    </w:p>
    <w:tbl>
      <w:tblPr>
        <w:tblW w:w="10205" w:type="dxa"/>
        <w:jc w:val="center"/>
        <w:tblInd w:w="0" w:type="dxa"/>
        <w:tblLayout w:type="fixed"/>
        <w:tblCellMar>
          <w:top w:w="28" w:type="dxa"/>
          <w:left w:w="28" w:type="dxa"/>
          <w:bottom w:w="28" w:type="dxa"/>
          <w:right w:w="28" w:type="dxa"/>
        </w:tblCellMar>
      </w:tblPr>
      <w:tblGrid>
        <w:gridCol w:w="201"/>
        <w:gridCol w:w="175"/>
        <w:gridCol w:w="178"/>
        <w:gridCol w:w="2823"/>
        <w:gridCol w:w="2823"/>
        <w:gridCol w:w="4005"/>
      </w:tblGrid>
      <w:tr>
        <w:trPr/>
        <w:tc>
          <w:tcPr>
            <w:tcW w:w="2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05"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Part III:</w:t>
            </w:r>
          </w:p>
        </w:tc>
        <w:tc>
          <w:tcPr>
            <w:tcW w:w="96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for its annual meeting of stockholders to be filed pursuant to Regulation 14A within 120 days after the registrant’s fiscal year end of December 31, 2025 are incorporated by reference into Part III of this report.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5"/>
        <w:gridCol w:w="162"/>
        <w:gridCol w:w="164"/>
        <w:gridCol w:w="3033"/>
        <w:gridCol w:w="3033"/>
        <w:gridCol w:w="3055"/>
        <w:gridCol w:w="167"/>
        <w:gridCol w:w="167"/>
        <w:gridCol w:w="239"/>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3">
              <w:r>
                <w:rPr>
                  <w:rStyle w:val="InternetLink"/>
                  <w:rFonts w:ascii="Times New Roman;serif" w:hAnsi="Times New Roman;serif"/>
                  <w:b w:val="false"/>
                  <w:color w:val="0000FF"/>
                  <w:sz w:val="20"/>
                  <w:u w:val="single"/>
                </w:rPr>
                <w:t>Forward-Looking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3">
              <w:r>
                <w:rPr>
                  <w:rStyle w:val="InternetLink"/>
                  <w:rFonts w:ascii="Times New Roman;serif" w:hAnsi="Times New Roman;serif"/>
                  <w:b w:val="false"/>
                  <w:color w:val="0000FF"/>
                  <w:sz w:val="20"/>
                  <w:u w:val="single"/>
                </w:rPr>
                <w:t>i</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9">
              <w:r>
                <w:rPr>
                  <w:rStyle w:val="InternetLink"/>
                  <w:rFonts w:ascii="Times New Roman;serif" w:hAnsi="Times New Roman;serif"/>
                  <w:b w:val="false"/>
                  <w:color w:val="0000FF"/>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9">
              <w:r>
                <w:rPr>
                  <w:rStyle w:val="InternetLink"/>
                  <w:rFonts w:ascii="Times New Roman;serif" w:hAnsi="Times New Roman;serif"/>
                  <w:b w:val="false"/>
                  <w:color w:val="0000FF"/>
                  <w:sz w:val="20"/>
                  <w:u w:val="single"/>
                </w:rPr>
                <w:t>1</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1A.</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2">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2">
              <w:r>
                <w:rPr>
                  <w:rStyle w:val="InternetLink"/>
                  <w:rFonts w:ascii="Times New Roman;serif" w:hAnsi="Times New Roman;serif"/>
                  <w:b w:val="false"/>
                  <w:color w:val="0000FF"/>
                  <w:sz w:val="20"/>
                  <w:u w:val="single"/>
                </w:rPr>
                <w:t>9</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1B.</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5">
              <w:r>
                <w:rPr>
                  <w:rStyle w:val="InternetLink"/>
                  <w:rFonts w:ascii="Times New Roman;serif" w:hAnsi="Times New Roman;serif"/>
                  <w:b w:val="false"/>
                  <w:color w:val="0000FF"/>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5">
              <w:r>
                <w:rPr>
                  <w:rStyle w:val="InternetLink"/>
                  <w:rFonts w:ascii="Times New Roman;serif" w:hAnsi="Times New Roman;serif"/>
                  <w:b w:val="false"/>
                  <w:color w:val="0000FF"/>
                  <w:sz w:val="20"/>
                  <w:u w:val="single"/>
                </w:rPr>
                <w:t>26</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1C.</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8">
              <w:r>
                <w:rPr>
                  <w:rStyle w:val="InternetLink"/>
                  <w:rFonts w:ascii="Times New Roman;serif" w:hAnsi="Times New Roman;serif"/>
                  <w:b w:val="false"/>
                  <w:color w:val="0000FF"/>
                  <w:sz w:val="20"/>
                  <w:u w:val="single"/>
                </w:rPr>
                <w:t>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8">
              <w:r>
                <w:rPr>
                  <w:rStyle w:val="InternetLink"/>
                  <w:rFonts w:ascii="Times New Roman;serif" w:hAnsi="Times New Roman;serif"/>
                  <w:b w:val="false"/>
                  <w:color w:val="0000FF"/>
                  <w:sz w:val="20"/>
                  <w:u w:val="single"/>
                </w:rPr>
                <w:t>26</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31">
              <w:r>
                <w:rPr>
                  <w:rStyle w:val="InternetLink"/>
                  <w:rFonts w:ascii="Times New Roman;serif" w:hAnsi="Times New Roman;serif"/>
                  <w:b w:val="false"/>
                  <w:color w:val="0000FF"/>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31">
              <w:r>
                <w:rPr>
                  <w:rStyle w:val="InternetLink"/>
                  <w:rFonts w:ascii="Times New Roman;serif" w:hAnsi="Times New Roman;serif"/>
                  <w:b w:val="false"/>
                  <w:color w:val="0000FF"/>
                  <w:sz w:val="20"/>
                  <w:u w:val="single"/>
                </w:rPr>
                <w:t>28</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34">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34">
              <w:r>
                <w:rPr>
                  <w:rStyle w:val="InternetLink"/>
                  <w:rFonts w:ascii="Times New Roman;serif" w:hAnsi="Times New Roman;serif"/>
                  <w:b w:val="false"/>
                  <w:color w:val="0000FF"/>
                  <w:sz w:val="20"/>
                  <w:u w:val="single"/>
                </w:rPr>
                <w:t>28</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37">
              <w:r>
                <w:rPr>
                  <w:rStyle w:val="InternetLink"/>
                  <w:rFonts w:ascii="Times New Roman;serif" w:hAnsi="Times New Roman;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37">
              <w:r>
                <w:rPr>
                  <w:rStyle w:val="InternetLink"/>
                  <w:rFonts w:ascii="Times New Roman;serif" w:hAnsi="Times New Roman;serif"/>
                  <w:b w:val="false"/>
                  <w:color w:val="0000FF"/>
                  <w:sz w:val="20"/>
                  <w:u w:val="single"/>
                </w:rPr>
                <w:t>28</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43">
              <w:r>
                <w:rPr>
                  <w:rStyle w:val="InternetLink"/>
                  <w:rFonts w:ascii="Times New Roman;serif" w:hAnsi="Times New Roman;serif"/>
                  <w:b w:val="false"/>
                  <w:color w:val="0000FF"/>
                  <w:sz w:val="20"/>
                  <w:u w:val="single"/>
                </w:rPr>
                <w:t>Market for the Registrant</w:t>
              </w:r>
            </w:hyperlink>
            <w:r>
              <w:rPr>
                <w:color w:val="3051F2"/>
                <w:u w:val="single"/>
              </w:rPr>
              <w:t>’</w:t>
            </w:r>
            <w:hyperlink w:anchor="id8aba24cf4eb4a47831af3d9eaa2f62a_43">
              <w:r>
                <w:rPr>
                  <w:rStyle w:val="InternetLink"/>
                  <w:rFonts w:ascii="Times New Roman;serif" w:hAnsi="Times New Roman;serif"/>
                  <w:b w:val="false"/>
                  <w:color w:val="0000FF"/>
                  <w:sz w:val="20"/>
                  <w:u w:val="single"/>
                </w:rPr>
                <w: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43">
              <w:r>
                <w:rPr>
                  <w:rStyle w:val="InternetLink"/>
                  <w:rFonts w:ascii="Times New Roman;serif" w:hAnsi="Times New Roman;serif"/>
                  <w:b w:val="false"/>
                  <w:color w:val="0000FF"/>
                  <w:sz w:val="20"/>
                  <w:u w:val="single"/>
                </w:rPr>
                <w:t>29</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hyperlink w:anchor="id8aba24cf4eb4a47831af3d9eaa2f62a_46">
              <w:r>
                <w:rPr>
                  <w:rStyle w:val="InternetLink"/>
                  <w:rFonts w:ascii="Times New Roman;serif" w:hAnsi="Times New Roman;serif"/>
                  <w:b w:val="false"/>
                  <w:color w:val="0000FF"/>
                  <w:sz w:val="20"/>
                  <w:u w:val="single"/>
                </w:rPr>
                <w:t>Reserved</w:t>
              </w:r>
            </w:hyperlink>
            <w:r>
              <w:rPr>
                <w:rFonts w:ascii="Times New Roman;serif" w:hAnsi="Times New Roman;serif"/>
                <w:b w:val="false"/>
                <w:color w:val="000000"/>
                <w:sz w:val="20"/>
              </w:rPr>
              <w:t>]</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46">
              <w:r>
                <w:rPr>
                  <w:rStyle w:val="InternetLink"/>
                  <w:rFonts w:ascii="Times New Roman;serif" w:hAnsi="Times New Roman;serif"/>
                  <w:b w:val="false"/>
                  <w:color w:val="0000FF"/>
                  <w:sz w:val="20"/>
                  <w:u w:val="single"/>
                </w:rPr>
                <w:t>30</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52">
              <w:r>
                <w:rPr>
                  <w:rStyle w:val="InternetLink"/>
                  <w:rFonts w:ascii="Times New Roman;serif" w:hAnsi="Times New Roman;serif"/>
                  <w:b w:val="false"/>
                  <w:color w:val="0000FF"/>
                  <w:sz w:val="20"/>
                  <w:u w:val="single"/>
                </w:rPr>
                <w:t>Management</w:t>
              </w:r>
            </w:hyperlink>
            <w:r>
              <w:rPr>
                <w:color w:val="3051F2"/>
                <w:u w:val="single"/>
              </w:rPr>
              <w:t>’</w:t>
            </w:r>
            <w:hyperlink w:anchor="id8aba24cf4eb4a47831af3d9eaa2f62a_52">
              <w:r>
                <w:rPr>
                  <w:rStyle w:val="InternetLink"/>
                  <w:rFonts w:ascii="Times New Roman;serif" w:hAnsi="Times New Roman;serif"/>
                  <w:b w:val="false"/>
                  <w:color w:val="0000FF"/>
                  <w:sz w:val="20"/>
                  <w:u w:val="single"/>
                </w:rPr>
                <w: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49">
              <w:r>
                <w:rPr>
                  <w:rStyle w:val="InternetLink"/>
                  <w:rFonts w:ascii="Times New Roman;serif" w:hAnsi="Times New Roman;serif"/>
                  <w:b w:val="false"/>
                  <w:color w:val="0000FF"/>
                  <w:sz w:val="20"/>
                  <w:u w:val="single"/>
                </w:rPr>
                <w:t>31</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7A.</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36">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36">
              <w:r>
                <w:rPr>
                  <w:rStyle w:val="InternetLink"/>
                  <w:rFonts w:ascii="Times New Roman;serif" w:hAnsi="Times New Roman;serif"/>
                  <w:b w:val="false"/>
                  <w:color w:val="0000FF"/>
                  <w:sz w:val="20"/>
                  <w:u w:val="single"/>
                </w:rPr>
                <w:t>52</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39">
              <w:r>
                <w:rPr>
                  <w:rStyle w:val="InternetLink"/>
                  <w:rFonts w:ascii="Times New Roman;serif" w:hAnsi="Times New Roman;serif"/>
                  <w:b w:val="false"/>
                  <w:color w:val="0000FF"/>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42">
              <w:r>
                <w:rPr>
                  <w:rStyle w:val="InternetLink"/>
                  <w:rFonts w:ascii="Times New Roman;serif" w:hAnsi="Times New Roman;serif"/>
                  <w:b w:val="false"/>
                  <w:color w:val="0000FF"/>
                  <w:sz w:val="20"/>
                  <w:u w:val="single"/>
                </w:rPr>
                <w:t>54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50">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50">
              <w:r>
                <w:rPr>
                  <w:rStyle w:val="InternetLink"/>
                  <w:rFonts w:ascii="Times New Roman;serif" w:hAnsi="Times New Roman;serif"/>
                  <w:b w:val="false"/>
                  <w:color w:val="0000FF"/>
                  <w:sz w:val="20"/>
                  <w:u w:val="single"/>
                </w:rPr>
                <w:t>113</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9A.</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53">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53">
              <w:r>
                <w:rPr>
                  <w:rStyle w:val="InternetLink"/>
                  <w:rFonts w:ascii="Times New Roman;serif" w:hAnsi="Times New Roman;serif"/>
                  <w:b w:val="false"/>
                  <w:color w:val="0000FF"/>
                  <w:sz w:val="20"/>
                  <w:u w:val="single"/>
                </w:rPr>
                <w:t>113</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9B.</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56">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56">
              <w:r>
                <w:rPr>
                  <w:rStyle w:val="InternetLink"/>
                  <w:rFonts w:ascii="Times New Roman;serif" w:hAnsi="Times New Roman;serif"/>
                  <w:b w:val="false"/>
                  <w:color w:val="0000FF"/>
                  <w:sz w:val="20"/>
                  <w:u w:val="single"/>
                </w:rPr>
                <w:t>114</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9C.</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59">
              <w:r>
                <w:rPr>
                  <w:rStyle w:val="InternetLink"/>
                  <w:rFonts w:ascii="Times New Roman;serif" w:hAnsi="Times New Roman;serif"/>
                  <w:b w:val="false"/>
                  <w:color w:val="0000FF"/>
                  <w:sz w:val="20"/>
                  <w:u w:val="single"/>
                </w:rPr>
                <w:t>Disclosure Regarding Foreign Jurisdiction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56">
              <w:r>
                <w:rPr>
                  <w:rStyle w:val="InternetLink"/>
                  <w:rFonts w:ascii="Times New Roman;serif" w:hAnsi="Times New Roman;serif"/>
                  <w:b w:val="false"/>
                  <w:color w:val="0000FF"/>
                  <w:sz w:val="20"/>
                  <w:u w:val="single"/>
                </w:rPr>
                <w:t>114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65">
              <w:r>
                <w:rPr>
                  <w:rStyle w:val="InternetLink"/>
                  <w:rFonts w:ascii="Times New Roman;serif" w:hAnsi="Times New Roman;serif"/>
                  <w:b w:val="false"/>
                  <w:color w:val="0000FF"/>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65">
              <w:r>
                <w:rPr>
                  <w:rStyle w:val="InternetLink"/>
                  <w:rFonts w:ascii="Times New Roman;serif" w:hAnsi="Times New Roman;serif"/>
                  <w:b w:val="false"/>
                  <w:color w:val="0000FF"/>
                  <w:sz w:val="20"/>
                  <w:u w:val="single"/>
                </w:rPr>
                <w:t>115</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68">
              <w:r>
                <w:rPr>
                  <w:rStyle w:val="InternetLink"/>
                  <w:rFonts w:ascii="Times New Roman;serif" w:hAnsi="Times New Roman;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68">
              <w:r>
                <w:rPr>
                  <w:rStyle w:val="InternetLink"/>
                  <w:rFonts w:ascii="Times New Roman;serif" w:hAnsi="Times New Roman;serif"/>
                  <w:b w:val="false"/>
                  <w:color w:val="0000FF"/>
                  <w:sz w:val="20"/>
                  <w:u w:val="single"/>
                </w:rPr>
                <w:t>115</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71">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71">
              <w:r>
                <w:rPr>
                  <w:rStyle w:val="InternetLink"/>
                  <w:rFonts w:ascii="Times New Roman;serif" w:hAnsi="Times New Roman;serif"/>
                  <w:b w:val="false"/>
                  <w:color w:val="0000FF"/>
                  <w:sz w:val="20"/>
                  <w:u w:val="single"/>
                </w:rPr>
                <w:t>115</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74">
              <w:r>
                <w:rPr>
                  <w:rStyle w:val="InternetLink"/>
                  <w:rFonts w:ascii="Times New Roman;serif" w:hAnsi="Times New Roman;serif"/>
                  <w:b w:val="false"/>
                  <w:color w:val="0000FF"/>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74">
              <w:r>
                <w:rPr>
                  <w:rStyle w:val="InternetLink"/>
                  <w:rFonts w:ascii="Times New Roman;serif" w:hAnsi="Times New Roman;serif"/>
                  <w:b w:val="false"/>
                  <w:color w:val="0000FF"/>
                  <w:sz w:val="20"/>
                  <w:u w:val="single"/>
                </w:rPr>
                <w:t>115</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77">
              <w:r>
                <w:rPr>
                  <w:rStyle w:val="InternetLink"/>
                  <w:rFonts w:ascii="Times New Roman;serif" w:hAnsi="Times New Roman;serif"/>
                  <w:b w:val="false"/>
                  <w:color w:val="0000FF"/>
                  <w:sz w:val="20"/>
                  <w:u w:val="single"/>
                </w:rPr>
                <w:t>Principal Accountant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77">
              <w:r>
                <w:rPr>
                  <w:rStyle w:val="InternetLink"/>
                  <w:rFonts w:ascii="Times New Roman;serif" w:hAnsi="Times New Roman;serif"/>
                  <w:b w:val="false"/>
                  <w:color w:val="0000FF"/>
                  <w:sz w:val="20"/>
                  <w:u w:val="single"/>
                </w:rPr>
                <w:t>115</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83">
              <w:r>
                <w:rPr>
                  <w:rStyle w:val="InternetLink"/>
                  <w:rFonts w:ascii="Times New Roman;serif" w:hAnsi="Times New Roman;serif"/>
                  <w:b w:val="false"/>
                  <w:color w:val="0000FF"/>
                  <w:sz w:val="20"/>
                  <w:u w:val="single"/>
                </w:rPr>
                <w:t>Exhibits and Financial Statement Schedule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83">
              <w:r>
                <w:rPr>
                  <w:rStyle w:val="InternetLink"/>
                  <w:rFonts w:ascii="Times New Roman;serif" w:hAnsi="Times New Roman;serif"/>
                  <w:b w:val="false"/>
                  <w:color w:val="0000FF"/>
                  <w:sz w:val="20"/>
                  <w:u w:val="single"/>
                </w:rPr>
                <w:t>116</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86">
              <w:r>
                <w:rPr>
                  <w:rStyle w:val="InternetLink"/>
                  <w:rFonts w:ascii="Times New Roman;serif" w:hAnsi="Times New Roman;serif"/>
                  <w:b w:val="false"/>
                  <w:color w:val="0000FF"/>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86">
              <w:r>
                <w:rPr>
                  <w:rStyle w:val="InternetLink"/>
                  <w:rFonts w:ascii="Times New Roman;serif" w:hAnsi="Times New Roman;serif"/>
                  <w:b w:val="false"/>
                  <w:color w:val="0000FF"/>
                  <w:sz w:val="20"/>
                  <w:u w:val="single"/>
                </w:rPr>
                <w:t>121</w:t>
              </w:r>
            </w:hyperlink>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contains trademarks, service marks and registered marks of NCR Voyix Corporation and its subsidiaries, and of other companies, as indicated. Unless otherwise indicated, the terms “NCR Voyix,” “NCR,” the “Company,” “we,” “us,” and “our” refer to NCR Voyix Corporation and its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CAUTIONARY NOTICE REGARDING 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(this “Report”) contains “forward-looking statements” within the meaning of the Private Securities Litigation Reform Act of 1995, Section 27A of the Securities Act of 1933, and Section 21E of the Securities Exchange Act of 1934 (the “Exchange Act”). Forward-looking statements may appear throughout this Report and can generally be identified by words such as “expect,” “anticipate,” “outlook,” “intend,” “plan,” “believe,” “will,” “should,” “would,” “potential,” “proposed,” “planned,” “estimate,” “likely,” “could,” “may,” and similar expressions referencing future events, conditions or circumstances. Examples of forward-looking statements include, without limitation, the Company’s plans, strategies, projections, future financial or operational results, events, trends, and economic and other future conditions. Forward-looking statements in this Report also include, without limitation, statements regarding: the Company’s plans, strategies or objectives for future operations, including the Company’s suite of microservices-based applications, and its Voyix Commerce Platform; expectations regarding the Hardware Business Transition; statements regarding the future commercial or financial performance of the Company; the estimated or anticipated future results and benefits of the Company’s plans and operations; the Company’s expectations of demand for its solutions and the impact thereof on the Company’s financial results in 2026; and statements regarding the Company’s ability to deliver increased value to customers and stockholders. Forward-looking statements are based solely on management’s current beliefs, expectations and assumptions, whether express or implied, regarding the future and may prove to be inaccurate. Actual results could differ materially from expectations expressed or implied by such forward-looking statements due to a number of factors, such as the risks and uncertainties, including, but not limited to, those discussed in Item 1A. “Risk Factors” of this Report and in our other periodic and current reports, filed with the U.S. Securities and Exchange Commission (the “SEC”) or other unknown risks and uncertainties or due to the trends and uncertainties discussed in Part II, Item 7, “Management’s Discussion and Analysis of Financial Condition and Results of Operations” of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forward-looking statement we make speaks only as of the date on which it is made. The Company does not undertake any obligation to publicly update or revise any forward-looking statements, whether resulting from new information, future events, any inaccurate belief, expectation or assumption, or otherwise, except as required by law.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Unless the context indicates otherwise, all references in this Report to “NCR Voyix”, the “Company,” “we,” “us” and “our,” mean NCR Voyix Corporation and our consolidated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NCR Voyix is a global platform-powered leader in unified commerce for shopping and dining, empowering customers to simplify transactions, optimize and scale operations and deliver superior experiences to customers through our modernized suite of microservices-based applications and comprehensive service offerings.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headquartered in Atlanta, Georgia with approximately 13,500 employees across nearly 30 countries.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Business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16, 2023, we completed the spin-off of our ATM-focused business, which included our self-service banking, payments &amp; network, and telecommunications and technology businesses, into an independent publicly traded company, NCR Atleos Corporation and its consolidated subsidiaries (collectively hereinafter “NCR Atleos”). The spin-off of NCR Atleos was effectuated through a pro rata distribution of all outstanding shares of NCR Atleos common stock to holders of our common stock as of the close of business on October 2, 2023 (the “Spin-Off”). In connection with the Spin-Off, we changed our name from NCR Corporation to NCR Voyix Corporation, and our common stock began trading on the New York Stock Exchange under the stock symbol “VYX” on October 17, 2023. We do not have any ownership interest in NCR Atleos. The historical financial results of NCR Atleos are reflected as discontinued operations in our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completed the sale of our Digital Banking segment businesses (the “Digital Banking Sale”) to an affiliate of The Veritas Capital Fund VIII, L.P. (the “Buyer”) on September 30, 2024. The purchase price for the Digital Banking Sale was $2.45 billion in cash, subject to a post-closing adjustment, as well as contingent consideration of up to an additional $100 million in cash upon the achievement of a specified return on the Buyer’s invested capital at the time of any future sale. The historical financial results of the Digital Banking segment businesses are reflected as discontinued operations in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2024, we announced our entry into a commercial agreement with Ennoconn Corporation (“Ennoconn”) to transition our self-checkout and point-of-sale hardware businesses to an outsourced design and manufacturing model (“ODM”), including the sale of certain assets relating to these businesses (the “Hardware Business Transition”). Under the terms of the agreement, Ennoconn will design, manufacture, warrant, supply and ship self-checkout and point-of sale hardware directly to our customers, and we will sell hardware to our customers as a sales agent for Ennoconn and continue to provide our point-of sale and self-checkout software as well as key support and maintenance services. As a result of the Hardware Business Transition, we expect to record commission revenue from point-of-sale and self-checkout hardware sales as an agent for Ennoconn on a net basis, excluding the costs paid to Ennoconn. On January 8, 2026, we announced the commencement of the implementation phase of this new hardware model and began migrating certain aspects of our hardware business to Ennoconn.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Strategy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is to advance our position as a platform-powered leader in unified commerce for shopping and dining at a time when consumer expectations for seamless, personalized and frictionless experiences continue to rise across both retail and restaurant environments. Today’s consumers expect to shop, order, pay and receive service effortlessly, whether online, in-store, curbside or through mobile channels. Consumers increasingly favor brands that deliver speed, consistency and convenience at every interaction. These heightened expectations have placed pressure on retailers and restaurants to modernize their operations and adopt technologies that can support real-time engagement and continuous innovation across digital and physical touchpoints. Guided by our mission to make the consumer experience seamless, we focus on delivering integrated, scalable solutions that enable restaurants and retailers to differentiate their brands and operate more efficiently in a rapidly evolving commerce landscape. By combining hardware, software, services and payments into a unified suite of offerings, we aim to deliver to customers an end-to-end value proposition that is difficult to match. As the adoption of our platform and solutions accelerates, we intend to strengthen customer relationships, enhance recurring revenue streams and broaden monetization opportunities across our Voyix Commerce Platform. To achieve these goals, we are focused on: </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20"/>
        </w:rPr>
        <w:t>Delivering a modern microservices</w:t>
        <w:noBreakHyphen/>
        <w:t>based suite of software-as-a-solution (</w:t>
      </w:r>
      <w:r>
        <w:rPr>
          <w:color w:val="000000"/>
        </w:rPr>
        <w:t>“</w:t>
      </w:r>
      <w:r>
        <w:rPr>
          <w:rFonts w:ascii="Times New Roman;serif" w:hAnsi="Times New Roman;serif"/>
          <w:b/>
          <w:i/>
          <w:color w:val="000000"/>
          <w:sz w:val="20"/>
        </w:rPr>
        <w:t>SaaS</w:t>
      </w:r>
      <w:r>
        <w:rPr>
          <w:color w:val="000000"/>
        </w:rPr>
        <w:t>”</w:t>
      </w:r>
      <w:r>
        <w:rPr>
          <w:rFonts w:ascii="Times New Roman;serif" w:hAnsi="Times New Roman;serif"/>
          <w:b/>
          <w:i/>
          <w:color w:val="000000"/>
          <w:sz w:val="20"/>
        </w:rPr>
        <w:t>) solutions.</w:t>
      </w:r>
      <w:r>
        <w:rPr>
          <w:color w:val="000000"/>
        </w:rPr>
        <w:t xml:space="preserve"> </w:t>
      </w:r>
      <w:r>
        <w:rPr>
          <w:rFonts w:ascii="Times New Roman;serif" w:hAnsi="Times New Roman;serif"/>
          <w:b w:val="false"/>
          <w:color w:val="000000"/>
          <w:sz w:val="20"/>
        </w:rPr>
        <w:t>We are transforming our legacy software portfolio into a streamlined suite of microservices</w:t>
        <w:noBreakHyphen/>
        <w:t xml:space="preserve">based SaaS applications built on our cloud-based Voyix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Commerce Platform, leveraging AI tools to accelerate development. This transformation enhances the scalability, flexibility and agility of our solutions, enabling us to innovate with speed and better meet the evolving needs of our retail and restaurant customers. Our enhanced SaaS solutions expand the breadth of products and services available to existing customers, while also increasing our ability to attract new customers and technology partners. </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20"/>
        </w:rPr>
        <w:t>Expanding adoption of our integrated payment solutions.</w:t>
      </w:r>
      <w:r>
        <w:rPr>
          <w:color w:val="000000"/>
        </w:rPr>
        <w:t xml:space="preserve"> </w:t>
      </w:r>
      <w:r>
        <w:rPr>
          <w:rFonts w:ascii="Times New Roman;serif" w:hAnsi="Times New Roman;serif"/>
          <w:b w:val="false"/>
          <w:color w:val="000000"/>
          <w:sz w:val="20"/>
        </w:rPr>
        <w:t xml:space="preserve">We have taken significant steps to develop and deploy end-to-end payments solutions that fully integrate into our platform and SaaS solutions, including expanding our card acceptance, processing and gateway capabilities. We intend to expand the geographic reach of these payments solutions and continue enhancing our payment acceptance capabilities, including, among others, commercial fuel transactions. </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20"/>
        </w:rPr>
        <w:t>Scaling our differentiated services offerings.</w:t>
      </w:r>
      <w:r>
        <w:rPr>
          <w:color w:val="000000"/>
        </w:rPr>
        <w:t xml:space="preserve"> </w:t>
      </w:r>
      <w:r>
        <w:rPr>
          <w:rFonts w:ascii="Times New Roman;serif" w:hAnsi="Times New Roman;serif"/>
          <w:b w:val="false"/>
          <w:color w:val="000000"/>
          <w:sz w:val="20"/>
        </w:rPr>
        <w:t xml:space="preserve">Our global services organization provides a comprehensive and scalable portfolio of services that differentiates us within the industries we serve. We plan to leverage this competitive advantage to deepen our relationships with existing software, hardware and services customers and to attract new customers, both domestically and internationally. </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20"/>
        </w:rPr>
        <w:t xml:space="preserve">Investing in innovation to further expand our platform capabilities. </w:t>
      </w:r>
      <w:r>
        <w:rPr>
          <w:rFonts w:ascii="Times New Roman;serif" w:hAnsi="Times New Roman;serif"/>
          <w:b w:val="false"/>
          <w:color w:val="000000"/>
          <w:sz w:val="20"/>
        </w:rPr>
        <w:t>We remain committed to delivering innovative solutions that enable our customers to adapt as consumer expectations rise and industries undergo transformation. In addition to our recent efforts to modernize our platform architecture, we have made significant progress in implementing our Hardware Business Transition, whereby hardware will become a vehicle with which to deliver our platform solutions. We intend to continue to expand the features, functionality and performance of our platform, including advancements in SaaS, payment acceptance, automation, data driven insights and service delivery. We are also leveraging AI to drive innovation, accelerate implementations and lower deployment costs. We believe these innovative efforts are essential to maintaining our competitive advantage, supporting long-term customer success and driving sustainable growth across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Operating Segments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Spin-Off and Digital Banking Sale, the Company operated a number of reportable segments: Retail, Hospitality, Digital Banking, Payments &amp; Network and Self-Service Banking. Following the Spin-Off and Digital Banking Sale, we now manage and operate in two reportable segments: Retail and Restaurants.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Retail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Retail segment primarily serves enterprise and mid-market retailers in the convenience &amp; fuel; grocery, drug &amp; mass merchandise; and department &amp; specialty retail industries. We offer end-to-end solutions that meet the unique needs of retailers, depending on the size of their establishments and the complexity of their operations.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Restaurants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Restaurants segment is focused on serving restaurants and food service establishments including quick-service, table-service and fast casual restaurants of all sizes. Our restaurant offerings are designed to deliver end-to-end solutions that streamline ordering and transacting, while assisting restaurant customers with managing and optimizing their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5—Segment Information and Concentrations” of the Notes to Consolidated Financial Statements in Item 8 of Part II of this Report for additional information about our segments, including revenues, operating expenses, operating income and a reconciliation of our segment results to income from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Products and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 platform-powered leader in unified commerce for shopping and dining, enabling retail and restaurant customers of all sizes to operate and scale at pace through our comprehensive suite of SaaS solutions. We believe our offerings provide customers with: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flexible and broad software portfolio that evolves with their business needs,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unified management platform that enables customers to rapidly deploy better guest experiences across both digital and physical channels,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Secure and resilient protection in the cloud and at the edge, safeguarding operations and minimizing the impact of network or cloud interruptions,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Intelligent management tools and advanced data insights that enable customers to optimize operations and increase profitability.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microservices-based SaaS applications are integrated into the Voyix Commerce Platform, offering retail and restaurant customers with modern and innovative solutions that evolve with the technology landscape and with the size and complexity of their business operations. These capabilities combine our flexible and intelligent commerce platform with our deep industry expertise and end-to-end payments and service offerings.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Voyix Commerce Platform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software portfolio of our Voyix Commerce Platform enables retail and restaurant customers - from small operators to the largest international brands - to leverage our leading unified commerce solutions. Customers can operate “online” in the cloud, with capabilities such as loyalty, online ordering, payments and advanced analytics that utilize AI. In our customers’ physical locations, they can use localized applications including, among others, point-of-sale (“POS”), self-checkout (“SCO”), kitchen, fuel and other business-critical software. With our Voyix Edge application engine, customers can replace the traditional operating system stacks that normally would run these applications with a local modern microservices environment. This enables retail stores and restaurants to operate devices and applications in their physical locations with the speed and agility of online channels and provide local resiliency. The Voyix Commerce Platform also includes comprehensive cloud management services to operate and deploy applications across cloud and physical locations. </w:t>
      </w:r>
    </w:p>
    <w:p>
      <w:pPr>
        <w:pStyle w:val="TextBody"/>
        <w:bidi w:val="0"/>
        <w:spacing w:before="0" w:after="0"/>
        <w:jc w:val="both"/>
        <w:rPr/>
      </w:pPr>
      <w:r>
        <w:rPr/>
      </w:r>
    </w:p>
    <w:p>
      <w:pPr>
        <w:pStyle w:val="TextBody"/>
        <w:bidi w:val="0"/>
        <w:spacing w:before="0" w:after="0"/>
        <w:jc w:val="center"/>
        <w:rPr/>
      </w:pPr>
      <w:r>
        <w:rPr/>
        <w:drawing>
          <wp:inline distT="0" distB="0" distL="0" distR="0">
            <wp:extent cx="6743700" cy="28860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743700" cy="288607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Voyix Commerce Platform includes a set of open platform enablers, each of which are foundational software services that are used by our SaaS applications. These open platform enablers are configurable to a customer’s requirements and integrate with customer and third-party systems. The platform architecture allows customers to access AI insights into near real-time business data, both in-store and from a remote location, to optimize promotional execution, predict downtime and minimize disruption. Our partner ecosystem allows customers and third-party developers to bidirectionally process data from their proprietary and third-party systems into the Voyix Commerce Platform using open application programming interfaces (“APIs”), enabling them to manage and control their operations from a centralized interface. In certain instances, we develop APIs alongside our customers and assist with other platform-related activities such as optimizing cloud and in-store resiliency, delivering pre-built infrastructure and offering white-label websites and mobile applications. The Voyix Commerce Platform also equips our customers with tools to perform advanced data analytics to drive efficiencies.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Voyix Commerce Platform powers our modernized, microservices-enabled SaaS applications for retail and restaurant customers across the following categories: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Ordering, Checkout &amp; Fulfillment,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Consumer Experience, Loyalty &amp; Marketing, and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Site Operations and Corporate Planning.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Ordering, Checkout &amp; Fulfillment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Ordering, Checkout &amp; Fulfillment solutions consist of Voyix POS, Aloha Next by Voyix and Voyix Self-Checkout, which are our retail and restaurant point-of-sale solutions and our retail self-checkout solution, respectively.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Point-of-Sale – Voyix POS and Aloha Next by Voyix are cloud-based or hybrid-cloud POS solutions that enable front- and back-of-house capabilities for retailers and restaurants. Within these POS offerings, we offer microservices and a modular architecture, which allows customers to tailor their POS environment to meet their unique needs. These POS offerings are natively integrated with the Voyix Commerce Platform, and our other SaaS applications further present our customers with opportunities to drive operational efficiencies, increase profitability and manage their labor and inventory.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Self-Checkout – Voyix Self-Checkout enables retail consumers to transact independently, reducing the staff required for traditional checkout processes. Our self-checkout technology integrates, among other things, bar code scanning, computer vision and radio-frequency identification (“RFID”) to improve the shopping experience. We offer self-checkout for both standalone units and a hybrid modality, which allows retailers to pivot between checkout lane types and available transaction formats. Embedded within our SCO solutions are AI capabilities, including computer vision and machine learning, that streamline item lookup, accelerate checkout times and reduce fraud.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these POS and SCO solutions, in addition to our kiosk, mobile ordering, pay-at-table and menu management offerings, can be paired with a variety of hardware options, further enhancing customer choice while delivering consistent experiences.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Consumer Experience, Loyalty &amp; Marketing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success of our customers’ businesses is partially dependent on driving consumer loyalty and offering differentiated products, services and experiences from those offered by their competitors. Within our suite of SaaS applications, we equip our retail and restaurant customers with a variety of solutions that help increase demand, loyalty and engagement. We offer dedicated and bundled SaaS applications that deliver tailored promotions campaigns, manage complex rewards programs and provide actionable marketing and operating insights. Due to our global customer base, these solutions are designed to support multiple languages and currencies, enabling customers of all sizes to adopt enterprise-grade capabilities.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Site Operations &amp; Corporate Planning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Site Operations &amp; Corporate Planning solutions deliver an array of advanced tools and capabilities for retail and restaurant operators to seamlessly manage in-store, back-office and corporate operations. Our customers utilize these solutions to manage their labor, inventory and supply chain, to improve communication and coordination across their operations and to leverage the powers of AI, advanced analytics and automation. Our Site Operations &amp; Corporate Planning solutions enable retail and restaurant customers to optimize their operations and automate processes to scale at pace.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offer end-to-end omnichannel payment capabilities integrated with our POS and SCO offerings that seek to provide seamless, secure and scalable solutions for retailers and restaurants. Our primary offerings are Voyix Connect, our cloud-native payment gateway, and Voyix Pay, our payment processing services. Our payments offerings also include physical and virtual POS touch points, such as secure payment terminals, secure hosted pay pages and web service APIs. Our solutions enable retailers and restaurants to accept a large variety of in-store and online payment transactions, including, but not limited to, credit, debit, gift cards, loyalty, fleet and fuel cards. These payment solutions also help customers boost acceptance rates and reduce chargebacks, increase security and resiliency with point-to-point encryption and multi-layer redundancy, and optimize operational efficiencies through centralized data management. To deliver a unified payments experience, we provide access to integrated reporting, analytics, configuration, alerts and monitoring within the Voyix Commerce Platform.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Given our global presence and deep retail and restaurant service expertise, we believe we are uniquely positioned to offer a comprehensive suite of service offerings that supports and enhances our software and hardware offerings for retailers and restaurants, particularly multinational, enterprise brands. Our dedicated, highly trained professionals provide remote and on-site support for software and hardware installations, wall-to-wall technology management and support and hardware maintenance. Our primary service offerings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 xml:space="preserve">Professional Services. </w:t>
      </w:r>
      <w:r>
        <w:rPr>
          <w:rFonts w:ascii="Times New Roman;serif" w:hAnsi="Times New Roman;serif"/>
          <w:b w:val="false"/>
          <w:color w:val="000000"/>
          <w:sz w:val="20"/>
        </w:rPr>
        <w:t xml:space="preserve">We offer software implementation and deployment services, including new installations and upgrades to existing solutions. We also provide integration, localization and optimization services and have sophisticated reporting capabilities to support the rollout and adoption of both our core solutions and value-added applications.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 xml:space="preserve">Managed Services. </w:t>
      </w:r>
      <w:r>
        <w:rPr>
          <w:rFonts w:ascii="Times New Roman;serif" w:hAnsi="Times New Roman;serif"/>
          <w:b w:val="false"/>
          <w:color w:val="000000"/>
          <w:sz w:val="20"/>
        </w:rPr>
        <w:t>We work with our customers to manage our platform integrations, SaaS solutions and Voyix Edge application engine, enhancing our customers’ ability to transform their operations, centralize support, elevate guest experiences and leverage their technological capabilities.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 xml:space="preserve">Connected Service Desk. </w:t>
      </w:r>
      <w:r>
        <w:rPr>
          <w:rFonts w:ascii="Times New Roman;serif" w:hAnsi="Times New Roman;serif"/>
          <w:b w:val="false"/>
          <w:color w:val="000000"/>
          <w:sz w:val="20"/>
        </w:rPr>
        <w:t>Our 24/7 customer support desk service delivers services based on the information technology infrastructure library framework for both our technology and third-party technology, in many cases providing a single point of contact for wall-to-wall store technology. Our offerings, which include, among others, incident management, problem management and change management, enhance our customers’ ability to manage complex store environments, improve technological availability and reliability and reduce friction for both store associates and consumers.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i/>
          <w:color w:val="000000"/>
          <w:sz w:val="20"/>
        </w:rPr>
        <w:t xml:space="preserve">Field Support and Deployment Services. </w:t>
      </w:r>
      <w:r>
        <w:rPr>
          <w:rFonts w:ascii="Times New Roman;serif" w:hAnsi="Times New Roman;serif"/>
          <w:b w:val="false"/>
          <w:color w:val="000000"/>
          <w:sz w:val="20"/>
        </w:rPr>
        <w:t xml:space="preserve">Our global field services team performs preventative hardware maintenance and on-site break-fix services, in addition to hardware and software installations. Our expert field technicians support both our proprietary hardware and that of third parties, supported by our repair operations and vast logistics network.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Legacy Retail and Restaurant Software Offerings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our modernized suites of microservices-based SaaS solutions and other offerings powered by the Voyix Commerce Platform, we have derived, and continue to derive, revenue from a variety of offerings, which include, hardware sales and services and revenue from software licensing and subscription arrangements relating to our legacy portfolio of retail and restaurant offerings.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Hardware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integrate our POS and SCO offerings, powered by the Voyix Commerce Platform, with third-party hardware solutions to deliver tailored checkout solutions that can be configured based on each customer’s needs. In addition, we offer a number of add-on peripherals that integrate with POS and SCO hardware solutions and our microservices-based SaaS solutions. These add-on peripherals include, but are not limited to, kitchen display systems, printers and ordering kiosks, cash drawers, keyboards, handheld scanners and payment terminals.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Leveraging our brand recognition and our global distribution network, we target both new and existing customers across a wide variety of sizes, industries and geographies. We make strategic investments in new products, solutions, capabilities and market-leading services to maintain the competitiveness of our offerings. We have established a strong network of </w:t>
      </w:r>
      <w:r>
        <w:rPr>
          <w:rFonts w:ascii="Times New Roman;serif" w:hAnsi="Times New Roman;serif"/>
          <w:b w:val="false"/>
          <w:color w:val="000000"/>
          <w:sz w:val="20"/>
        </w:rPr>
        <w:t>direct sales and indirect channel relationships, such as value-added resellers and systems integrators, that leverages our market-leading products and services to drive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compete with a diverse array of companies in the retail and restaurants industries in which we sell our software, services, payments and hardware solutions. The competitive landscape can vary by geography, but common factors that impact our ability to compete include product value and quality, total cost of ownership, industry expertise, end-to-end solution support, system integration capabilities, strategic alignment with the customers and service quality.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competitors vary by market segment, product, service offering and geographic area. Key competitors include Aptos, Inc., Block Inc., Diebold Nixdorf, Inc., Fiserv Inc., Flooid, Fujitsu Limited, GK Software SE, Global Payments Inc., HP Inc., Lightspeed, Olo Inc., Oracle Corporation, PAR Technology Corporation, Toast, Inc., Toshiba Tec Corporation and Qu, among others.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Research and Development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remain focused on designing and developing solutions that anticipate our customers’ evolving needs and consumer preferences. Our expenses for research and development were $155 million in 2025, $157 million in 2024, and $139 million in 2023. We anticipate that we will continue to have significant research and development expenditures in the future to support a continuous flow of innovative, high-quality products and services and to help maintain and enhance our competitive position. Information regarding the accounting and costs included in research and development activities is included in Note 1, “Basis of Presentation and Significant Accounting Policies”, of the Notes to Consolidated Financial Statements in Item 8 of Part II of this Report under “Research and Development Costs,” and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Creating and protecting intellectual property is strategic to our business as a global, platform-powered leader in unified commerce for retailers and restaurants. As we continue to research, create, develop and enhance our offerings, we utilize and rely on a combination of intellectual property laws (such as those relating to patents, copyrights, trademarks and trade secrets), contractual arrangements (for example, confidentiality and non-disclosures agreements, assignments, licensing agreements and other agreements containing these and other relevant terms) and our own policies, procedures and technical measures to secure, protect and maintain our intellectual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 patent strategy and process to identify and select strategic innovations for which we apply for, obtain and maintain patent protection in the United States and in certain other countries. As of December 31, 2025, we own more than 900 patents in the United States and have numerous others in certain other countries. We also have numerous patent applications pending in the United States and in other countries, and we expect to continue pursuing patent protection to protect our intellectual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a trademark strategy and process, whereby we apply for and obtain trademark registrations in the United States and other countries to help strengthen and protect our brands. Our most valuable trademarks are “NCR Voyix,” which is now registered in the United States, the European Union and in a number of other foreign countries, and “Voyix,” which currently is registered in certain jurisdictions and is pending elsewhere. In addition to our own use, we license some of our intellectual property to third parties when we consider it to be in our interest. We also license certain intellectual property from others as we deem appropriate.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Seasonality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sales have been historically seasonal, with lower revenue in the first half of each year and higher revenue in the second half of each year. Such seasonality, as well as the timing of recurring annual cash-related items may cause our working capital cash flow requirements to vary from quarter to quarter. Quarterly results are also impacted by variability in the volume, timing and mix of sales. As our revenue mix transitions towards more recurring software and services revenue, we expect that revenue will be less volatile.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most cases, there are a number of vendors providing the services and producing the parts and components that we utilize. However, there are some services and components that are purchased from single sources due to price, quality, technology, customer requirements or other reasons. In the past, we have been able to obtain an adequate supply of raw materials and components for virtually all materials used in the production process, and we currently believe that we will be able to obtain and maintain an adequate supply in the future.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we have leveraged a global network of third-party partners to manufacture and assemble our hardware products. Following the Hardware Business Transition, we will utilize Ennoconn as our single-source partner to supply and manufacture substantially all of our hardware products, and we will sell hardware as a sales agent of Ennoconn. In January 2026, we commenced the implementation phase of the Hardware Business Transition and began migrating certain aspects of our hardware business to Ennoconn.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potential impact of these relationships on our business operations and the risks surrounding the sources and availability of raw materials, refer to the risks described in “Part I—Item1A—Risk Factors” in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Products and Services Backlog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Backlog includes orders confirmed for products scheduled to be shipped, as well as certain professional and transaction services to be provided. Although we believe that the orders included in the backlog are firm commitments, we may allow some orders to be canceled by the customer without penalty. Even when penalties for cancellation are provided for in a customer contract, we may elect to permit cancellation of orders without penalty where we believe it is in our best interest to do so. Further, we have product revenue derived from term-based software license arrangements that include customer termination rights and services revenue that is recurring or transaction-based business, and we do not measure backlog information for these types of transactions. Therefore, we do not believe that our backlog, as of any particular date, is necessarily indicative of revenue for any future period. However, backlog is included as a component of our remaining performance obligation to the extent we determine that the orders are non-cancelable. Refer to Note 1, “Basis of Presentation and Significant Accounting Policies”, of the Notes to Consolidated Financial Statements in Item 8 of Part II of this Report for additional information on remaining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Human Capital Management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strength and talent of our workforce are critical to our success, and we strive to attract, develop and retain personnel commensurate with the needs of our businesses. As of December 31, 2025, we had nearly 13,500 full-time employees worldwide, with approximately 25% in the Asia Pacific region; 42% in the Europe, Middle East and Africa regions; 5% in the Americas, excluding the United States; and 28% in the United States. We also engage and may continue engaging, where needed, consultants and contractors to supplement our permanent workforce. We manage our workforce in alignment with our long-term business strategy, and management believes we have sufficient human capital to operate our businesses successfully.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2025, our overall headcount decreased as we continued to execute on our business strategy by optimizing our workforce and operations in connection with our transformative shift towards delivering our microservices-based suite of modernized SaaS solutions, payments solutions and service offerings to customers through the Voyix Commerce Platform. In addition, we are focused on hiring employees with the necessary skills and experience to advance our business strategy, including hiring developers and strategists with experience in AI.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continuously invest in our workforce by fostering a workplace culture where employees feel connected, supported and respected. We believe that a strong sense of community and connection enhances employee experiences, supports performance and enables employees to do their best work. We regularly review our people practices, policies and programs to ensure they continue to support a positive employee experience and a cohesive organizational culture.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support culture and community building through a range of initiatives designed to strengthen relationships, encourage collaboration and foster professional growth across the organization. Our current initiatives include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Developing talent and capabilities through targeted programs designed to support career growth and skill expansion;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Attracting, hiring and developing talent through strategic partnerships, including our targeted university network, to support a sustainable and capable workforce;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Supporting employee-led communities, including our Business Resource Groups and local engagement teams. These groups promote connection, collaboration and shared experiences across the organization and support employee engagement and talent development.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a variety of regulations in the United States and other jurisdictions in which we operate or where our products, solutions or services are offered. Many of these regulations are evolving and their applicability and scope, as interpreted by courts and regulators, remain uncertain. These regulations and laws involve a variety of matters, including privacy and information security, data protection, artificial intelligence (such as the EU Artificial Intelligence Act), consumer protection, anti-corruption (such as the United States Foreign Corrupt Practices Act and the United Kingdom Bribery Act), labor and employment, import and export controls, tax and environmental sustainability (including climate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actual or perceived failure to comply with these requirements may result in, among other things, private litigation, regulatory or governmental investigations, administrative enforcement actions, sanctions, civil and criminal liability, monetary penalties and constraints on our ability to operate our businesses. It is also possible that current or future laws or regulations could be interpreted or applied in a manner that would prohibit, alter or impair our existing offerings, or that could require costly, time-consuming or otherwise burdensome compliance measures from us. As we continue to grow our business, additional laws, rules and regulations may become relevant. For additional information about government regulations applicable to our business, refer to the risks described in Part I, Item 1A of this Annual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historical manufacturing activities and operations are subject to a wide range of environmental protection laws and we have investigatory and remedial activities underway at a number of facilities that we currently own or formerly owned or operated, to comply, or to determine compliance, with such laws. A detailed discussion of the regulatory and remedial environmental protection actions that impact the Company, particularly the Fox River and Kalamazoo River matters, is included in Item 8 of Part II of this Report as part of Note 11, “Commitments and Contingencies”, of the Notes to Consolidated Financial Statements and is incorporated herein by reference. Further information regarding the risks and potential impacts of compliance with environmental laws and regulations is also included in Part I, Item 1A of this Report.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Available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and other annual reports on Form 10-K, quarterly reports on Form 10-Q, current reports on Form 8-K, amendments to these reports and other filings made with the SEC, whether filed or furnished pursuant to Section 13(a) and 15(d) of the Exchange Act, are available free of charge on our website at https://investor.ncrvoyix.com as soon as reasonably practicable after we electronically file or furnish them with the SEC.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Investors and others should note that we may announce material financial information to our investors using our website, SEC filings, press releases, public conference calls and websites, or a combination thereof, to achieve compliance with our Regulation FD disclosures obligations. Our website, www.ncrvoyix.com, contains a significant amount of information about the Company, including financial and other information for investors. We encourage investors to visit our website regularly, as information may be updated, and new information may be posted at any time. Information appearing on, or accessed through, our website is not a part of this Report, and our references to URLs for these websites are intended to be inactive textual references only.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Copies of our filings, specified exhibits and corporate governance materials are also available, free of charge by calling or writing to: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NCR Voyix—Investor Relations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864 Spring Street NW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Atlanta, GA 30308</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Phone: 800-225-5627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E-Mail: investor.relations@ncrvoyix.com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Website: https://investor.ncrvoyix.com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risks and uncertainties described below are associated with our business, operations and strategy, our prior Spin-Off of NCR Atleos and our capital structure. You should consider these risk factors, together with all other information in this Report, including our financial statements and related notes thereto. These risks and uncertainties, together with other risks and uncertainties of which we are not aware of or that we do not currently believe are material, could materially and adversely affect our business, financial condition, results of operations, cause actual results to differ materially from our historical results or our expectations and projections and cause the market value of our stock to fluctuate or decline.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 FACTOR SUMMARY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certain risks and uncertainties that could materially and adversely affect our business, financial condition and results of operations, which should be read together with the more detailed descriptions of each risk factor contained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Associated with our Strategy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If we are unable to achieve the successful adoption of our cloud platform and modernized SaaS solutions, then our revenue, financial condition and our results of operations could be negatively impacted.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If we do not successfully develop and enhance capabilities that differentiate the solutions and services we offer and keep pace with technological advancements, then our business, financial condition and operating results may be harmed.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fail to maintain consistent, high-quality customer service and support or if we fail to manage our reputation, our brand, business and financial results may be harmed.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achieve some or all of the expected benefits of our cost reduction initiatives and our operating results could be adversely affected.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growth depends in part on the success of our strategic relationships with third parties and our ability to integrate with third-party applications and software.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may be unable to realize the anticipated benefits of past and future acquisitions, divestitures and other strategic transactions and could experience unintended consequences, which might have a materially negative impact on our business, financial condition or results of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realize the anticipated cost savings or other benefits related to the transition of our hardware business to an outsourced design and manufacturing (ODM) model on a timely basis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Associated with the Spin-Off of NCR Atleos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If the Spin-Off fails to qualify for tax-free treatment, it could result in substantial tax liability for us and our stockholders.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may be held liable to NCR Atleos if we fail to perform under our agreements with NCR Atleos, and the performance of such services may negatively affect our business and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indemnification obligations to NCR Atleos or a refusal of NCR Atleos to indemnify us pursuant to agreements executed in the Spin-Off could materially adversely affect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Cybersecurity, Data Privacy and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protect our systems, solutions and data from cybersecurity threats or other technological risks could adversely affect our business operations or stock price and damage our brand and reputation.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evolving global laws and regulations relating to data privacy, data protection, information security and artificial intelligence, which may require us to incur substantial compliance costs or cause harm to our business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intellectual property is valuable and our inability to protect it could reduce the value of our products, services and brand and harm our competitive position.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Claims by others that we infringe, misappropriate or otherwise violate their intellectual property rights, even those without merit, could result in significant costs and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Associated with our Business &amp;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face extensive competition in our markets and if we do not compete effectively, we may not be successful.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Disruptions in our data center hosting and public cloud facilities could adversely affect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Defects, errors, installation difficulties or development delays could expose us to potential liability, harm our reputation and negatively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use of artificial intelligence in our products and operations, as well as our potential failure to effectively implement, use and market these technologies, may result in reputational harm or liability or could adversely affect our revenues and profitability.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rely on the availability of third-party licenses, and our inability to maintain those licenses could harm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U.S. or foreign trade policies and other factors beyond our control may adversely impact our business and operating results.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If we are unable to maintain and update our information technology systems to meet the needs of our business, our business could be adversely impacted.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If the third-party suppliers upon which we rely to manufacture our offerings or provide us with key components and other technologies and services are unable to fulfill our needs at acceptable prices, our ability to bring our offerings to market successfully could be affected.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face uncertainties regarding regulations, lawsuits and other related matters.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payments business subjects us to additional regulatory requirements and other risks and uncertainties that could be costly and difficult to comply with or that could harm our business.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to our tax rates and additional income tax liabilities could impact our profitability.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international operations subject us to additional risks that can adversely affect our business, financial condition and results of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major natural disaster or catastrophic event could have a materially adverse effect on our business, financial condition and results of operations, or have other adverse consequences.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historical manufacturing activities subject us to environmental exposures which could adversely affect our financial condition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Associated with our Finance &amp; Accounting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terms of the documents governing our indebtedness include financial and other covenants that could restrict or limit our financial and business operations, and adversely affect our ability to incur additional debt to fund future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cash flows may not be sufficient to service our indebtedness, and if we are unable to satisfy our obligations under our indebtedness, we may be required to seek other financing alternatives, which may be unsuccessful.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lowering or withdrawal of the ratings assigned to our debt securities by rating agencies may increase our future capital costs and reduce our access to capital.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may be required to write down the value of certain significant assets, which would adversely affect our operating results.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fail to maintain an effective system of disclosure controls and procedures and internal control over financial reporting, then such failure could have a material adverse effect on our results of operations, financial condition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Associated with our Governance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Series A Convertible Preferred Stock has rights, preferences and privileges that are not held by, and are preferential to, the rights of our common stockholders, including with respect to dividends and liquidation, which could adversely affect our liquidity and financial condition, may result in the interests of the holders of our Series A Convertible Preferred Stock differing from those of our common stockholders, and reduces the relative voting power of holders of our common stock. In addition, the conversion of shares of Series A Convertible Preferred Stock into common stock and their subsequent sale would dilute the ownership interest of existing common stockholders and may adversely affect the market price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could be subject to actions or proposals from stockholders that do not align with our business strategies or the interests of our other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ASSOCIATED WITH OUR STRATEGY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If we are unable to achieve the successful adoption of our cloud platform and modernized SaaS solutions, then our revenue, financial condition and results of operations could be negatively impacted.</w:t>
      </w:r>
      <w:r>
        <w:rPr>
          <w:color w:val="000000"/>
        </w:rPr>
        <w:t xml:space="preserve"> </w:t>
      </w:r>
      <w:r>
        <w:rPr>
          <w:rFonts w:ascii="Times New Roman;serif" w:hAnsi="Times New Roman;serif"/>
          <w:b w:val="false"/>
          <w:color w:val="000000"/>
          <w:sz w:val="20"/>
        </w:rPr>
        <w:t xml:space="preserve">We have taken significant steps, including the Spin-Off of NCR Atleos, the Digital Banking Sale and the Hardware Business Transition, to strategically position us for long-term growth. We have developed a modernized suite of SaaS solutions that natively integrates with our cloud-based platform in order to meet the evolving needs of our retail and restaurant customers.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our strategic focus has now shifted towards accelerating the adoption of the Voyix Commerce Platform and our subscription-based SaaS solutions. The successful adoption of our platform and SaaS solutions by new and existing customers is dependent on a variety of factors including, among others, the demand for, and the performance and competitive differentiation of, our platform and solutions; the timely development and deployment of new or enhanced solutions and capabilities; our ability to convert existing customers and attract new customers to our platform and solutions; our ability to expand our customers’ use of our full suite of offerings, including, among others, our payment acceptance and processing capabilities; the optimization, performance and expansion of our services offerings; and the continued expansion of third-party integrations and open platform enablers to increase the extensibility and interoperability of our platform and SaaS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continue pursuing potential customers that are small- and medium-sized businesses by increasing our use of indirect sales channels and by developing, marketing and selling solutions aimed at such businesses. It is not certain whether these initiatives will yield the anticipated benefits or if our solutions will lead to a measurable increase in such small- and medium-sized customers.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are unable to achieve the adoption of our platform by new and existing customers or cannot realize the anticipated benefits of our investments in our platform, SaaS solutions, services offerings and payment capabilities, then we may be unable to meet our growth targets, and our revenue, financial condition and results of operations could be negatively impacted.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i/>
          <w:color w:val="000000"/>
          <w:sz w:val="20"/>
        </w:rPr>
        <w:t xml:space="preserve">If we do not successfully develop and enhance capabilities that differentiate the solutions and services we offer and keep pace with technological advancements, then our business, financial condition and operating results may be harmed. </w:t>
      </w:r>
      <w:r>
        <w:rPr>
          <w:rFonts w:ascii="Times New Roman;serif" w:hAnsi="Times New Roman;serif"/>
          <w:b w:val="false"/>
          <w:color w:val="000000"/>
          <w:sz w:val="20"/>
        </w:rPr>
        <w:t>The retail and restaurant markets in which we compete are characterized by rapid technological advancements, including frequent new product introductions and enhancements, increasingly sophisticated consumer needs and preferences and evolving security technology and industry standards. Our success depends in part on our ability to develop innovative or sufficiently differentiated solutions and capabilities in a timely and cost-effective manner. We have made significant investments in the development and deployment of new and innovative functionalities within our solutions, and we expect to continue allocating capital to enhance our platform, SaaS solutions and service offerings, including, among other things, acquiring and using artificial intelligence tools to assist with product development and testing and building, leasing, expanding and maintaining our cloud infrastructure. The development process for new solutions and service offerings requires high levels of innovation and can be time consuming and costly.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Technological advances and changes to industry or regulatory standards relating to safety and security may also impact our ability to develop, test and deliver new solutions and capabilities in a timely or efficient manner, or at all. We may fail to successfully anticipate our customers’ needs and technological and industry trends. We also may be unsuccessful in marketing and selling these solutions, once developed, which could natively impact our business and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we continue pursuing the strategic adoption of our platform and SaaS solutions by new and existing customers, our ability to timely or efficiently sunset certain legacy products may be hindered by contractual terms, market conditions, delays in the deployment of our solutions or customer preferences. In specific instances, we may have made, or may choose to make, certain assurances to our customers regarding current or future capabilities, specifications and expected service levels of our platform and solutions, which we may be unable to deliver successfully. Our financial results, reputation and long-term growth strategy could be adversely impacted if we are unable to deliver such technologies, fail to enhance our capabilities or our solutions do not perform as intended.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If we fail to maintain consistent, high-quality customer service and support or if we fail to meet our service obligations or manage our reputation, our brand, business and financial results may be harmed. </w:t>
      </w:r>
      <w:r>
        <w:rPr>
          <w:rFonts w:ascii="Times New Roman;serif" w:hAnsi="Times New Roman;serif"/>
          <w:b w:val="false"/>
          <w:color w:val="000000"/>
          <w:sz w:val="20"/>
        </w:rPr>
        <w:t xml:space="preserve">We take pride in the customer service and support that we provide to customers, and we believe these capabilities are critical to attracting new customers, retaining our existing customers and growing our business. If we are unable to maintain the high level of customer service and support that customers expect from us, including through our use of third-party service providers or by leveraging advanced technologies such as artificial intelligence, our business may be negatively impacted. To maintain sufficient service levels, we also may need to hire additional support personnel, which could increase our costs. Our sales are highly dependent on our business reputation, which is often advanced by positive recommendations given by our existing customers. Any failure to, or market perception that we do not, maintain high-quality customer support may adversely affect our reputation and brand, our ability to benefit from the network effect of referrals, our ability to cross-sell and upsell our solutions and services to existing and prospective customers and our business, financial condition or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certain customer agreements include service level commitments or milestones, and if we fail to meet these contractual commitments, we could face contract terminations, pay damages or be obligated to issue credits to our customers. Our failure to meet contractual service commitments also may result in customer dissatisfaction, reputational harm or the loss of customers, which could have a material adverse effect on our business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We may not achieve some or all of the expected benefits of our cost reduction initiatives and our operating results could be adversely affected. </w:t>
      </w:r>
      <w:r>
        <w:rPr>
          <w:rFonts w:ascii="Times New Roman;serif" w:hAnsi="Times New Roman;serif"/>
          <w:b w:val="false"/>
          <w:color w:val="000000"/>
          <w:sz w:val="20"/>
        </w:rPr>
        <w:t xml:space="preserve">We have undertaken, and may continue undertaking, cost reduction actions in alignment with our long-term growth strategy. We may not achieve the anticipated cost savings or operational improvements from these efforts. Such benefits may be realized later than expected, and the challenges in implementing these measures may be greater than anticipated. We may incur additional unexpected costs or experience business disruptions or delays that hinder our ability to realize the expected benefits of these initiatives. Optimizing expenses could cause us to experience a loss of continuity, loss of accumulated knowledge, loss of key employees and/or undermine our ability to attract and retain top talent. Moreover, our projections and estimates of the cost savings or other benefits are based on a number of assumptions and are subject to economic, competitive and other uncertainties,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some of which are beyond our control. If we do not realize the anticipated benefits and costs savings in accordance with our strategic objectives, then our business, financial condition, operating results and cash flows could be negatively impacted.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Our growth depends in part on the success of our strategic relationships with third parties and our ability to integrate with third-party applications and software. </w:t>
      </w:r>
      <w:r>
        <w:rPr>
          <w:rFonts w:ascii="Times New Roman;serif" w:hAnsi="Times New Roman;serif"/>
          <w:b w:val="false"/>
          <w:color w:val="000000"/>
          <w:sz w:val="20"/>
        </w:rPr>
        <w:t>We believe that the success of our platform depends, in part, on our ability to integrate data and third-party applications, software and other functionalities into the Voyix Commerce Platform, and we anticipate that the growth of our business will continue to depend on these third-party relationships, including with ordering service providers, payment processors, loyalty providers and other technology partners. Integrating third-party content, data and technology requires significant time and resources, and, in certain circumstances, third-party providers could alter the terms of their agreement or terminate their relationships with us, compete directly against us, partner with our competitors or make material changes to their businesses, solutions or services that could harm our business. We may also be adversely affected by features, changes or alterations to the governing terms of use for technologies developed by third parties, or we may fail to maintain our relationship with certain third parties which could hinder our ability to integrate with, or transfer data from, their offerings into our platform. Third parties also may refuse to partner with us or choose to limit or restrict our access to their offerings. If we cannot continue integrating existing, or fail to integrate new, third-party offerings and technologies into our platform and solutions, then we may lose existing customers to competitors or be unable to successfully compete for new business opportunities. In addition, if we lose access to certain solutions or capabilities from a particular partner or experience a significant reduction or disruption in the supply of such solutions or capabilities, then our business and operating results could be adversely impacted.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We may be unable to realize the anticipated benefits of past and future acquisitions, divestitures and other strategic transactions, which might have a materially negative impact on our business, financial condition or results of operations. </w:t>
      </w:r>
      <w:r>
        <w:rPr>
          <w:rFonts w:ascii="Times New Roman;serif" w:hAnsi="Times New Roman;serif"/>
          <w:b w:val="false"/>
          <w:color w:val="000000"/>
          <w:sz w:val="20"/>
        </w:rPr>
        <w:t xml:space="preserve">We have made and expect to continue to make acquisitions, divestitures and other strategic transactions to strengthen our business and position us for long-term growth. For example, we completed the Spin-Off of NCR Atleos in October 2023, and we completed the Digital Banking Sale in September 2024. We may not be able to achieve the expected strategic, financial, operational and other benefits from these transactions, among others, or the associated benefits may be delayed. We cannot predict with certainty when the benefits expected from the Spin-Off or Digital Banking Sale will occur, the extent to which such benefits will be realized or whether they will be realized at all. Even if we do realize the benefits from these and other future transactions, the costs may outweigh the benefits or could result in dis-synergies with respect to our go-forward business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 smaller company after the completion of the Spin-Off and Digital Banking sale, with a less diversified portfolio of offerings and narrower business focus. As a result, we may be more vulnerable to changing market conditions and other risks impacting our operations, which could materially and adversely affect our business, financial condition and results of operations. Our smaller size may also limit our ability to absorb unforeseen costs and expenses or to withstand prolonged periods of economic uncertainty, or invest in the research and development necessary to remain competitive with our offerings.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decide in the future to expand our business, portfolio of offerings and business focus through the acquisition of complementary solutions and technologies. If we are unable to complete strategic acquisitions or if such opportunities do not arise, our growth opportunities could be adversely affected. Even if we complete strategic acquisitions, we could fail to realize the anticipated growth and other objectives, or they might take longer to realize than expected. A variety of factors (such as business disruptions, integration issues, lost talent, misallocated resources and unanticipated transaction costs, among others) may adversely affect any anticipated benefits from such transactions.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failure of any such acquisition, divestiture and other strategic transaction to perform or deliver results as expected could have a material adverse effect on our business, financial condition or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We may not realize the anticipated cost savings or other benefits related to the transition of our Hardware Business to an outsourced design and manufacturing (ODM) model on a timely basis or at all. </w:t>
      </w:r>
      <w:r>
        <w:rPr>
          <w:rFonts w:ascii="Times New Roman;serif" w:hAnsi="Times New Roman;serif"/>
          <w:b w:val="false"/>
          <w:color w:val="000000"/>
          <w:sz w:val="20"/>
        </w:rPr>
        <w:t>In August 2024, we announced our entry into a commercial agreement with Ennoconn Corporation (“Ennoconn”) to transition our point-of-sale and self-checkout hardware businesses to an outsourced design and manufacturing model, including the sale of certain assets relating to these businesses (the “Hardware Business Transition”). On January 8, 2026, we announced the commencement of the implementation phase of this ODM model. We have experienced delays, and may experience additional unanticipated delays, as certain aspects of our hardware business migrate to Ennoconn. We expect to complete the Hardware Business Transition in April 2026; however, it may not be implemented successfully or within the anticipated timeline. We anticipate that, once the Hardware Business Transition is implemented, we will recognize revenue on a net basis, excluding the costs paid to Ennoconn, as a hardware point-of-sale and self-checkout sales agent. Once the implementation of the Hardware Business Transition has been completed, a substantial majority of the revenue related to the sale of hardware will no longer be recognized by us and will instead be recognized by our counterparty, which will result in a substantial decrease to our hardware-related revenue. This could have an adverse impact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expect to reduce hardware-related costs in connection with the Hardware Business Transition. However, if we are unable to reduce costs in connection with the Hardware Business Transition or if the Hardware Business Transition has an adverse impact on our hardware sales or customer relationships, our future operating results and financial condition may be negatively impacted.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as a result of the Hardware Business Transition, Ennoconn will design, manufacture, warrant, supply, and ship self-checkout and point-of sale hardware directly to our customers. If Ennoconn fails to deliver on their commitments or otherwise breaches its obligations to our customers, then our reputation and our customer relationships may be harmed which may adversely impact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ASSOCIATED WITH THE SPIN-OFF OF NCR ATLEOS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If the Spin-Off fails to qualify for tax-free treatment, it could result in substantial tax liability for us and our stockholders. </w:t>
      </w:r>
      <w:r>
        <w:rPr>
          <w:rFonts w:ascii="Times New Roman;serif" w:hAnsi="Times New Roman;serif"/>
          <w:b w:val="false"/>
          <w:color w:val="000000"/>
          <w:sz w:val="20"/>
        </w:rPr>
        <w:t>We received an opinion of counsel to the effect that, for U.S. federal income tax purposes, the Spin-Off qualifies for tax-free treatment under certain sections of the Internal Revenue Code. However, the opinion relies on certain facts, assumptions, representations and undertakings from us and NCR Atleos, including those regarding the past and future conduct of the companies’ respective businesses and other matters, and the opinion would not be valid if such assumptions, representations and undertakings were incorrect. Furthermore, the opinion is not binding on the Internal Revenue Service (“IRS”) or the courts. If the Spin-Off is determined to be taxable for U.S. federal income tax purposes, we and our stockholders that are subject to U.S. federal income tax could incur significant U.S. federal income tax liabilities. Even if the Spin-Off otherwise qualifies as a tax-free transaction, the distribution would be taxable to us (but not to our stockholders) in certain circumstances if future significant acquisitions of our stock or the stock of NCR Atleos are determined to be part of a plan or series of related transactions that included the Spin-Off. In this event, the resulting tax liability could be substantial. In connection with the Spin-Off, we entered into a Tax Matters Agreement with NCR Atleos, pursuant to which NCR Atleos agreed to not enter into any transaction that could cause the Spin-Off or any related transactions to be taxable to us without our consent and to indemnify us for any tax liability resulting from any such transaction. In addition, these potential tax liabilities may discourage, delay or prevent a change of control of us.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We may be held liable to NCR Atleos if we fail to perform under our agreements with NCR Atleos, and the performance of such services may negatively affect our business and operations</w:t>
      </w:r>
      <w:r>
        <w:rPr>
          <w:rFonts w:ascii="Times New Roman;serif" w:hAnsi="Times New Roman;serif"/>
          <w:b w:val="false"/>
          <w:color w:val="000000"/>
          <w:sz w:val="20"/>
        </w:rPr>
        <w:t xml:space="preserve">. In connection with the Spin-Off, we and NCR Atleos entered into a separation and distribution agreement and various other agreements (including a transition services agreement, tax matters agreement, employee matters agreement, patent and technology cross-license agreement, trademark license and use agreement, master services agreement) that provide for the performance of certain services by each company for the benefit of the other for a period of time after the Spin-Off. While many of the performance obligations of the Company and NCR Atleos have been satisfied or have otherwise expired, if we do not satisfactorily perform our remaining obligations under these agreements, we may be held liable for any resulting losses suffered by NCR Atleos, subject to certain limits.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Potential indemnification obligations to NCR Atleos or a refusal of NCR Atleos to indemnify us pursuant to agreements executed in the Spin-Off could materially adversely affect us.</w:t>
      </w:r>
      <w:r>
        <w:rPr>
          <w:color w:val="000000"/>
        </w:rPr>
        <w:t xml:space="preserve"> </w:t>
      </w:r>
      <w:r>
        <w:rPr>
          <w:rFonts w:ascii="Times New Roman;serif" w:hAnsi="Times New Roman;serif"/>
          <w:b w:val="false"/>
          <w:color w:val="000000"/>
          <w:sz w:val="20"/>
        </w:rPr>
        <w:t>Pursuant to the separation and distribution agreement and certain other agreements we entered into with NCR Atleos in connection with the Spin-Off, the Company and NCR Atleos have agreed to indemnify the other for certain liabilities. The indemnities from NCR Atleos for our benefit may not be sufficient to protect us against the full amount of such liabilities, and NCR Atleos may not be able to fully satisfy its indemnification obligations. Moreover, even if we ultimately succeed in recovering from NCR Atleos any amounts for which we are held liable, we may be temporarily required to bear these losses ourselves. In addition, our indemnity obligations to NCR Atleos may be significant. Each of these risks could negatively affect our business,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CYBERSECURITY, DATA PRIVACY AND INTELLECTUAL PROPERTY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Our inability to protect our systems, solutions and data from cybersecurity threats or other technological risks could adversely affect our business operations or stock price and damage our brand and reputation</w:t>
      </w:r>
      <w:r>
        <w:rPr>
          <w:rFonts w:ascii="Times New Roman;serif" w:hAnsi="Times New Roman;serif"/>
          <w:b w:val="false"/>
          <w:color w:val="000000"/>
          <w:sz w:val="20"/>
        </w:rPr>
        <w:t>. As we operate our business, we obtain, process and, in some cases, store sensitive business and personal information, including, but not limited to, information related to our customers, their end-users and their transactions. We also have access to certain transactional and personal data of our customers and their consumers due to the proprietary or third-party products, solutions and service offerings we provide. Additionally, we collect, process and store certain personal data of our employees and independent contractors or third-party consultants in the ordinary course of business. We face a variety of risks, including to our reputation, relating to the handling, securing and protection of such information, and these risks will increase as our business grows.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programs and measures in place that are designed to protect and safeguard our data and the third-party data we collect, store and process, and while we have implemented access controls designed to limit the risk of unauthorized use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disclosure by employees and contractors, the techniques used to prevent access or obtain unauthorized access to data are complex and evolving as threat actors adopt new and emerging technologies. For example, threat actors are increasingly using artificial intelligence and machine learning to develop and deploy techniques that enhance their likelihood of success at penetrating or bypassing security measures, compromising and disrupting systems and exploiting vulnerabilities. These threat actors are increasingly sophisticated, and they have increasingly targeted employees, contractors, service providers and third parties through evolving techniques, including through social engineering and/or misrepresentation (such as phishing attempts and similar techniques). An attack, disruption, intrusion, denial of service, theft, misuse or other breach, or an inadvertent act by an employee or contractor, could result in unauthorized access to, disclosure of, or prevent or access to, our data or third-party data we collect, store or process, resulting in claims, costs and reputational harm that could negatively affect our operating results or stock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Like most companies, we are regularly subject to attempts by third parties (which may include individuals or groups of hackers and sophisticated organizations, such as state-sponsored organizations, nation-states and individuals sponsored by them) to identify and exploit system vulnerabilities or to penetrate or bypass our security measures to gain unauthorized access to our networks and systems. We anticipate that we will continue to be increasingly subject to such attempts given the nature of our business and as cyberattacks become more sophisticated and difficult to predict and protect against. Successful attempts by one of these malicious actors could lead to the compromise of personal information or the confidential data of us or our customers. Attempts of this nature typically involve technology-related viruses, worms and other malicious software programs that attack networks, systems, products and services, exploit potential security vulnerabilities, create system disruptions and cause shutdowns or denials of service. Our products and services may also be accessed or modified improperly as a result of customer, partner, employee, contractor or supplier error or malfeasance.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administrative, technical, organizational and physical security measures in place to defend against intrusions and attacks and to protect our information. However, we have experienced security incidents in the past, and we may face additional security incidents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2023, we determined that a single data center outage impacting certain of our customers was caused by a cyber ransomware incident. Following an extensive investigation which included Company experts, external forensic cybersecurity experts and federal law enforcement, among others, we concluded that the incident impacted operations for some customers only with respect to specific Aloha cloud-based services and Counterpoint. Functionality was fully restored to all impacted customers, and we built a new cloud environment to host the affected applications. We have incurred certain expenses related to this cyber ransomware incident and may incur additional costs in the future, including payment of damages or other costs to customers or others.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the techniques used to obtain unauthorized access to, or sabotage technology systems, change frequently, grow more complex over time and generally are not recognized until a cyberattack is launched against a target, we may be unable to anticipate or implement the measures needed to prevent such techniques. In addition, a cyberattack, vulnerability exploitation or other security incident could remain undetected and persist in our environments or those of our customers, partners and other third parties for an extended period of time. Future security incidents may not be prevented or remediated, and the cost associated with responding to any such incident may be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any security or data breach or significant denial-of-service attack or other cyberattack involving our systems, our customers’ data or the systems of third parties that store or process our data or that of our customers occurs or is believed to have occurred, our reputation and brand could be significantly damaged, and we could be required to expend significant capital and other resources to address problems caused by any such actual or perceived event and to remediate our systems. In addition, we could be exposed to business losses, litigation, regulatory action or other liabilities and our ability to operate our business may be impaired. While we maintain cybersecurity insurance, there can be no assurance that our insurance will cover any or all of losses we incur in connection with any cybersecurity incident.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We are subject to evolving global laws and regulations relating to data privacy, data protection, information security and artificial intelligence, which may require us to incur substantial compliance costs or cause harm to our business operations. </w:t>
      </w:r>
      <w:r>
        <w:rPr>
          <w:rFonts w:ascii="Times New Roman;serif" w:hAnsi="Times New Roman;serif"/>
          <w:b w:val="false"/>
          <w:color w:val="000000"/>
          <w:sz w:val="20"/>
        </w:rPr>
        <w:t xml:space="preserve">In addition to the risks described above relating to cybersecurity threats or other technology risks, our data processing activities subject us to numerous data privacy and security laws and regulations in many jurisdictions. Federal, state and local governments in the United States have enacted numerous data privacy and security laws, including data breach notification laws, personal data privacy laws, consumer protection laws and other similar laws. For example, the California Consumer Privacy Act of 2018, as amended by the California Privacy Rights Act of 2020 (collectively, “CCPA”), applies to the personal information of consumers, business representatives and employees who are California residents and requires businesses to provide specific disclosures in privacy notices and to honor requests made by individuals to exercise certain privacy-related rights. The CCPA provides for administrative fines of up to $7,500 per violation and permits private litigants affected by certain data breaches to recover significant statutory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damages. A number of other states, such as Virginia and Colorado, also have passed comprehensive privacy laws, and similar laws are being considered in other states and municipalities and by the federal government.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Outside the United States, the number of laws, regulations and industry standards governing data privacy and security is increasing. The European Union’s General Data Protection Regulation (“EU GDPR”), the United Kingdom’s General Data Protection Regulation and Brazil’s General Data Protection Law impose strict requirements for processing the personal data of individuals. Violations of these laws could cause us to incur significant fines, penalties, claims by regulators or other third-party lawsuits alleging significant damages and may damage our brand and business. For example, under EU GDPR, the authorities may impose fines of up to the greater of €20 million or 4% of an organization’s global revenue, or they could limit our ability to process personal data. As foreign jurisdictions continue to enact and modify their data privacy laws, maintaining compliance with differing data privacy standards will become more complex, and it is possible that these laws will be interpreted and applied inconsistently, or in a manner that is inconsistent or conflicts with our existing data privacy practices. Changing our policies and practices to achieve compliance may be onerous and costly, and we may not be able to respond timely or effectively to regulatory, legislative and other developments. These required changes could impair our ability to offer existing or planned features, solutions and services, and they also may increase our cost of doing business. Any actual or perceived failure by us or any third parties with which we do business to achieve compliance with our posted privacy statements or notices, changing consumer expectations, evolving regulations, industry standards or contractual obligations may result in actions or other claims against us by governmental entities or private actors or cause us to incur significant fines or other liabilities. Any such actions, particularly to the extent we were found to have engaged in violations or are found otherwise liable for damages, could result in the expenditure of substantial resources and could also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legal and regulatory landscape relating to the use of artificial intelligence, machine learning and other automated decision-making capabilities continues to evolve, and there is uncertainty regarding the scope and timing of the adoption of these new and existing laws and regulations. For example, the European Union has adopted the EU Artificial Intelligence Act, which is currently in its implementation phase. The United States, at federal, state and local levels, is considering new artificial intelligence-related laws and regulations. The EU Artificial Intelligence Act and any other new legal frameworks could require us to comply with burdensome, and potentially conflicting, requirements, depending on the nature and categorization of artificial intelligence. As a result, our adoption and use of artificial intelligence within our commercial offerings and internal operations may require us to expend resources and other costs in order to achieve compliance, cause us to incur regulatory fines and/or penalties, or otherwise cause us to change our commercial offerings and features, which could harm our business, financial condition and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Our intellectual property is valuable, and our inability to protect it could reduce the value of our products, services and brand and harm our competitive position.</w:t>
      </w:r>
      <w:r>
        <w:rPr>
          <w:color w:val="000000"/>
        </w:rPr>
        <w:t xml:space="preserve"> </w:t>
      </w:r>
      <w:r>
        <w:rPr>
          <w:rFonts w:ascii="Times New Roman;serif" w:hAnsi="Times New Roman;serif"/>
          <w:b w:val="false"/>
          <w:color w:val="000000"/>
          <w:sz w:val="20"/>
        </w:rPr>
        <w:t xml:space="preserve">Our creations, developments and technology and our copyrights, trade secrets, trademarks, patents and other intellectual property rights (collectively, our “IP”) are important assets for us and our business, and it is critical to our strategy that we protect and can leverage our IP. We own more than 900 patents in the United States and have numerous others in foreign countries. We own the trademarks, including having registrations for “NCR Voyix” and "Voyix" as well as certain other trademarks relating to our products and services. We rely on, and expect to continue to rely on, copyright, trade secret, trademark, patent and other intellectual property laws in the United States and internationally to protect our IP and brand. However, a variety of factors outside our control pose a threat to our IP rights.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fail to obtain or maintain effective IP protection, or the efforts we have taken to protect our IP may not be sufficient or effective. Our intellectual property rights also may be challenged, which could result in them being narrowed in scope or declared invalid or unenforceable. Despite our efforts to protect our IP, there can be no assurance they will be sufficient to protect against others offering products or services that are substantially similar to ours or that unauthorized parties will not attempt to copy, use, misappropriate or disclose our IP, including information that we consider confidential or proprietary. Unauthorized third parties may try to copy or reverse engineer our offerings or portions thereof, or they may seek to obtain and use our IP to create offerings that compete with ours. Third parties potentially could obtain patents relating to innovations that overlap or compete with our offerings. If third parties obtain patent protection with respect to such innovations, they might assert, and have in the past asserted, that our products or services infringe on their patents, and they may seek to charge us a licensing fee or otherwise preclude the use of our products or services or file suit against us. In addition, third parties may seek to use our trademarks without our authorization, and our trademarks may not provide us with any competitive advantages or successfully distinguish our offerings from those of our competitors or prevent third parties from using them or similar trademarks or brands. Obtaining, defending and maintaining our IP is expensive and time-consuming. We may fail to properly obtain, defend and maintain our new and existing IP, which could hurt our market position and business opportunities. Possible future changes to U.S. or foreign intellectual property laws and regulations may jeopardize the enforceability, validity or scope of our intellectual property rights and harm our ability to obtain protection. We also may not be able to protect or enforce our IP if we do not detect the unauthorized use of our IP.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IP protection may not be available in every country where our products and services are offered or may be offered in the future, and the laws of certain foreign jurisdictions may not recognize certain intellectual property rights or protect them to the same extent as the laws of the United States. Changes in, or unexpected interpretations of, intellectual property laws may compromise our ability to enforce our intellectual property rights, or such changes could jeopardize the validity, enforceability or scope of our IP rights or harm our ability to obtain IP protections.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Failure to obtain or maintain protection of our confidential information or other proprietary information (including trade secrets and know-how) could harm our competitive position and materially and adversely affect our business, financial condition and results of operations. We rely on intellectual property rights, such as copyrights and trade secrets, to protect our confidential information, know-how, technical information and other proprietary information. We also rely on and enter into agreements, such as confidentiality and nondisclosure agreements, with employees, contractors, consultants and other third parties who may access our confidential or other proprietary information (such as trade secrets and know-how), which place certain restrictions on the use and disclosure of our IP. We enter into intellectual property assignment agreements with our employees, contractors and consultants. We cannot guarantee that we have entered into such agreements with every individual or entity that may have or have had access to our confidential or proprietary information or that individuals or entities may not assert rights to our IP. Even where such agreements exist, it is possible that they may be insufficient or breached, and it is possible that our IP or our confidential and proprietary information could otherwise be disclosed or become known to our competitors, which could cause us to lose our competitive advantages. We may not be able to obtain adequate remedies for such breaches. Additionally, to the extent that our employees, contractors, consultants or other third parties with whom we do business use intellectual property owned by others in their work for us, disputes could arise with respect to the use of that intellectual property.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counter infringement, misappropriation or unauthorized use of our IP, we may deem it necessary to file claims, which can be expensive and time consuming. Any efforts to enforce our intellectual property rights through litigation may be met with defenses, counterclaims and countersuits attacking the validity and enforceability of our rights. Furthermore, because of the substantial amount of discovery required in connection with such litigation, there is a risk that some of our confidential and proprietary information could be compromised during such litigation.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Claims by others that we infringe, misappropriate or otherwise violate their intellectual property rights, even those without merit, could result in significant costs and adversely affect our business, financial condition and results of operations.</w:t>
      </w:r>
      <w:r>
        <w:rPr>
          <w:color w:val="000000"/>
        </w:rPr>
        <w:t xml:space="preserve"> </w:t>
      </w:r>
      <w:r>
        <w:rPr>
          <w:rFonts w:ascii="Times New Roman;serif" w:hAnsi="Times New Roman;serif"/>
          <w:b w:val="false"/>
          <w:color w:val="000000"/>
          <w:sz w:val="20"/>
        </w:rPr>
        <w:t>A large number of patents and other intellectual property rights exist in our industry and technology companies frequently enter into litigation based on allegations of patent infringement or other violations of intellectual property rights. We are subject to, and may be subject in the future, to claims by third parties that we have infringed, misappropriated or otherwise violated their intellectual property rights. As we face increasing competition, the possibility of such claims against us may increase. This risk has been amplified by the increase in patent holding companies that seek to monetize patents they have purchased or otherwise obtained and whose sole or primary business is to assert such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Claims of infringement, misappropriation or other violations of intellectual property rights made by a third party, even those without merit and regardless of the outcome, could cause us to incur substantial costs defending against the claim. The outcome of such claims is often uncertain, and there can be no assurance that we will successfully defend against these claims. An adverse outcome of an IP dispute may require us to do one or more of the following: pay substantial monetary damages; stop selling or licensing some or all of our commercial offerings; enter into a fee-bearing licensing agreement that we would not normally find acceptable; cause a delay to the development of certain product or service offerings; redesign our platform, some or all of our commercial offerings, and/or any embedded technology thereto, in order to not violate such intellectual property right; or delay the development of, or hinder our ability to further develop, our platform, commercial offerings and/or any embedded technology thereto. Each of the foregoing could require significant effort and expense and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many of our agreements with customers, we agree to indemnify them with respect to claims by third parties that our products or services infringe, misappropriate or otherwise violate third-party intellectual property rights. From time to time, customers have requested, and may in the future request, us to indemnify them for such claims. The obligations, liability and risks we could face depend on the scope and limitations of the indemnification we have provided. Any such claims from our customers could result in substantial liabilities, reputational harm or the delay or loss of market acceptance of our platform and commercial offerings, which could have adverse effects on our relationships with such customers.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ASSOCIATED WITH OUR BUSINESS AND OPERATIONS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We face extensive competition in our markets and if we do not compete effectively, we may not be successful.</w:t>
      </w:r>
      <w:r>
        <w:rPr>
          <w:color w:val="000000"/>
        </w:rPr>
        <w:t xml:space="preserve"> </w:t>
      </w:r>
      <w:r>
        <w:rPr>
          <w:rFonts w:ascii="Times New Roman;serif" w:hAnsi="Times New Roman;serif"/>
          <w:b w:val="false"/>
          <w:color w:val="000000"/>
          <w:sz w:val="20"/>
        </w:rPr>
        <w:t>We face intense competition in the retail and restaurant markets in which we sell our commercial offerings. Our competitors range from large and established entities to emerging start-ups. Our competitors also include other large companies in the information technology industry, many of which have more financial and technical resources than we do. Our competitors may introduce superior products and services, successfully use and deploy new technologies such as artificial intelligence that may reduce customer demand for our offerings, reduce prices, have greater technical, marketing and other resources, have greater name recognition, have larger installed bases of customers, have well-established relationships with our current and potential customers, advertise aggressively or beat us to market with new products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and operating performance could also be impacted by changes to our competitive landscape, such as industry consolidation, or the entry of new competitors and technologies. Competitive offerings and pricing pressures may cause us to experience lower customer satisfaction, decreased demand for our solutions, lost market share and reduced operating profits.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Disruptions in our data center hosting and public cloud facilities could adversely affect our business</w:t>
      </w:r>
      <w:r>
        <w:rPr>
          <w:rFonts w:ascii="Times New Roman;serif" w:hAnsi="Times New Roman;serif"/>
          <w:b w:val="false"/>
          <w:color w:val="000000"/>
          <w:sz w:val="20"/>
        </w:rPr>
        <w:t xml:space="preserve">. Many of our commercial offerings are delivered to customers through the cloud or in data centers hosted by us or third parties in the United States and other countries. In addition, certain applications and data that we use in our services offerings and our internal operations may be hosted or stored in the cloud or at a data center. Cloud instances and data centers may be vulnerable to cybersecurity attacks or incidents, security events, hardware or software failures, human error, natural disasters, telecommunications failures or similar events, or to armed conflicts or intentional acts of misconduct, or interference (including, but not limited to, by disgruntled employees, former employees or contractors). The occurrence of these events or acts, or any other unanticipated problems, in a cloud instance or at a data center we use could result in damage to, lockout of or the unavailability of these cloud hosting facilities. Despite our disaster recovery and business continuity arrangements, such damage or unavailability could interrupt the availability of our commercial offerings for our customers, which could severely impact their operations. Our business operations and those of our customers rely heavily on the continuous availability and proper functioning of our platform, offerings and network. Any significant disruption, system downtime or network lockout could significantly impact our customers’ operations. We have experienced such interruptions and unavailability, which have affected the availability of our applications and data. Interruptions in the availability of our data center or cloud offerings could cause us to fail to meet contracted service level thresholds and may require us to issue credits, or pay damages or penalties to customers or cause customers to terminate or not renew their contracts. Interruptions could also expose us to other liability claims from customers and third parties, payment of damages or other amounts, negative publicity and the need to engage in costly remediation efforts, any of which could negatively impact our business and reduce our revenue. Although we have taken steps to mitigate these risks, we can provide no assurance that these measures would be sufficient to prevent or mitigate the impact of a prolonged disruption or that we would not experience material losses if such an event was to occur.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Defects, errors, installation difficulties or development delays could expose us to potential liability, harm our reputation and negatively impact our business.</w:t>
      </w:r>
      <w:r>
        <w:rPr>
          <w:color w:val="000000"/>
        </w:rPr>
        <w:t xml:space="preserve"> </w:t>
      </w:r>
      <w:r>
        <w:rPr>
          <w:rFonts w:ascii="Times New Roman;serif" w:hAnsi="Times New Roman;serif"/>
          <w:b w:val="false"/>
          <w:color w:val="000000"/>
          <w:sz w:val="20"/>
        </w:rPr>
        <w:t>Many of our commercial offerings are sophisticated and complex, and they may incorporate or rely upon third-party hardware, software and data. Despite testing and quality control, we cannot be certain that defects or errors will not be found in our offerings. If our offerings contain undetected defects or errors, or otherwise fail to perform as intended or to meet our customers’ expectations, we could lose customers and incur contractual liabilities and additional development costs. If defects or errors delay or complicate product installations, we could experience delays in payment for our products and services or an increase in our incremental costs. In addition, customers license and deploy our software in both standard and non-standard configurations and across a variety of different environments, computer platforms, system management software and equipment and networking configurations, any of which could increase the likelihood of technical difficulties. Our products may be integrated with other components or software, and, in the event that there are defects or errors, it may be difficult to determine the origin of such defects or errors. If these risks materialize, they could result in additional costs and expenses, exposure to liability claims, diversion of technical and other resources, loss of customers or negative publicity, each of which could negatively impact our business and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Our use of artificial intelligence in our products and operations, as well as our potential failure to effectively implement, use and market these technologies, may result in reputational harm or liability or could adversely affect our revenues and profitability. </w:t>
      </w:r>
      <w:r>
        <w:rPr>
          <w:rFonts w:ascii="Times New Roman;serif" w:hAnsi="Times New Roman;serif"/>
          <w:b w:val="false"/>
          <w:color w:val="000000"/>
          <w:sz w:val="20"/>
        </w:rPr>
        <w:t xml:space="preserve">We are increasingly incorporating artificial intelligence (AI) capabilities in our product and solutions offerings, as well as in our own business operations. AI technology is complex and rapidly evolving, and may subject us to significant competitive, legal, regulatory, operational and other risks. The implementation of AI can be costly, and there is no guarantee that our use of AI will enhance our technologies, benefit our business operations or produce products and services that are competitive. Our competitors may incorporate AI technology into their products, offerings and solutions more quickly or more successfully than we do, which could impair our ability to compete effectively. Further, our products and solutions which incorporate AI technologies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function as designed or have unintended consequences, which could subject us to new or enhanced competitive harm, legal liability, regulatory or public scrutiny or reputational harm.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use of AI is subject to various risks including the use of personal information, flaws in models or datasets that may result in biased or inaccurate results and our ability to safely deploy and implement governance and controls for AI systems. Additionally, laws and regulations related to automated decision making, AI and machine learning are still evolving and there is uncertainty as to new laws and regulations that will be adopted and the application of existing laws and regulations. For example, the European Union has adopted the EU Artificial Intelligence Act and in the United States, new AI-related laws and rulemakings are underway or being proposed at the federal, state and local levels. The EU Artificial Intelligence Act and any other new regulations could require us to comply with various burdensome requirements depending on the nature and categorization of AI. This may result in expending resources and additional costs to comply with these requirements or change our products or features, which could harm our business.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intellectual property ownership and license rights, including copyright, surrounding AI technologies have not been fully addressed by regulations, laws or courts and the adoption of third-party AI technologies into our business operations, products and services may result in exposure to claims of copyright infringement or other intellectual property misappropriation, as well as potential liability to customers. Adverse consequences of these risks related to artificial intelligence could subject us to competitive harm, legal liability, heightened regulatory scrutiny and brand or reputational harm.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the AI legal and regulatory landscape evolves over time, we may incur significant costs to achieve compliance and ensure responsible use, or we could experience limitations on our ability to use AI internally or within our offerings. Our adoption of AI within our offerings and internal operations may result in unanticipated liabilities, costs or regulatory fines, or we may not realize the expected benefits of our investment into AI capabilities, leading to material harm to our business, reputation, financial condition and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We rely on the availability of third-party licenses, and our inability to maintain those licenses could harm our business. </w:t>
      </w:r>
      <w:r>
        <w:rPr>
          <w:rFonts w:ascii="Times New Roman;serif" w:hAnsi="Times New Roman;serif"/>
          <w:b w:val="false"/>
          <w:color w:val="000000"/>
          <w:sz w:val="20"/>
        </w:rPr>
        <w:t>A number of our commercial offerings include software or other IP licensed from third parties. It may be necessary in the future to renew such third-party licenses or to seek new licenses to expand our use to our current or future offerings. The necessary licenses may not be available on acceptable terms, if at all. In addition, a number of our commercial offerings are dependent upon the use of certain open-source software, and we expect to continue using open-source software in the future. Open-source software is generally licensed by its authors or other third parties under open-source licenses.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inability to obtain certain licenses or other rights, failure to obtain such licenses or rights on reasonable terms or involvement in any third-party disputes regarding these matters, could result in delays in our product releases until equivalent technology can be identified, licensed or developed, if at all, and integrated into our products. In addition, such events may cause us to incur significant license fees which could have an adverse effect on our business, operating results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author, a third party or one of our license counterparties were to allege that we failed to comply with the conditions of a license, we could be required to incur significant legal expenses, be subject to damages or equitable remedies, be required to purchase a costly license, or be required to devote additional development resources to change our software.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Changes in U.S. or foreign trade policies and other factors beyond our control may adversely impact our business and operating results. </w:t>
      </w:r>
      <w:r>
        <w:rPr>
          <w:rFonts w:ascii="Times New Roman;serif" w:hAnsi="Times New Roman;serif"/>
          <w:b w:val="false"/>
          <w:color w:val="000000"/>
          <w:sz w:val="20"/>
        </w:rPr>
        <w:t xml:space="preserve">Geopolitical tensions and trade disputes can disrupt supply chains, increase our vendor costs, and increase the costs of offerings. This could cause our offerings to be more expensive for customers, resulting in their reduced demand. A geopolitical conflict in a region where we operate could disrupt our business operations in that region. Countries also could adopt restrictive trade measures, such as tariffs, laws and regulations concerning investments and limitations on foreign ownership of businesses, taxation, foreign exchange controls, capital controls, employment regulations, the repatriation of earnings and import and export controls, any of which could adversely affect our operations and supply chain and limit our ability to sell our offerings at competitive prices, or at all. Changes in laws, policies or treaties governing the terms of foreign trade, and in particular increased trade restrictions, tariffs or taxes on imports from countries where our products are manufactured or assembled or from where we import products or raw materials (either directly or through our suppliers) could have an impact on our competitive position, business operations and financial results. The United States has proposed the implementation of, and, in many cases, has implemented, a number of tariffs on imports to the United States from a large number of countries. U.S. foreign trade policy has continued to evolve under the current presidential administration, including the announcement of a number of new tariffs on foreign imports of certain products that were announced in the wake of the U.S. Supreme Court’s decision in February 2026 invalidating a number of previously imposed tariffs. In response to the tariffs imposed or threatened by the United States, many countries have imposed, or threatened to impose, reciprocal tariffs on exports from the United States. At this time, it is unknown whether the imposed tariffs will remain in place, be expanded or be removed, and we do not know the full extent of the ultimate impact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recently invalidated tariffs or the effect of those tariffs recently imposed on our Company, operations and financial results. Similarly, the Company’s operations, vendor costs and product pricing are impacted by various trade treaties, such as the United States-Mexico-Canada Agreement. Any termination or modification to trade treaties that impact the Company’s products could impact our business, financial condition, and results of operations. In addition, as a result of these recent developments in U.S. foreign trade policy, we do not know whether certain foreign countries will adopt retaliatory trade policies or what the impact of any such retaliatory trade policies could be on our business. If geopolitical tensions, trade disputes and other global conflicts develop or further escalate, which could occur with little to no advanced notice, then we may not be able to effectively mitigate any increased costs of our offerings, enhanced disruptions to our supply chain or impairment to our ability to effectively operate and compete in some or all of the countries in which we do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Our business may be negatively affected by domestic and global economic conditions. </w:t>
      </w:r>
      <w:r>
        <w:rPr>
          <w:rFonts w:ascii="Times New Roman;serif" w:hAnsi="Times New Roman;serif"/>
          <w:b w:val="false"/>
          <w:color w:val="000000"/>
          <w:sz w:val="20"/>
        </w:rPr>
        <w:t>Our business is sensitive to the strength of domestic and global economic conditions, particularly as they affect, either directly or indirectly, the retail and restaurant sectors of the economy. Economic conditions are influenced by a number of factors, including political conditions, consumer confidence, unemployment levels, interest rates, tax rates, currency exchange rates, commodity prices and government actions to stimulate economic growth. The imposition or threat of new or modified trade policies, import or export tariffs, global and regional market conditions, spending trends in the retail and restaurant industries, tax legislation, new or modified global or regional trade agreements, fluctuations in oil and commodity prices, among other things, have created a challenging and unpredictable environment in which to sell our offerings across our different geographies and industries. The retail and restaurant industries depend on, among other things, consumer discretionary spending and consumer confidence, which is influenced, in part, by general economic conditions. A material decline in consumer confidence could impact the ability or willingness of our customers to make expenditures, thereby affecting their willingness to purchase our products and services. For example, a material decline in consumer confidence could result in consumers choosing to dine out less frequently or reduce the amount they spend while dining out, which could negatively impact our business customers within our Restaurant segment. Negative or unpredictable global economic conditions also may have an adverse effect on our customers’ ability to pay us for the products they have purchased from us or to obtain the financing they need from a third-party financing company to purchase our offerings, or may impact the number of payment processing transactions by customers using our payments offerings, which could negatively impact our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potential international, regional or domestic political unrest, economic or political instability, terrorist attacks or other hostilities, public health crises and natural disasters can create or contribute to a climate of global or regional uncertainty that adversely impacts our results of operations and financial condition, including our revenue growth and profitability.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If we are unable to maintain and update our information technology systems to meet the needs of our business, our business could be adversely impacted. </w:t>
      </w:r>
      <w:r>
        <w:rPr>
          <w:rFonts w:ascii="Times New Roman;serif" w:hAnsi="Times New Roman;serif"/>
          <w:b w:val="false"/>
          <w:color w:val="000000"/>
          <w:sz w:val="20"/>
        </w:rPr>
        <w:t>We rely on our information technology systems and on certain third-party systems to effectively operate our business. We have modernized, and expect to continue reviewing and modernizing, our information technology systems and processes in order to simplify and improve our operations. There is a risk, however, that these efforts could materially and adversely disrupt our operations, could occur over a period longer than planned or could require greater than expected investments or utilization of internal and external resources. It may take longer than expected to realize the intended benefits from these efforts. Our failure to properly and efficiently maintain and update our information technology systems, or the failure of our information technology systems to perform as we anticipate, could hinder our ability to operate or to attract and support customers, or could cause us to incur legal liability, contractual penalties or cause us to lose existing customers, each of which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If we do not retain key employees, or if we are unable to recruit, develop and retain qualified employees, we may not be able to meet our business objectives. </w:t>
      </w:r>
      <w:r>
        <w:rPr>
          <w:rFonts w:ascii="Times New Roman;serif" w:hAnsi="Times New Roman;serif"/>
          <w:b w:val="false"/>
          <w:color w:val="000000"/>
          <w:sz w:val="20"/>
        </w:rPr>
        <w:t>Our ability to successfully execute our growth strategy and achieve our business objectives is dependent on our ability to retain key business leaders, highly skilled software development, technical, and sales personnel and other critical individuals. The market for highly skilled workers and leaders in our industry is extremely competitive, and we may need to invest significant amounts of compensation to attract and retain these employees. We may never realize returns on these investments as key employees may decide to leave the Company for other opportunities. Changes of key business leaders could be disruptive to our business, delay the execution of our strategy, or distract the attention of management. In addition, as our business model and our industries continue to evolve, we must attract employees with different skill sets. If we are unable to retain our key personnel, or we are unable to attract highly qualified individuals by offering competitive compensation, attractive work environments and leadership opportunities, our business and operating results could be negatively impacted.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If the third-party suppliers upon which we rely to manufacture our offerings or provide us with key components or other technologies and services are unable to fulfill our needs at acceptable prices, our ability to bring our offerings to market successfully could be affected.</w:t>
      </w:r>
      <w:r>
        <w:rPr>
          <w:color w:val="000000"/>
        </w:rPr>
        <w:t xml:space="preserve"> </w:t>
      </w:r>
      <w:r>
        <w:rPr>
          <w:rFonts w:ascii="Times New Roman;serif" w:hAnsi="Times New Roman;serif"/>
          <w:b w:val="false"/>
          <w:color w:val="000000"/>
          <w:sz w:val="20"/>
        </w:rPr>
        <w:t xml:space="preserve">There are a number of vendors that provide services and produce components or technologies for utilization in our commercial offerings. Some services and components are licensed or purchased from single sources due to price, quality, technology, functionality or other reasons. For example, we rely on certain companies that provide us with computer chips,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microprocessors and operating systems. The companies that develop these computer chips and processors have experienced a significant increase in demand due to the adoption and use of artificial intelligence, which has increased the price of these chips and processors and, in some cases, has made these chips difficult to procure. We also rely on key technology providers with respect to our payments offerings. If we are unable to secure the necessary services, components or technologies from our vendors at a reasonable price or at all, and have to find an alternative supplier, the delivery of our commercial offerings could be delayed, or these offerings may no longer be profitable. Such delays or increased costs could affect our business and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2024, we announced our entry into a commercial agreement with Ennoconn to transition our point-of-sale and self-checkout hardware businesses to an outsourced design and manufacturing model, including the sale of certain assets relating to these businesses. Under the terms of the Hardware Business Transition, Ennoconn will design, manufacturer, warrant, supply and ship self-checkout and point-of-sale hardware directly to our customers, and we will sell hardware to our customers as a sales agent. In January 2026, we announced the commencement of the implementation phase of the Hardware Business Transition. This arrangement involves a number of risks, including, but not limited to, decreased control over the production process, which could lead to production delays or interruptions or inferior product quality control. If Ennoconn experiences any significant difficulties in its manufacturing processes, becomes subject to increased costs due to the supply of the components needed to manufacture these hardware products, becomes insolvent or unwilling to continue to manufacture products of acceptable quality in a timely manner, or otherwise does not comply with their agreement with us, we could experience significant interruptions in delivering end-to-end commerce solutions to our customers, which may expose us to legal claims, reputational harm and affect our operations and financial results.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We face uncertainties regarding regulations, lawsuits and other related matters.</w:t>
      </w:r>
      <w:r>
        <w:rPr>
          <w:color w:val="000000"/>
        </w:rPr>
        <w:t xml:space="preserve"> </w:t>
      </w:r>
      <w:r>
        <w:rPr>
          <w:rFonts w:ascii="Times New Roman;serif" w:hAnsi="Times New Roman;serif"/>
          <w:b w:val="false"/>
          <w:color w:val="000000"/>
          <w:sz w:val="20"/>
        </w:rPr>
        <w:t xml:space="preserve">In the normal course of business, we are, or may be, subject to proceedings, lawsuits, claims, government actions and other matters, including, for example, those that relate to the environment, health and safety, labor and employment, employee benefits, intellectual property, data privacy and security, payments services, product liability, commercial disputes and regulatory compliance, among others. Because such matters are subject to many uncertainties, their outcomes are not predictable, and we must make certain estimates and assumptions in our financial statements. While we believe that amounts reflected in our Consolidated Financial Statements with respect to such matters are currently adequate, there can be no assurances that our estimates will align with the actual amount of any losses or liabilities relating to these matters or that the funding required to ultimately satisfy the liabilities from such matters will not impact future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business are subject to many diverse and complex regulations, including those relating to corporate governance, public disclosure and reporting, securities laws, accounting, environmental safety and the discharge of materials into the environment, product safety, sanctions, import and export compliance, data privacy and security, antitrust and competition, anti-corruption and labor, and such regulations can be subject to rapid and substantial change. These regulations may also include those discussed in Item 1 “Business—Government Regulation” of this Report. Compliance with these regulations could create a substantial burden on us and materially increase our costs or could otherwise impact on our future operating results. If we are not in compliance with any such regulations, we may be subject to criminal and civil penalties, which may cause harm to our reputation and to our brand and could have an adverse effect on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Our payments-related business subjects us to additional regulatory requirements and other risks and uncertainties that could be costly and difficult to comply with or that could harm our business. </w:t>
      </w:r>
      <w:r>
        <w:rPr>
          <w:rFonts w:ascii="Times New Roman;serif" w:hAnsi="Times New Roman;serif"/>
          <w:b w:val="false"/>
          <w:color w:val="000000"/>
          <w:sz w:val="20"/>
        </w:rPr>
        <w:t xml:space="preserve">The majority of the payment networks over which transactions are conducted require sponsorship by a bank and our ability to offer certain of our payments solutions depend on our ability to secure and maintain these “sponsor” arrangements with financial institutions.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ability to process certain card transactions is contingent upon our continued registration with the applicable card brands. Non-compliance with established rules and regulations of the card brands with whom we are registered could expose us to fines, penalties or other liabilities and may result in the revocation of our registration, all of which could negatively impact results of our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increase in interchange rates or other payment network fees, over which we have minimal or no control, might decrease merchant acceptance of card and digital payments and/or reduce consumers usage of such payment methods, causing an adverse impact on our operations, revenue and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we may experience damaged relationships or increased liability exposure due to any errors, omissions or disputes involving the settlement of merchant funds. We are responsible for maintaining accurate bank account information for certain merchant customers and ensuring funds are appropriately settled into the correct accounts based on the underlying transaction activity. In addition, we may incur losses when our merchants fail to reimburse us for chargebacks resolved in favor of their customers. Fraud by our merchants or others could also have an adverse effect on our operations and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Changes to laws, regulations, card brand rules, the Payment Card Industry Data Security Standard or other industry standards affecting our payments business may require significant development and compliance investments or have an unfavorable effect on our ability to offer certain services or on our financial performance.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Changes to our tax rates and additional income tax liabilities could impact profitability. </w:t>
      </w:r>
      <w:r>
        <w:rPr>
          <w:rFonts w:ascii="Times New Roman;serif" w:hAnsi="Times New Roman;serif"/>
          <w:b w:val="false"/>
          <w:color w:val="000000"/>
          <w:sz w:val="20"/>
        </w:rPr>
        <w:t>We are a U.S.-based multinational corporation, subject to income taxes in the United States and in a number of foreign jurisdictions. Our domestic and international tax liabilities depend on the distribution of our earnings across different jurisdictions, and our provision for income taxes and cash tax liability may be adversely affected if distributed earnings are higher than expected in certain jurisdictions having higher statutory tax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Due to economic and political conditions, tax laws and tax rates for income and non-income taxes in a number of varying jurisdictions may be subject to significant changes in the future, which could materially affect our financial position and results of operations. For example, a variety of governments and international organizations, such as the Organization for Economic Co-operation and Development and the European Union, are focused on modernizing international tax rules, including, but not limited to, global minimum corporate income tax standards. The final nature, timing and extent of any such tax reforms or other legislative or regulatory actions are unpredictable, and it is difficult to assess their overall effect to us. Tax law changes that could significantly reduce or limit our ability to utilize our deferred tax assets could have a material impact on our tax rate and cash tax payments. Any of these potential changes could increase our effective tax rate, increase cash tax payments and adversely impact our financial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Multinational corporations, like us, may be subject to significant uncertainty with regard to the application of tax laws, as they require the use of judgment and can be subject to differing interpretations. We are, or may become in the future, subject to audits of our income tax returns in various jurisdictions, both in the United States and internationally. While we believe that our tax positions are sustainable, the outcomes of each current or future audit may result in the assessment of additional taxes, which could adversely impact our cash flows and financial results.</w:t>
      </w:r>
    </w:p>
    <w:p>
      <w:pPr>
        <w:pStyle w:val="TextBody"/>
        <w:bidi w:val="0"/>
        <w:spacing w:before="0" w:after="0"/>
        <w:jc w:val="both"/>
        <w:rPr/>
      </w:pPr>
      <w:r>
        <w:rPr/>
      </w:r>
    </w:p>
    <w:p>
      <w:pPr>
        <w:pStyle w:val="TextBody"/>
        <w:bidi w:val="0"/>
        <w:spacing w:lineRule="auto" w:line="288" w:before="0" w:after="60"/>
        <w:jc w:val="both"/>
        <w:rPr/>
      </w:pPr>
      <w:r>
        <w:rPr>
          <w:rFonts w:ascii="Times New Roman;serif" w:hAnsi="Times New Roman;serif"/>
          <w:b/>
          <w:i/>
          <w:color w:val="000000"/>
          <w:sz w:val="20"/>
        </w:rPr>
        <w:t xml:space="preserve">Our international operations subject us to additional risks that can adversely affect our business, financial condition and results of operations. </w:t>
      </w:r>
      <w:r>
        <w:rPr>
          <w:rFonts w:ascii="Times New Roman;serif" w:hAnsi="Times New Roman;serif"/>
          <w:b w:val="false"/>
          <w:color w:val="000000"/>
          <w:sz w:val="20"/>
        </w:rPr>
        <w:t xml:space="preserve">For each of the years ended December 31, 2025 and 2024, the percentage of our revenue from outside of the United States was 39%. Our international operations subject us to a variety of risks and challenges, including, but not limited to: </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the impact of ongoing and future economic conditions on the stability of national and regional economies and industries within those economies;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political conditions and local regulations that could adversely affect demand for our solutions, our ability to access funds and resources or our ability to sell commercial offerings in these markets;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the impact of a downturn in the global economy, or in regional economies, on demand for our offerings;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competitive labor markets and increasing wages in markets in which we operate;</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varied employee/employer relationships, existence of works councils and differing labor practices and other challenges caused by distance, language, local expertise and cultural differences, increasing the complexity of doing business in multiple jurisdictions;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currency exchange rate fluctuations that could result in lower demand for our offerings as well as generate currency translation losses;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limited availability of local currencies to pay vendors, employees and third parties and to distribute funds outside of the country;</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changes to global or regional trade agreements that could limit our ability to sell in these markets;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the imposition of import or export tariffs, taxes, trade policies or import and export controls that could increase the expense of, or limit demand for our offerings;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changes to and compliance with a variety of laws and regulations that may increase our cost of doing business or otherwise prevent us from effectively competing internationally or that may impose burdensome requirements or restrictions on us;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government uncertainty or limitations on the ability to enforce legal rights and remedies;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reduced protection for intellectual property rights in certain countries;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implementing and managing systems, procedures and controls to monitor our operations in foreign markets;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changing competitive requirements and deliverables in developing and emerging markets;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longer collection cycles and the financial viability and reliability of contracting partners and customers;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managing a geographically dispersed workforce, work stoppages and other labor conditions or issues;</w:t>
      </w:r>
    </w:p>
    <w:p>
      <w:pPr>
        <w:pStyle w:val="TextBody"/>
        <w:bidi w:val="0"/>
        <w:spacing w:lineRule="auto" w:line="288" w:before="0" w:after="60"/>
        <w:ind w:left="0" w:right="0" w:hanging="720"/>
        <w:jc w:val="both"/>
        <w:rPr/>
      </w:pPr>
      <w:r>
        <w:rPr>
          <w:color w:val="000000"/>
        </w:rPr>
        <w:t>•</w:t>
      </w:r>
      <w:r>
        <w:rPr>
          <w:rFonts w:ascii="Times New Roman;serif" w:hAnsi="Times New Roman;serif"/>
          <w:b w:val="false"/>
          <w:color w:val="000000"/>
          <w:sz w:val="20"/>
        </w:rPr>
        <w:t>disruptions in transportation and shipping infrastructure;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the impact of natural disasters, pandemics, catastrophic events, civil unrest, war and terrorist activity on our international operations, supply chains, the global economy or markets in general, or on our business or our customers’ businesses or on the ability of our suppliers to meet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risks and challenges, among others, could increase our cost of doing business internationally, including shortages of goods and increased costs, shipping delays, longer payment cycles, increased taxes and restrictions on the repatriation of funds to the United States. We have employees and third-party consultants outside of the U.S. that provide software development and support services. A sustained loss of the software development services provided by international employees and third-party consultants could negatively impact our software development efforts, adversely affect our competitive position, harm our reputation, impede our ability to achieve and maintain profitability, and negatively impact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Our risk management efforts may not be fully effective in mitigating our risk exposure, which could expose us to losses and liability and otherwise harm our business. </w:t>
      </w:r>
      <w:r>
        <w:rPr>
          <w:rFonts w:ascii="Times New Roman;serif" w:hAnsi="Times New Roman;serif"/>
          <w:b w:val="false"/>
          <w:color w:val="000000"/>
          <w:sz w:val="20"/>
        </w:rPr>
        <w:t>Our business and the industries in which we operate are complex and subject to rapid evolution and change. As a result, our risk management policies, procedures, techniques and processes may not be sufficient to identify all of the risks to which we are exposed, to enable us to mitigate the risks we have identified or to identify additional risks to which we may become subject in the future as we expand our offerings. If any of our risk management policies and processes are ineffective, or if we are not successful in identifying and mitigating all risks to which we are or may be exposed, we may suffer losses or harm to our reputation, or be subject to litigation or regulatory actions, any of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 major natural disaster or catastrophic event could have a materially adverse effect on our business, financial condition and results of operations, or have other adverse consequences.</w:t>
      </w:r>
      <w:r>
        <w:rPr>
          <w:color w:val="000000"/>
        </w:rPr>
        <w:t xml:space="preserve"> </w:t>
      </w:r>
      <w:r>
        <w:rPr>
          <w:rFonts w:ascii="Times New Roman;serif" w:hAnsi="Times New Roman;serif"/>
          <w:b w:val="false"/>
          <w:color w:val="000000"/>
          <w:sz w:val="20"/>
        </w:rPr>
        <w:t xml:space="preserve">Our business, financial condition, results of operations, access to capital markets and borrowing costs may be adversely affected by a major natural disaster or catastrophic event, including, without limitation, civil unrest, geopolitical instability, war, terrorist attack, pandemics or other (actual or threatened) public health emergencies or other events beyond our control, and any direct or indirect measures taken in response thereto.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significant natural disaster, such as an earthquake, fire, flood or hurricane, could have a material and adverse effect on our business, and our insurance coverage may be insufficient to compensate us all, or even a portion of, the losses that may occur. We have operations and customers all over the world and certain locations in which we operate or serve customers, such as California, Texas and India, are particularly vulnerable to natural disasters and extreme weather. Acts of terrorism also may disrupt our business operations, or those of our customers, and such acts could negatively impact consumer demand or the global economy. While we have disaster recovery and business continuity plans, they may not be sufficient to mitigate the impact of any such event. Despite any precautions we may take, the occurrence of a natural disaster or other unanticipated catastrophic event at our headquarters or other key facilities could result in lengthy interruptions in access to, or functionality of, our platform and other offerings, or these events could expose us to other liabilities, resulting in potential adverse effects on our business, financial condition or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Our historical manufacturing activities subject us to environmental exposures. </w:t>
      </w:r>
      <w:r>
        <w:rPr>
          <w:rFonts w:ascii="Times New Roman;serif" w:hAnsi="Times New Roman;serif"/>
          <w:b w:val="false"/>
          <w:color w:val="000000"/>
          <w:sz w:val="20"/>
        </w:rPr>
        <w:t>A number of our facilities, properties and operations are subject to a wide range of environmental protection laws, and we have investigatory and remedial activities underway at certain facilities relating to our historical operations that we currently own, or formerly owned or operated, to comply with such laws. In addition, our products are subject to environmental laws in a number of jurisdictions. There can be no assurance that the costs required to comply with applicable environmental laws will not negatively impact our financial condition or future operating results. We have been identified as a potentially responsible party in connection with certain environmental matters, including the Kalamazoo River matter, as further described in Note 11, “Commitments and Contingencies”, of the Notes to Consolidated Financial Statements included in Item 8 of Part II of this Report; in “Government Regulations” within Item 1 of Part I of this Report; and in “Environmental and Legal Contingencies” within the “Critical Accounting Estimates” section of “Management’s Discussion and Analysis of Financial Condition and Results of Operations” included in Item 7 of Part II of this Report, and we incorporate such disclosures by reference and make them a part of this discussion of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ASSOCIATED WITH OUR FINANCE &amp; ACCOUNTING</w:t>
      </w:r>
    </w:p>
    <w:p>
      <w:pPr>
        <w:pStyle w:val="TextBody"/>
        <w:bidi w:val="0"/>
        <w:spacing w:before="0" w:after="0"/>
        <w:jc w:val="both"/>
        <w:rPr/>
      </w:pPr>
      <w:r>
        <w:rPr/>
      </w:r>
    </w:p>
    <w:p>
      <w:pPr>
        <w:pStyle w:val="TextBody"/>
        <w:bidi w:val="0"/>
        <w:spacing w:lineRule="auto" w:line="288" w:before="0" w:after="60"/>
        <w:jc w:val="both"/>
        <w:rPr/>
      </w:pPr>
      <w:r>
        <w:rPr>
          <w:rFonts w:ascii="Times New Roman;serif" w:hAnsi="Times New Roman;serif"/>
          <w:b/>
          <w:i/>
          <w:color w:val="000000"/>
          <w:sz w:val="20"/>
        </w:rPr>
        <w:t xml:space="preserve">Our level of indebtedness could limit our financial and operating activities and adversely affect our ability to incur additional debt to fund future needs. </w:t>
      </w:r>
      <w:r>
        <w:rPr>
          <w:rFonts w:ascii="Times New Roman;serif" w:hAnsi="Times New Roman;serif"/>
          <w:b w:val="false"/>
          <w:color w:val="000000"/>
          <w:sz w:val="20"/>
        </w:rPr>
        <w:t>At December 31, 2025, we had approximately $1.1 billion of total indebtedness outstanding with an additional $476 million of borrowings available under our senior secured revolving credit facility. Our current level of indebtedness could: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require us to dedicate a substantial portion of our cash flow to the payment of principal and interest, thereby reducing the funds available for operations and future business opportunities;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make it more difficult for us to satisfy our obligations with respect to our outstanding debt, including obligations to repurchase our senior unsecured notes under our indentures following the occurrence of certain changes in control;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limit our ability to borrow money or otherwise enter into financing arrangements that would provide us with additional capital if needed for other purposes, including working capital, capital expenditures, debt service requirements, acquisitions and general corporate purposes, on satisfactory terms or at all;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limit our ability to adjust to changing economic, business and competitive conditions;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place us at a competitive disadvantage with competitors who may have less indebtedness or greater access to financing or access to financing on preferential terms;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make us more vulnerable to an increase in interest rates, a downturn in our operating performance or a decline in general economic, business and other conditions;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make us more susceptible to adverse changes in our credit ratings and those of our debt securities, which could impact our ability to obtain financing in the future and increase the cost of such financing.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compliance with our obligations under our debt and other financing agreements materially limits our financial or operating activities, or hinders our ability to adapt to changing industry conditions, then we may lose market share, our revenue may decline and our operating results may be negatively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from time to time, seek to opportunistically refinance, amend, reprice and/or otherwise replace any of our debt, obtain additional debt financing or enter into other financing arrangements; reduce or extend our debt, lower our interest payments or the cost of capital available to us under certain types of financing arrangements or otherwise seek to improve our financial position or the terms of our debt or other financing agreements. These actions may include open market debt repurchases, negotiated repurchases or other repayments, redemptions or retirements of our debt or other financing arrangements. The amount of debt that may be borrowed or issued, refinanced, and/or repurchased, repaid, redeemed or otherwise retired, if any, will depend on market conditions, trading levels of our debt, our cash position, compliance with our debt covenants and other considerations. Any such actions could impact our financial condition or results of operations.</w:t>
      </w:r>
    </w:p>
    <w:p>
      <w:pPr>
        <w:pStyle w:val="TextBody"/>
        <w:bidi w:val="0"/>
        <w:spacing w:before="0" w:after="0"/>
        <w:jc w:val="both"/>
        <w:rPr/>
      </w:pPr>
      <w:r>
        <w:rPr/>
      </w:r>
    </w:p>
    <w:p>
      <w:pPr>
        <w:pStyle w:val="TextBody"/>
        <w:bidi w:val="0"/>
        <w:spacing w:lineRule="auto" w:line="288" w:before="0" w:after="60"/>
        <w:jc w:val="both"/>
        <w:rPr/>
      </w:pPr>
      <w:r>
        <w:rPr>
          <w:rFonts w:ascii="Times New Roman;serif" w:hAnsi="Times New Roman;serif"/>
          <w:b/>
          <w:i/>
          <w:color w:val="000000"/>
          <w:sz w:val="20"/>
        </w:rPr>
        <w:t>The terms of the documents governing our indebtedness include financial and other covenants that could restrict or limit our financial and business operations.</w:t>
      </w:r>
      <w:r>
        <w:rPr>
          <w:color w:val="000000"/>
        </w:rPr>
        <w:t xml:space="preserve"> </w:t>
      </w:r>
      <w:r>
        <w:rPr>
          <w:rFonts w:ascii="Times New Roman;serif" w:hAnsi="Times New Roman;serif"/>
          <w:b w:val="false"/>
          <w:color w:val="000000"/>
          <w:sz w:val="20"/>
        </w:rPr>
        <w:t>Our credit agreement governing the senior secured credit facilities and the indentures for our senior unsecured notes include restrictive covenants that, subject to certain exceptions and qualifications, restrict or otherwise limit our ability and the ability of our subsidiaries to, among other things: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create liens on, sell or otherwise dispose of, our assets;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engage in certain fundamental corporate changes or changes to our business activities;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make certain investments (including acquisitions);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engage in sale-leaseback or hedging transactions;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repurchase our common stock, pay dividends or make similar distributions on our capital stock;</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repay certain indebtedness;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engage in certain affiliate transactions;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enter into agreements that restrict our ability to create liens, pay dividends or make loan repayments.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secured credit agreement and the indentures governing our senior unsecured notes also contain certain affirmative covenants, and the senior secured credit agreement requires us to comply with a leverage ratio that measures our debt relative to our Consolidated EBITDA (as defined in the senior secured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covenants and restrictions could affect our ability to operate our business and may limit our ability to react to market conditions or take advantage of potential business opportunities as they arise. Additionally, our ability to comply with these covenants may be affected by events beyond our control, including, but not limited to, general economic and credit conditions, currency exchange rates and industry downturns.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comply with these covenants and are unable to obtain a waiver or amendment from the applicable debtholders, an event of default would result under the applicable agreements and under other agreements containing related cross-default provisions.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Upon an event of default under the senior secured credit agreement, the administrative agent or the required lenders could, among other things, declare outstanding amounts due and payable, terminate the commitments under the senior secured credit agreement, or require us to deposit cash collateral in respect of outstanding letters of credit. Upon a bankruptcy or insolvency event of default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senior secured credit agreement, all outstanding amounts thereunder may become due and payable and all commitments thereunder automatically terminate. If we were unable to repay or pay the amounts due, the administrative agent or the lenders could, among other things, proceed against the collateral granted to them to secure such indebtedness, which includes certain of our domestic assets and the equity interests of certain of our domestic and foreign subsidiaries. Upon an event of default under the indentures governing our senior unsecured notes, the related trustee or the holders of our senior unsecured notes could declare all outstanding amounts immediately due and payable.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Our cash flows may not be sufficient to service our indebtedness, and if we are unable to satisfy our obligations under our indebtedness, we may be required to seek other financing alternatives, which may be unsuccessful.</w:t>
      </w:r>
      <w:r>
        <w:rPr>
          <w:color w:val="000000"/>
        </w:rPr>
        <w:t xml:space="preserve"> </w:t>
      </w:r>
      <w:r>
        <w:rPr>
          <w:rFonts w:ascii="Times New Roman;serif" w:hAnsi="Times New Roman;serif"/>
          <w:b w:val="false"/>
          <w:color w:val="000000"/>
          <w:sz w:val="20"/>
        </w:rPr>
        <w:t>Our ability to timely pay principal and interest on our debt obligations depends on our ability to generate positive cash flows from operations, which is subject to general economic conditions, competitive pressures and certain financial, business and other factors, which may include those outside of our control. If our cash flows and capital resources are insufficient to make these payments, we may be required to seek additional financing sources, reduce or delay capital expenditures, sell assets or operations or refinance our indebtedness. These actions could have an adverse effect on our business, financial condition and results of operations. We also may be unable to take any of these actions, and, even if successful, these actions may not permit us to meet our scheduled debt service obligations. Our ability to restructure or refinance our outstanding indebtedness will depend on, among other things, the condition of the capital markets and our financial condition at such time. There can be no assurance that we will be able to restructure or refinance any of our indebtedness on commercially reasonable terms or at all. If we cannot timely pay our debt, we will be in default and the outstanding principal and interest on our debt could be accelerated and declared due and payable, in which case we could be forced into bankruptcy, liquidation or require us to substantially restructure or alter our business operations or debt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Certain change in control transactions may accelerate our indebtedness or our obligations under other financing arrangements, or may require us to repurchase our senior unsecured notes or our Series A Convertible Preferred Stock.</w:t>
      </w:r>
      <w:r>
        <w:rPr>
          <w:color w:val="000000"/>
        </w:rPr>
        <w:t xml:space="preserve"> </w:t>
      </w:r>
      <w:r>
        <w:rPr>
          <w:rFonts w:ascii="Times New Roman;serif" w:hAnsi="Times New Roman;serif"/>
          <w:b w:val="false"/>
          <w:color w:val="000000"/>
          <w:sz w:val="20"/>
        </w:rPr>
        <w:t>Upon the occurrence of a change in control under the applicable indenture governing our senior unsecured notes, holders of those notes may require us to repurchase their notes. In addition, upon certain change of control events involving the Company, holders of Series A Convertible Preferred Stock can require us, subject to certain exceptions, to repurchase any or all of their Series A Convertible Preferred Stock. On any date during the three months commencing on and immediately following March 16, 2027, March 16, 2030 and March 16, 2033, holders of our Series A Convertible Preferred Stock will have the right to require us to repurchase any or all of our outstanding Series A Convertible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have insufficient funds in the event that we are required to repurchase any of our senior unsecured notes or Series A Convertible Preferred Stock, or both. There can be no assurance that we will have sufficient financial resources, or be able to arrange financing to pay the repurchase price in cash with respect to any of our senior unsecured notes or Series A Convertible Preferred Stock upon a change in control or scheduled redemption. If we fail to repurchase a series of senior unsecured notes, when required, it would result in an event of default for such notes which could, in turn, constitute a default under the terms of our other indebtedness. If we are unable to repurchase all shares of Series A Convertible Preferred Stock that holders have requested to be purchased, then we are required to pay dividends on the shares not repurchased at a rate equal to 8.0% per annum, accruing daily from such date until the full purchase price, plus all accrued dividends, are paid in full in respect of such shares of Series A Convertible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change in control also (i) may constitute an event of default under our senior secured credit agreement that would permit the lenders to accelerate the maturity of the borrowings thereunder and/or terminate the commitments under the senior secured revolving credit facility and (ii) may require us to make a similar change in control offer to holders of our existing senior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important corporate events, such as leveraged recapitalization that would increase the level of our indebtedness, may not constitute a change in control under the indentures governing our unsecured notes or the terms of our Series A Convertible Preferred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A lowering or withdrawal of the ratings assigned to our debt securities by rating agencies may increase our future capital costs and reduce our access to capital. </w:t>
      </w:r>
      <w:r>
        <w:rPr>
          <w:rFonts w:ascii="Times New Roman;serif" w:hAnsi="Times New Roman;serif"/>
          <w:b w:val="false"/>
          <w:color w:val="000000"/>
          <w:sz w:val="20"/>
        </w:rPr>
        <w:t>Any rating assigned to our debt could be lowered or withdrawn entirely by a rating agency if, in that rating agency’s judgment, future circumstances justify any such change. Any future lowering of our ratings would make it more difficult or more expensive for us to obtain additional debt financing or capital from other financing arrangements.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We may be required to write down the value of certain significant assets, which would adversely affect our operating results. </w:t>
      </w:r>
      <w:r>
        <w:rPr>
          <w:rFonts w:ascii="Times New Roman;serif" w:hAnsi="Times New Roman;serif"/>
          <w:b w:val="false"/>
          <w:color w:val="000000"/>
          <w:sz w:val="20"/>
        </w:rPr>
        <w:t xml:space="preserve">We have a number of significant assets on our balance sheet as of December 31, 2025 and the value of these assets can be adversely impacted by factors related to our business and operating performance, as well as factors outside of our control. We recognize deferred tax assets and liabilities based on the differences between the financial statement carrying amounts and the tax basis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Our deferred tax assets, net of valuation allowances, totaled approximately $315 million and $320 million at December 31, 2025 and 2024, respectively. We regularly review our deferred tax assets for recoverability and establish a valuation allowance if it is more likely than not that some portion or all of a deferred tax asset will not be realized. If we are unable to generate sufficient future taxable income, if there is a material change in the actual effective tax rates or if there is a change to the time period within which the underlying temporary differences become taxable or deductible, then we may be required to increase our valuation allowance against our deferred tax assets, which could result in a material increase in our effective tax 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previously recorded valuation allowances related to certain deferred tax assets due to the uncertainty of the ultimate realization of the future benefits from those assets. The recorded valuation allowances cover deferred tax assets, including tax loss carryforwards, interest expense carryforwards and foreign tax credits, in tax jurisdictions where there is uncertainty as to the ultimate realization of those tax assets. If we are unable to generate sufficient future taxable income of the proper source in the time period within which the temporary differences underlying our deferred tax assets become deductible, or before the expiration of our loss and credit carryforwards, additional valuation allowances could be required in the future.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If we fail to maintain an effective system of disclosure controls and procedures and internal control over financial reporting, then such failure could have a material adverse effect on our results of operations, financial condition and cash flows. </w:t>
      </w:r>
      <w:r>
        <w:rPr>
          <w:rFonts w:ascii="Times New Roman;serif" w:hAnsi="Times New Roman;serif"/>
          <w:b w:val="false"/>
          <w:color w:val="000000"/>
          <w:sz w:val="20"/>
        </w:rPr>
        <w:t xml:space="preserve">As a public reporting company, we are required to establish and periodically evaluate our disclosure controls and procedures with respect to information we file with, or submit to, the SEC, and our internal control over financial reporting with respect to our financial statements and related disclosures. In particular, we are required to assess the effectiveness of our internal control over financial reporting at the end of each fiscal year pursuant to Section 404 of the Sarbanes-Oxley Act. If we identify deficiencies in our internal control over financial reporting, we may be unable to accurately report our financial results or to report them within the timeframes required by the SEC. The presence of deficiencies in our disclosure controls or internal control over financial reporting and a corresponding remediation of material weaknesses or any regulatory actions resulting from such material weaknesses could impair our business, restrict our access to capital markets and adversely impact our stock price. In addition, the occurrence of any of the foregoing could cause investors and others that rely on our financial statements to lose confidence in the accuracy and completeness of our financial reports.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previously identified material weaknesses in our internal control over financial reporting, the most recent of which were fully remediated in fiscal 2024. While these material weaknesses have been fully remediated, we cannot guarantee that our internal controls will continue to operate effectively in the future. We may fail to identify new control deficiencies or material weaknesses or may not identify them on a timely basis, and our internal controls may not prevent or detect misstatements. If future deficiencies result in material misstatements or we are otherwise required to restate our financial statements, our business, financial condition and results of operations could be materially adversely affected, including through increased costs, regulatory scrutiny, reputational harm or diminished investor confidence. See Item 9A of this Report for more information, which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ASSOCIATED WITH OUR GOVERNANCE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Our Series A Convertible Preferred Stock has rights, preferences and privileges that are not held by, and are preferential to, the rights of our common stockholders, which could adversely affect our liquidity and financial condition, and may result in the interests of the holders of our Series A Convertible Preferred Stock differing from those of our common stockholders.</w:t>
      </w:r>
      <w:r>
        <w:rPr>
          <w:color w:val="000000"/>
        </w:rPr>
        <w:t xml:space="preserve"> </w:t>
      </w:r>
      <w:r>
        <w:rPr>
          <w:rFonts w:ascii="Times New Roman;serif" w:hAnsi="Times New Roman;serif"/>
          <w:b w:val="false"/>
          <w:color w:val="000000"/>
          <w:sz w:val="20"/>
        </w:rPr>
        <w:t>The holders of our Series A Convertible Preferred Stock have the right to receive a liquidation preference entitling them to be paid out of our assets available for distribution to stockholders before any payment may be made to holders of any other class or series of capital stock, an amount equal to the greater of (a) 100% of the liquidation preference thereof plus all accrued dividends or (b) the amount that such holder would have been entitled to receive upon our liquidation, dissolution and winding up if all outstanding shares of Series A Convertible Preferred Stock had been converted into common stock immediately prior to such liquidation, dissolution or winding up.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Dividends on the Series A Convertible Preferred Stock also accrue cumulatively at the rate of 5.5% per annum, payable quarterly in arrears. If we fail to declare and pay a dividend timely, the dividend rate will increase to 8.0% per annum until such time as all accrued but unpaid dividends have been paid in full. Dividends are payable quarterly in arrears and, at our option, either in cash or in-kind.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our Series A Convertible Preferred Stock also have certain redemption rights or put rights, including the right to require us to repurchase all or any portion of the Series A Convertible Preferred Stock on any date during the three months commencing on and immediately following March 16, 2027, March 16, 2030 and March 16, 2033, at 100% of the liquidation preference thereof plus all accrued but unpaid dividends, and the right, subject to certain exceptions, to require us to repurchase all or any portion of the Series A Convertible Preferred Stock upon certain change of control events at the greater of (a) 100%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liquidation preference thereof plus all accrued but unpaid dividends and (b) the consideration the holders would have received if they had converted their shares of Series A Convertible Preferred Stock into common stock immediately prior to the change of control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dividend and share repurchase obligations may impact our liquidity and reduce the amount of cash flow that we have available for working capital, capital expenditures, growth opportunities, acquisitions and other general corporate purposes. Our obligations to the holders of our Series A Convertible Preferred Stock could also limit our ability to obtain additional financing or increase our borrowing costs, which may adversely affect our financial condition. The preferential rights could also result in divergent interests between the holders of our Series A Convertible Preferred Stock and holders of our common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The issuance of shares of our Series A Convertible Preferred Stock reduces the relative voting power of holders of our common stock, and the conversion and sale of those shares would dilute the ownership of such holders and may adversely affect the market price of our common stock</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As of December 31, 2025, approximately 0.2 million shares of our Series A Convertible Preferred Stock were outstanding, representing approximately 8% of our outstanding common stock, including the Series A Convertible Preferred Stock on an as-converted basis. Holders of Series A Convertible Preferred Stock are entitled to a cumulative dividend at the rate of 5.5% per annum, which is payable quarterly in arrears and, at our option, either in cash or in-kind. If we fail to declare and pay a dividend timely, the dividend rate will increase to 8.0% per annum until such time as all accrued but unpaid dividends have been paid in full.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holders of our Series A Convertible Preferred Stock are entitled to vote, on an as-converted basis, together with holders of our common stock on all matters submitted to a vote of the holders of our common stock, the Series A Convertible Preferred Stock, and the subsequent issuance of additional shares of Series A Convertible Preferred Stock through the payment of in-kind dividends, effectively reduces the relative voting power of our common stock 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conversion of the Series A Convertible Preferred Stock to common stock would dilute the ownership interest of existing holders of our common stock. Any sales in the public market of the common stock issuable upon conversion of the Series A Convertible Preferred Stock would increase the number of shares of our common stock available for public trading and could adversely affect prevailing market prices of our common stock.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We could be subject to actions or proposals from stockholders that do not align with our business strategies or the interests of our other stockholders.</w:t>
      </w:r>
      <w:r>
        <w:rPr>
          <w:color w:val="000000"/>
        </w:rPr>
        <w:t xml:space="preserve"> </w:t>
      </w:r>
      <w:r>
        <w:rPr>
          <w:rFonts w:ascii="Times New Roman;serif" w:hAnsi="Times New Roman;serif"/>
          <w:b w:val="false"/>
          <w:color w:val="000000"/>
          <w:sz w:val="20"/>
        </w:rPr>
        <w:t>While we seek to actively engage with stockholders and consider their views on business, strategy and governance issues, responding to these stockholders could be costly and time-consuming. Activist stockholders may seek to involve themselves in the governance, strategic direction and operations of the Company through stockholder proposals or otherwise. Such proposals may disrupt our business and divert the attention of our management and employees, and any perceived uncertainties as to our future direction resulting from such a situation could interfere with our ability to effectively execute our strategic plans or could result in the loss of potential business opportunities, the perception that we need a change in the direction of our business or the perception that we are unstable or lack continuity, which may be exploited by our competitors, cause concern to our current or potential customers and make it more difficult for us to attract and retain qualified personnel and business partners, which could adversely affect our business. In addition, actions of activist stockholders could cause significant fluctuations in our stock price based on temporary or speculative market perceptions or other factors that do not necessarily reflect the underlying fundamentals and prospects of our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1C.     CYBERSECURITY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the importance of maintaining cybersecurity measures that are designed to safeguard our information systems and protect the confidentiality and integrity of data in our possession relating to our employees, customers and business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information security program is enterprise-wide and includes cross-functional coordination between various departments across the Company, including, but not limited to, information security, technology, privacy, enterprise risk management and internal audit. The structure of our information security program is informed by the National Institute of Standards and Technology (“NIST”) Cybersecurity Framework to organize and maintain processes and tools to identify, protect, detect, respond and recover from threats and events.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information security program employs various information technology and protection methods designed to promote data security such as firewalls, intrusion prevention systems, denial of service detection, anomaly-based detection, anti-virus/anti-malware, endpoint encryption, and detection and response software, security information and event management system, identity management technology, security analytics, encryption and multi-factor authentication. Further, we recognize the risks associated with the use of third-party service providers and have processes designed to identify material risks related to third parties.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periodic reviews and tests of our information security program and also leverage audits by our internal audit team, tabletop exercises, penetration and vulnerability testing, simulations and other exercises to evaluate the effectiveness of our information security program and attempt to improve our security measures and planning. We collaborate with external experts, including consultants and auditors, in evaluating and testing our information security program. Our employees and certain of our contractors are required to participate in security awareness training at least annually.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Technology Officer (“CTO”) is responsible for oversight of our information security strategy, program and operations. Our CTO has over 25 years of information technology experience, including leadership experience managing global information security, IT infrastructure and engineering. He holds a doctorate in Business Administration, Master of Business Administration, and Bachelor of Engineering in Electrical and Electronics Engineering / Information Systems. In previous roles at large-scale fintech and cybersecurity companies, our CTO designed comprehensive cybersecurity programs, and he managed and mitigated high-profile cybersecurity incidents to ensure business continuity.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Chief Information Security Officer (“CISO”), who reports directly to the CTO, is responsible for day-to-day assessment and management of cybersecurity risk. Our CISO has over 20 years of experience in various roles related to information security and related technology, including previously serving as Vice President of Information Technology and Senior Vice President of Information Technology at other companies, and holds a Bachelor of Science in Math and a Master of Business Administration in Computer Information Systems and Information Technology. Our CISO’s responsibilities in prior roles at large, global fintech and healthcare companies included initiatives to identify and reduce cybersecurity vulnerabilities.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cybersecurity risk management policies and procedures include internal notification procedures which, depending on the level of severity assigned to the event, may include direct notice to, among others, the Company’s Chief Executive Officer, Chief Financial Officer, General Counsel and Chief Privacy Officer. Members of the Company’s legal department support efforts to evaluate the materiality of any incidents; determine whether notice to third parties such as regulators, customers or vendors is required; determine whether any prohibition on insider trading is appropriate; and assess whether disclosure to stockholders or governmental filings, including with the SEC, are required. Our internal notification procedures also include notifying various Company information technology services managers, subject matter experts in the Company’s software department and other senior executives, and in certain cases, members of the Company’s board of directors, depending on the level of severity assigned to the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CTO attends regular meetings of the executive officer team, including our Chief Executive Officer, Chief Financial Officer and other senior executive officers, and he reports on cybersecurity matters as appropriate.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(the “Board”) exercises oversight over our risk management process directly, as well as through its various standing committees that address risks inherent in their respective areas of oversight. Primary oversight for cybersecurity risk management sits within the Board’s Risk Committee. The Risk Committee oversees cybersecurity risk identification, management and assessment as well as key processes and policies relating to the foregoing. The Risk Committee also reviews the adequacy and effectiveness of the Company’s cybersecurity program, as well as the steps taken by management to mitigate or otherwise control cybersecurity exposures and to identify future risks. Our CTO and CISO report regularly to the Risk Committee on cybersecurity and information security, including the tracking of key metrics, and the full Board reviews significant cybersecurity matters, where appropriate, including as part of the Company’s enterprise risk management program.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a description of risks from known cybersecurity threats, including as a result of any prior cybersecurity incidents, that have materially affected or are reasonably likely to materially affect us, including our operations, business strategy, results of operations, or financial condition, see the risk factor </w:t>
      </w:r>
      <w:r>
        <w:rPr>
          <w:color w:val="000000"/>
        </w:rPr>
        <w:t>“</w:t>
      </w:r>
      <w:r>
        <w:rPr>
          <w:rFonts w:ascii="Times New Roman;serif" w:hAnsi="Times New Roman;serif"/>
          <w:b w:val="false"/>
          <w:i/>
          <w:color w:val="000000"/>
          <w:sz w:val="20"/>
        </w:rPr>
        <w:t>Our inability to protect our systems, solutions and data from cybersecurity threats or other technological risks could adversely affect our business operations or stock price and damage our brand and reputation”</w:t>
      </w:r>
      <w:r>
        <w:rPr>
          <w:color w:val="000000"/>
        </w:rPr>
        <w:t xml:space="preserve"> </w:t>
      </w:r>
      <w:r>
        <w:rPr>
          <w:rFonts w:ascii="Times New Roman;serif" w:hAnsi="Times New Roman;serif"/>
          <w:b w:val="false"/>
          <w:color w:val="000000"/>
          <w:sz w:val="20"/>
        </w:rPr>
        <w:t>in Item 1A of Part I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NCR Voyix operated approximately 90 facilities in nearly 30 countries. All but one of these facilities are leased. The Company operates 2 research and development facilities while the remaining facilities consist of office, repair, and warehousing space and other miscellaneous sites.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NCR Voyix is headquartered in Atlanta, Georgia, USA. Our address at our corporate headquarters is 864 Spring Street Northwest, Atlanta Georgia, 30308, USA.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regarding legal proceedings is included in Item 8 of Part II of this Report as part of Note 11, “Commitments and Contingencies”, of the Notes to Consolidated Financial Statements and is incorporated herein by reference.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        MARKET FOR THE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Market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NCR Voyix common stock is listed on the New York Stock Exchange (NYSE) and trades under the symbol “VYX”. There were approximately 59,031 stockholders of record of NCR Voyix common stock as of February 19,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Dividends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NCR Voyix has not paid cash dividends and does not anticipate the payment of cash dividends on NCR Voyix common stock in the immediate future. The declaration of dividends is restricted under our senior secured revolving credit facility and the terms of the indentures governing our senior unsecured notes, and would be further subject to the discretion of NCR Voyix’s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Stock Performance Graph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relative investment performance of NCR Voyix stock, the Standard &amp; Poor’s MidCap 400 Stock Index, Standard &amp; Poor’s 500 Information Technology Sector and the Standard &amp; Poor’s 500 Stock Index. This graph covers the five-year period from December 31, 2020 through December 31, 2025.</w:t>
      </w:r>
    </w:p>
    <w:p>
      <w:pPr>
        <w:pStyle w:val="TextBody"/>
        <w:bidi w:val="0"/>
        <w:spacing w:before="0" w:after="0"/>
        <w:jc w:val="both"/>
        <w:rPr/>
      </w:pPr>
      <w:r>
        <w:rPr/>
      </w:r>
    </w:p>
    <w:p>
      <w:pPr>
        <w:pStyle w:val="TextBody"/>
        <w:bidi w:val="0"/>
        <w:spacing w:before="0" w:after="0"/>
        <w:jc w:val="center"/>
        <w:rPr/>
      </w:pPr>
      <w:r>
        <w:rPr/>
        <w:drawing>
          <wp:inline distT="0" distB="0" distL="0" distR="0">
            <wp:extent cx="6743700" cy="3581400"/>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3"/>
                    <a:stretch>
                      <a:fillRect/>
                    </a:stretch>
                  </pic:blipFill>
                  <pic:spPr bwMode="auto">
                    <a:xfrm>
                      <a:off x="0" y="0"/>
                      <a:ext cx="6743700" cy="3581400"/>
                    </a:xfrm>
                    <a:prstGeom prst="rect">
                      <a:avLst/>
                    </a:prstGeom>
                  </pic:spPr>
                </pic:pic>
              </a:graphicData>
            </a:graphic>
          </wp:inline>
        </w:drawing>
      </w:r>
      <w:bookmarkStart w:id="1" w:name="i-2"/>
      <w:bookmarkEnd w:id="1"/>
    </w:p>
    <w:tbl>
      <w:tblPr>
        <w:tblW w:w="9045" w:type="dxa"/>
        <w:jc w:val="center"/>
        <w:tblInd w:w="0" w:type="dxa"/>
        <w:tblLayout w:type="fixed"/>
        <w:tblCellMar>
          <w:top w:w="28" w:type="dxa"/>
          <w:left w:w="28" w:type="dxa"/>
          <w:bottom w:w="28" w:type="dxa"/>
          <w:right w:w="28" w:type="dxa"/>
        </w:tblCellMar>
      </w:tblPr>
      <w:tblGrid>
        <w:gridCol w:w="1244"/>
        <w:gridCol w:w="1093"/>
        <w:gridCol w:w="1098"/>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Company /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NCR Voyix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Stock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Information Technology Sector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MidCap 400 Stock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630"/>
        <w:jc w:val="both"/>
        <w:rPr/>
      </w:pPr>
      <w:r>
        <w:rPr>
          <w:rFonts w:ascii="Times New Roman;serif" w:hAnsi="Times New Roman;serif"/>
          <w:b w:val="false"/>
          <w:color w:val="000000"/>
          <w:sz w:val="13"/>
        </w:rPr>
        <w:t>(1)</w:t>
      </w:r>
      <w:r>
        <w:rPr>
          <w:rFonts w:ascii="Times New Roman;serif" w:hAnsi="Times New Roman;serif"/>
          <w:b w:val="false"/>
          <w:color w:val="000000"/>
          <w:sz w:val="20"/>
        </w:rPr>
        <w:t>In each case, assumes a $100 investment on December 31, 2020, and reinvestment of all dividends, if any.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Purchase of Company Equity Securities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2017, the Board approved a share repurchase program, with no expiration from the date of authorization, that provided for the repurchase of up to $300 million of the Company’s common stock (the “Repurchase Program,” as amended). In July 2018, the Board authorized an incremental $200 million of share repurchases under the Repurchase Program. On May 6, 2025, the Board amended and restated the Repurchase Program to (1) add an incremental $172 million of repurchase authority under the program, taking the total aggregate repurchase authority under the program to $200 million, and (2) to expand the repurchase authority to apply to repurchases of the Company’s Series A preferred stock, in addition to common stock. As of December 31, 2025, the Repurchase Program had an existing aggregate remaining repurchase authority of $122 million. On February 12, 2026, the Board amended the Repurchase Program to add an incremental $178 million of repurchase authority under the program, taking the total aggregate repurchase authority under the program to $300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utilize the Repurchase Program from time to time to opportunistically repurchase common stock and Series A preferred stock. The timing and amount of repurchases under the Repurchase Program will depend upon varying factors, including stock price, the Company’s performance, market conditions and other possible uses of cash. Repurchases under the Repurchase Program may be made from time to time in open market purchases, privately negotiated transactions, accelerated stock repurchase programs, issuer self-tender offers or otherwise. The repurchases will be made in compliance with applicable securities laws and may be discontinued at any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2025, the Company repurchased 68,566 shares of Series A Convertible Preferred Stock from one shareholder for a total cash consideration of $74 million.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Company’s 2017 Stock Incentive Plan allows shares to be surrendered to the Company to satisfy tax withholding obligations associated with the vesting of restricted stock units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following table sets forth information with respect to our repurchases of shares of common stock (including shares surrendered to satisfy tax withholding) and Series A preferred stock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363"/>
        <w:gridCol w:w="320"/>
        <w:gridCol w:w="323"/>
        <w:gridCol w:w="597"/>
        <w:gridCol w:w="494"/>
        <w:gridCol w:w="496"/>
        <w:gridCol w:w="299"/>
        <w:gridCol w:w="850"/>
        <w:gridCol w:w="166"/>
        <w:gridCol w:w="983"/>
        <w:gridCol w:w="887"/>
        <w:gridCol w:w="889"/>
        <w:gridCol w:w="909"/>
        <w:gridCol w:w="1958"/>
        <w:gridCol w:w="509"/>
        <w:gridCol w:w="16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15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3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 (in millions)</w:t>
            </w:r>
            <w:r>
              <w:rPr>
                <w:rFonts w:ascii="Times New Roman;serif" w:hAnsi="Times New Roman;serif"/>
                <w:b/>
                <w:color w:val="000000"/>
                <w:sz w:val="10"/>
              </w:rPr>
              <w:t>(2)(3)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10/1/2025 - 10/31/2025</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11/1/2025 - 11/30/2025</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209,184 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197,578 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12/1/2025 - 12/31/2025</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364,905 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198,770 </w:t>
            </w:r>
          </w:p>
        </w:tc>
        <w:tc>
          <w:tcPr>
            <w:tcW w:w="8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For the three months ended December 31, 2025</w:t>
      </w:r>
      <w:r>
        <w:rPr>
          <w:rFonts w:ascii="Times New Roman;serif" w:hAnsi="Times New Roman;serif"/>
          <w:b w:val="false"/>
          <w:color w:val="000000"/>
          <w:sz w:val="18"/>
          <w:shd w:fill="FFFFFF" w:val="clear"/>
        </w:rPr>
        <w:t xml:space="preserve">, approximately </w:t>
      </w:r>
      <w:r>
        <w:rPr>
          <w:rFonts w:ascii="Times New Roman;serif" w:hAnsi="Times New Roman;serif"/>
          <w:b w:val="false"/>
          <w:color w:val="000000"/>
          <w:sz w:val="18"/>
        </w:rPr>
        <w:t>179,989 shares were surrendered to the Company to satisfy tax withholding obligations associated with the vesting of restricted stock units issued to employees under the 2017 Stock Incentive Plan. With respect to these surrendered shares, the price paid per share is based on the fair value at the time of surrender.</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Represents amounts available for repurchases under the Repurchase Program as of December 31, 2025. On May 6, 2025, the Board amended and restated the existing Repurchase Program to increase the total aggregate authority for future repurchases under the program to $200 million (which has subsequently been increased to $300 million).</w:t>
      </w:r>
    </w:p>
    <w:p>
      <w:pPr>
        <w:pStyle w:val="TextBody"/>
        <w:bidi w:val="0"/>
        <w:spacing w:lineRule="auto" w:line="288" w:before="0" w:after="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Represents repurchases of the Company’s Series A Convertible Preferred Stock pursuant to the Repurchase Program. On November 12, 2025, NCR Voyix entered into a definitive agreement to repurchase 68,566 shares of Series A Convertible Preferred Stock from one shareholder for a total cash consideration of $74 million. The transaction closed on November 17,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ability to repurchase its common stock and preferred stock is subject to (i) certain restrictions under the terms of the Company’s senior secured revolving credit facility and the indentures governing its senior unsecured notes and (ii) the discretion of the Company’s Board of Directors. These restrictions are described in greater detail in the Company’s senior secured credit facilities and the indentures governing its senior unsecured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Management’s Discussion and Analysis of Financial Condition and Results of Operations (MD&amp;A)</w:t>
      </w:r>
    </w:p>
    <w:tbl>
      <w:tblPr>
        <w:tblW w:w="5010" w:type="dxa"/>
        <w:jc w:val="center"/>
        <w:tblInd w:w="0" w:type="dxa"/>
        <w:tblLayout w:type="fixed"/>
        <w:tblCellMar>
          <w:top w:w="28" w:type="dxa"/>
          <w:left w:w="28" w:type="dxa"/>
          <w:bottom w:w="28" w:type="dxa"/>
          <w:right w:w="28" w:type="dxa"/>
        </w:tblCellMar>
      </w:tblPr>
      <w:tblGrid>
        <w:gridCol w:w="1627"/>
        <w:gridCol w:w="1432"/>
        <w:gridCol w:w="1440"/>
        <w:gridCol w:w="149"/>
        <w:gridCol w:w="149"/>
        <w:gridCol w:w="213"/>
      </w:tblGrid>
      <w:tr>
        <w:trPr/>
        <w:tc>
          <w:tcPr>
            <w:tcW w:w="162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55">
              <w:r>
                <w:rPr>
                  <w:rStyle w:val="InternetLink"/>
                  <w:rFonts w:ascii="Times New Roman;serif" w:hAnsi="Times New Roman;serif"/>
                  <w:b w:val="false"/>
                  <w:color w:val="0000FF"/>
                  <w:sz w:val="20"/>
                  <w:u w:val="single"/>
                </w:rPr>
                <w:t>Overview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55">
              <w:r>
                <w:rPr>
                  <w:rStyle w:val="InternetLink"/>
                  <w:rFonts w:ascii="Times New Roman;serif" w:hAnsi="Times New Roman;serif"/>
                  <w:b w:val="false"/>
                  <w:color w:val="0000FF"/>
                  <w:sz w:val="20"/>
                  <w:u w:val="single"/>
                </w:rPr>
                <w:t>32</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58">
              <w:r>
                <w:rPr>
                  <w:rStyle w:val="InternetLink"/>
                  <w:rFonts w:ascii="Times New Roman;serif" w:hAnsi="Times New Roman;serif"/>
                  <w:b w:val="false"/>
                  <w:color w:val="0000FF"/>
                  <w:sz w:val="20"/>
                  <w:u w:val="single"/>
                </w:rPr>
                <w:t>Significant Themes and Events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58">
              <w:r>
                <w:rPr>
                  <w:rStyle w:val="InternetLink"/>
                  <w:rFonts w:ascii="Times New Roman;serif" w:hAnsi="Times New Roman;serif"/>
                  <w:b w:val="false"/>
                  <w:color w:val="0000FF"/>
                  <w:sz w:val="20"/>
                  <w:u w:val="single"/>
                </w:rPr>
                <w:t>32</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61">
              <w:r>
                <w:rPr>
                  <w:rStyle w:val="InternetLink"/>
                  <w:rFonts w:ascii="Times New Roman;serif" w:hAnsi="Times New Roman;serif"/>
                  <w:b w:val="false"/>
                  <w:color w:val="0000FF"/>
                  <w:sz w:val="20"/>
                  <w:u w:val="single"/>
                </w:rPr>
                <w:t>Strategic Initiatives and Trends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61">
              <w:r>
                <w:rPr>
                  <w:rStyle w:val="InternetLink"/>
                  <w:rFonts w:ascii="Times New Roman;serif" w:hAnsi="Times New Roman;serif"/>
                  <w:b w:val="false"/>
                  <w:color w:val="0000FF"/>
                  <w:sz w:val="20"/>
                  <w:u w:val="single"/>
                </w:rPr>
                <w:t>33</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64">
              <w:r>
                <w:rPr>
                  <w:rStyle w:val="InternetLink"/>
                  <w:rFonts w:ascii="Times New Roman;serif" w:hAnsi="Times New Roman;serif"/>
                  <w:b w:val="false"/>
                  <w:color w:val="0000FF"/>
                  <w:sz w:val="20"/>
                  <w:u w:val="single"/>
                </w:rPr>
                <w:t>Business Overview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64">
              <w:r>
                <w:rPr>
                  <w:rStyle w:val="InternetLink"/>
                  <w:rFonts w:ascii="Times New Roman;serif" w:hAnsi="Times New Roman;serif"/>
                  <w:b w:val="false"/>
                  <w:color w:val="0000FF"/>
                  <w:sz w:val="20"/>
                  <w:u w:val="single"/>
                </w:rPr>
                <w:t>32</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67">
              <w:r>
                <w:rPr>
                  <w:rStyle w:val="InternetLink"/>
                  <w:rFonts w:ascii="Times New Roman;serif" w:hAnsi="Times New Roman;serif"/>
                  <w:b w:val="false"/>
                  <w:color w:val="0000FF"/>
                  <w:sz w:val="20"/>
                  <w:u w:val="single"/>
                </w:rPr>
                <w:t>Macroeconomic Trends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67">
              <w:r>
                <w:rPr>
                  <w:rStyle w:val="InternetLink"/>
                  <w:rFonts w:ascii="Times New Roman;serif" w:hAnsi="Times New Roman;serif"/>
                  <w:b w:val="false"/>
                  <w:color w:val="0000FF"/>
                  <w:sz w:val="20"/>
                  <w:u w:val="single"/>
                </w:rPr>
                <w:t>34</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73">
              <w:r>
                <w:rPr>
                  <w:rStyle w:val="InternetLink"/>
                  <w:rFonts w:ascii="Times New Roman;serif" w:hAnsi="Times New Roman;serif"/>
                  <w:b w:val="false"/>
                  <w:color w:val="0000FF"/>
                  <w:sz w:val="20"/>
                  <w:u w:val="single"/>
                </w:rPr>
                <w:t>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73">
              <w:r>
                <w:rPr>
                  <w:rStyle w:val="InternetLink"/>
                  <w:rFonts w:ascii="Times New Roman;serif" w:hAnsi="Times New Roman;serif"/>
                  <w:b w:val="false"/>
                  <w:color w:val="0000FF"/>
                  <w:sz w:val="20"/>
                  <w:u w:val="single"/>
                </w:rPr>
                <w:t>35</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27">
              <w:r>
                <w:rPr>
                  <w:rStyle w:val="InternetLink"/>
                  <w:rFonts w:ascii="Times New Roman;serif" w:hAnsi="Times New Roman;serif"/>
                  <w:b w:val="false"/>
                  <w:color w:val="0000FF"/>
                  <w:sz w:val="20"/>
                  <w:u w:val="single"/>
                </w:rPr>
                <w:t>Financial Condition, Liquidity and Capital Resources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27">
              <w:r>
                <w:rPr>
                  <w:rStyle w:val="InternetLink"/>
                  <w:rFonts w:ascii="Times New Roman;serif" w:hAnsi="Times New Roman;serif"/>
                  <w:b w:val="false"/>
                  <w:color w:val="0000FF"/>
                  <w:sz w:val="20"/>
                  <w:u w:val="single"/>
                </w:rPr>
                <w:t>45</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30">
              <w:r>
                <w:rPr>
                  <w:rStyle w:val="InternetLink"/>
                  <w:rFonts w:ascii="Times New Roman;serif" w:hAnsi="Times New Roman;serif"/>
                  <w:b w:val="false"/>
                  <w:color w:val="0000FF"/>
                  <w:sz w:val="20"/>
                  <w:u w:val="single"/>
                </w:rPr>
                <w:t>Critical Accounting Estimates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30">
              <w:r>
                <w:rPr>
                  <w:rStyle w:val="InternetLink"/>
                  <w:rFonts w:ascii="Times New Roman;serif" w:hAnsi="Times New Roman;serif"/>
                  <w:b w:val="false"/>
                  <w:color w:val="0000FF"/>
                  <w:sz w:val="20"/>
                  <w:u w:val="single"/>
                </w:rPr>
                <w:t>48</w:t>
              </w:r>
            </w:hyperlink>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33">
              <w:r>
                <w:rPr>
                  <w:rStyle w:val="InternetLink"/>
                  <w:rFonts w:ascii="Times New Roman;serif" w:hAnsi="Times New Roman;serif"/>
                  <w:b w:val="false"/>
                  <w:color w:val="0000FF"/>
                  <w:sz w:val="20"/>
                  <w:u w:val="single"/>
                </w:rPr>
                <w:t>Recently Issued Accounting Pronouncements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33">
              <w:r>
                <w:rPr>
                  <w:rStyle w:val="InternetLink"/>
                  <w:rFonts w:ascii="Times New Roman;serif" w:hAnsi="Times New Roman;serif"/>
                  <w:b w:val="false"/>
                  <w:color w:val="0000FF"/>
                  <w:sz w:val="20"/>
                  <w:u w:val="single"/>
                </w:rPr>
                <w:t>52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color w:val="000000"/>
          <w:sz w:val="20"/>
        </w:rPr>
        <w:t>Item 7.    MANAGEMENT</w:t>
      </w:r>
      <w:r>
        <w:rPr>
          <w:color w:val="000000"/>
        </w:rPr>
        <w:t>’</w:t>
      </w:r>
      <w:r>
        <w:rPr>
          <w:rFonts w:ascii="Times New Roman;serif" w:hAnsi="Times New Roman;serif"/>
          <w:b/>
          <w:color w:val="000000"/>
          <w:sz w:val="20"/>
        </w:rPr>
        <w:t>S DISCUSSION AND ANALYSIS OF FINANCIAL CONDITION AND RESULTS OF OPERATIONS (MD&amp;A)</w:t>
      </w:r>
    </w:p>
    <w:p>
      <w:pPr>
        <w:pStyle w:val="TextBody"/>
        <w:bidi w:val="0"/>
        <w:spacing w:before="0" w:after="0"/>
        <w:ind w:left="0" w:right="0" w:hanging="720"/>
        <w:jc w:val="left"/>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section should be read in conjunction with the audited Consolidated Financial Statements and related Notes included in Item 8 of Part II of this Report. Management’s Discussion and Analysis of Financial Condition and Results of Operations contains forward-looking statements. See “Forward-Looking Statements” and “Risk Factors” in Item 1A of this Annual Report for a discussion of the uncertainties, risks and assumptions associated with these forward-looking statements that could cause future results to differ materially from those reflected in this section.</w:t>
      </w:r>
    </w:p>
    <w:p>
      <w:pPr>
        <w:pStyle w:val="TextBody"/>
        <w:bidi w:val="0"/>
        <w:spacing w:before="0" w:after="0"/>
        <w:ind w:left="0" w:right="0" w:hanging="720"/>
        <w:jc w:val="left"/>
        <w:rPr/>
      </w:pPr>
      <w:r>
        <w:rPr/>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 xml:space="preserve">Our discussion within MD&amp;A is organized as follows: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i/>
          <w:color w:val="000000"/>
          <w:sz w:val="20"/>
        </w:rPr>
        <w:t xml:space="preserve">Overview. </w:t>
      </w:r>
      <w:r>
        <w:rPr>
          <w:rFonts w:ascii="Times New Roman;serif" w:hAnsi="Times New Roman;serif"/>
          <w:b w:val="false"/>
          <w:color w:val="000000"/>
          <w:sz w:val="20"/>
        </w:rPr>
        <w:t>This section contains background information on the Company, a summary of significant events and initiatives during the year and an overview of trends that impact or may impact our financial performance in order to provide context for management’s discussion and analysis of our financial condition and results of operations.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This section contains an analysis of our results of operations presented in the accompanying Consolidated Statements of Operations by comparing the results for the year ended December 31, 2025 to the results for the year ended December 31, 2024 as well as a comparison of the results for the year ended December 31, 2024 to the results for the year ended December 31, 2023. </w:t>
      </w:r>
    </w:p>
    <w:p>
      <w:pPr>
        <w:pStyle w:val="TextBody"/>
        <w:bidi w:val="0"/>
        <w:spacing w:lineRule="auto" w:line="288" w:before="0" w:after="80"/>
        <w:ind w:left="0" w:right="0" w:hanging="360"/>
        <w:jc w:val="both"/>
        <w:rPr/>
      </w:pPr>
      <w:r>
        <w:rPr>
          <w:color w:val="000000"/>
        </w:rPr>
        <w:t>•</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This section provides an analysis of our cash flows and a discussion of our contractual obligations at December 31,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Critical accounting estimates. </w:t>
      </w:r>
      <w:r>
        <w:rPr>
          <w:rFonts w:ascii="Times New Roman;serif" w:hAnsi="Times New Roman;serif"/>
          <w:b w:val="false"/>
          <w:color w:val="000000"/>
          <w:sz w:val="20"/>
        </w:rPr>
        <w:t>This section contains a discussion of the accounting policies that we believe are important to our financial condition and results of operations and that require judgment and estimates on the part of management in their application. In addition, all of our significant accounting policies, including critical accounting policies, are summarized in Note 1, “Basis of Presentation and Significant Accounting Policies”, in the Notes to Consolidated Financial Statements in Item 8 of Part II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SIGNIFICANT THEMES AND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more fully discussed in later sections of this MD&amp;A, the following were highlights for the year ended December 31,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Revenue was $2.7 billion, decreased 5% compared to prior year</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Recurring revenue increased 3% from the prior year and comprised 62% of total consolidated revenue</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Software and services revenue, decreased 3% from the prior year and comprised 74% of total consolidated revenue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Adjusted EBITDA of $425 million, increased 22% compared to prior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NCR Voyix is a global platform-powered leader in unified commerce for shopping and dining, empowering our customers to deliver quality experiences to consumers through our cloud-based platform, microservices-based applications and comprehensive service offerings.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Completion of NCR Atleos Spin-Off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16, 2023, the Company completed the spin-off of its ATM-focused businesses, including our self-service banking, payments &amp; network and telecommunications and technology businesses, into an independent, publicly traded company, NCR Atleos. Accordingly, the historical financial results of NCR Atleos are reflected as discontinued operations in the Company’s consolidated financial statements. Refer to Note 2, “Discontinued Operations”, in the Notes to Consolidated Financial Statements in Item 8 of Part II of this Report, for additional information.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Sale of Digital Banking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completed the sale of our Digital Banking segment businesses (the “Digital Banking Sale”) to an affiliate of The Veritas Capital Fund VIII, L.P. (the “Buyer”) on September 30, 2024. The purchase price for the Digital Banking Sale was $2.45 billion in cash, subject to a post-closing adjustment, as well as contingent consideration of up to an additional $100 million in cash upon the achievement of a specified return on the Buyer’s invested capital at the time of any future sale. The historical financial results of the Digital Banking segment businesses are reflected as discontinued operations in the Company’s consolidated financial statements. Refer to Note 2, “Discontinued Operations”, in the Notes to Consolidated Financial Statements in Item 8 of Part II of this Report, 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Transition of Hardware Business to ODM Model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the Company announced its entry into a commercial agreement with Ennoconn Corporation (“Ennoconn”) to transition its self-checkout and point-of-sale hardware businesses to an outsourced design and manufacturing model including the sale of certain assets relating to these businesses (the “Hardware Business Transition”). Under the terms of the agreement, Ennoconn will design, manufacture, warrant, supply and ship self-checkout and point-of sale hardware directly to the Company’s customers, and the Company will sell hardware to its customers as a sales agent for Ennoconn and continue to provide its point-of sale and self-checkout software as well as key support and maintenance services. As a result of the Hardware Business Transition, the Company will record commission revenue from point-of-sale and self-checkout hardware sales as an agent for Ennoconn on a net basis, excluding the costs paid to Ennoconn. In January 2026, we announced the commencement of the implementation phase of this new hardware model and began migrating certain aspects of our hardware business to Ennoconn.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STRATEGIC INITIATIVES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is to advance our position as the platform-powered leader in unified commerce for shopping and dining at a time when consumer expectations for seamless, personalized and frictionless experiences continue to rise across both retail and restaurant environments. Today’s consumers expect to shop, order, pay and receive service effortlessly, whether online, in store, curbside or through mobile channels. They increasingly favor brands that deliver speed, consistency and convenience at every interaction. These heightened expectations have placed pressure on retailers and restaurants to modernize their operations and adopt technologies that can support real-time engagement and continuous innovation across digital and physical touchpoints. Guided by our mission to make the consumer experience seamless, we focus on delivering integrated, scalable solutions that enable restaurants and retailers to differentiate their brands and operate more efficiently in a rapidly evolving commerce landscape. By combining hardware, software, services and payments into a unified suite of offerings, we can deliver to customers an end-to-end value proposition that is difficult to match. As the adoption of our platform and solutions accelerates, we expect to strengthen customer relationships, enhance recurring revenue streams and broaden monetization opportunities across our Voyix Commerce Platform. To achieve our goals, we are focused on: (i) delivering a modern suite of SaaS solutions, (ii) expanding adoption of our integrated payment solutions, (iii) scaling our differentiated services offerings and (iv) investing in innovation to further expand our platform capabilities.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Ongoing Business Trends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Retail and Restaurants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Within the retail and restaurant industries, businesses around the world are under constant pressure to meet consumer demands for speed, convenience, personalization and security. These companies, in turn, are requiring their technology providers to rapidly enhance and expand their capabilities to meet ever-increasing consumer requirements. As a result, competition in these industries continues to intensify. Today, software and payment companies, in particular, are focused on investing in technology, expanding their use of data and automation and utilizing cutting-edge tools to meet these rising demands.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NCR Voyix serves customers of all sizes, from small- and medium-sized companies to large, blue-chip enterprises, representing some of the world’s leading consumer brands. Many retailers and restaurants are facing challenges to distinguish themselves from their competitors, sparking attempts at differentiation through personalized and seamless consumer experiences to win in their respective markets. Creating differentiated experiences for consumers requires companies to perform advanced data analytics and use other technologies to determine how to best tailor experiences to meet demand and deploy changes rapidly.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recently introduced our modernized suite of microservices-based applications, natively integrated with our proprietary, cloud-based platform. Within this suite of SaaS applications, we now deliver our next-generation point-of-sale and self-checkout solutions for retail and restaurant customers, which are vital to collect a wide variety of important data points, including, among others, transactional, consumer, inventory, pricing and promotional. We expect to continue to transition customers from legacy solutions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modernized SaaS applications and other innovative offerings, and we believe that this transition will benefit customers by providing end-to-end capabilities, driving value for our customers’ businesses and for consumers.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offerings largely consist of SaaS solutions and related services that are purpose-built to deliver unified commerce capabilities to the shopping and dining industries, which marks a shift in business model from our historical, hardware-driven model. We made this strategic change to our business model in order to deliver solutions to retail and restaurant customers that enable them to provide high-quality consumer experiences, while positioning us to innovate quickly and drive long-term growth opportunities.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Macroeconomic Trends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Global Trade and Macroeconomic Environment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and other global markets currently are experiencing increased volatility due to the effects of, among other things, recent changes in imposed or threatened tariffs and other trade policy changes by the U.S. and other countries, escalating geopolitical and civil conflict, including, but not limited to, Eastern Europe and the Middle East, inflationary pressures, such as increasing prices for goods and services, changing fiscal and/or monetary policies in the U.S. and elsewhere, and fluctuating currency exchange rates, elevated unemployment rates, global shortages of microchips and and other technology components, primarily driven by the adoption of artificial intelligence, and, in some locations around the world, decreased economic conditions that indicate the potential for near-term recessions or slowdowns.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Given our geographic presence and the multinational composition of our customer base, our business and financial performance could be impacted by the evolving global economic landscape. We are subject to a variety of risks posed by the current macroeconomic environment, and we are continuously monitoring the direct and indirect impacts of these circumstances. U.S. foreign trade policy continues to evolve under the current presidential administration, including the recent announcement of a number of new tariffs in the wake of the U.S. Supreme Court’s February 2026 decision to uphold a ruling that invalidated certain tariffs previously imposed. It is currently unknown if these tariffs will remain in place, be expanded or be removed, and we do not know whether foreign countries will adopt retaliatory trade policies in response to these new tariffs. As a result of these developments, we do not know the full extent of the impact of the recently invalidated tariffs or of the new tariffs recently imposed, and there is much uncertainty surrounding the long-term effects that they will have on economic conditions within the U.S. and elsewhere.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these uncertainties, we may be impacted in the future within the markets in which we operate; however, we have taken steps to mitigate part of the impact of these tariffs and are currently analyzing opportunities to further address the impact of these tariffs. Economic pressures on retail and restaurant businesses and on consumers could negatively affect our revenue and profitability in future periods. The current trade policy environment is expected to continue to evolve, but we cannot forecast the impact that these or other changes will have on our business and financial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U.S. Legislation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Public Law 119-21, commonly referred to as the One Big Beautiful Bill Act (“OBBBA”), was enacted in the U.S., which included significant changes to the federal income tax system. There were no material impacts on our consolidated financial statements for the year ended December 31, 2025 resulting from the enactment of the OBBBA. We will continue to evaluate the full impact of these legislative changes as more guidance becomes available.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we continue to execute on our strategy to shift to recurring revenue, our revenues and earnings will become more predictable; however, the broader implications of these macroeconomic events on our business, results of operations and overall financial position, particularly in the short term, remain uncertain.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further discussion of trends, uncertainties and other factors that could affect our operating results, see the section entitled “Risk Factors” in Part I, Item 1A of this Form 10-K. For further information on exposures to foreign exchange risk, refer to Item 7A, “Quantitative and Qualitative Disclosures about Market Risk”, in this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Revision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2025, the Company identified errors in previously issued financial statements related to the historical pre-Spin-Off operations of NCR Atleos that impact their revenue and certain expense items which were reported as Income (loss) from discontinued operations. The Company evaluated the impact of these errors and concluded that they were immaterial to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previously issued financial statements, individually and in the aggregate. However, the Company is revising the previously issued financial statements to correct these errors, as well as certain previously identified out-of-period adjustments related to the Spin-Off, into the appropriate period (fiscal 2023). The correction of these items resulted in a decrease to previously reported net income (loss) from discontinued operations, net of tax, of $5 million and $6 million for the years ended December 31, 2023 and 2022, respectively. The correction also resulted in a $0.04 and $0.04 per share decrease to previously reported basic and diluted earnings per share from discontinued operations for 2023 and 2022, respectively, with the same impact to total net income per share. The net impact of this revision decreases the opening balance of retained earnings (deficit) by $8 million at December 31, 2022 as compared to what was previously reported. The net impact of this revision increases retained earnings (deficit) by $12 million and increases accumulated other comprehensive income (loss) by $10 million at December 31, 2023 as compared to what was previously reported. The impact of the revision did not affect the Company’s reported balances of continuing operations or cash flows for any reporting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Out-of-period Adjustments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2023, the Company recorded a $10 million out-of-period adjustment to increase operating expenses and increase an employee-related liability in order to correct for an understatement of such same balances during the fourth quarter of 2022.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2024, the Company recorded an out-of-period adjustment to decrease revenue by $10 million, decrease accounts receivable by $5 million, and increase contract liabilities by $5 million. The amount related to periods prior to 2024 was $4 million of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2024, the Company recorded an out-of-period adjustment related to foreign currency to increase other expense, net, by approximately $8 million, increase other current liabilities by approximately $4 million and increase accumulated other comprehensive income (loss) by approximately $4 million. The amount related to 2023 was $2 million of other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evaluated the impact of the out-of-period adjustments and concluded they are not material to the consolidated financial statements for any of the periods presented.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ACH Disbursements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2024, the Company identified fraudulent automated clearing house “ACH” disbursements from a Company bank account. The cumulative amount of these disbursements totaled $34 million, and we recovered $16 million related to this matter. The Company is pursuing insurance recoveries in connection with this matter; however, there can be no assurance that the Company will be successful in recovering additional amounts of the unauthorized ACH disbursements from the Company’s insurance providers.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further information on potential risks and uncertainties see Part I, Item 1A “Risk Factors” and Part II, Item 9A “Controls and Procedures” of this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Cyber Ransomware Incident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April 2023 the Company determined that a single data center outage impacting certain of its commerce customers was caused by a cyber ransomware incident. Following investigation, the Company concluded that the incident impacted operations for customers only with respect to specific Aloha cloud-based services and Counterpoint. Functionality was fully restored to all impacted customers, and we built a new cloud environment to host the affected applications.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incurred a cumulative $47 million of expenses related to the cyber ransomware incident and has recovered $37 million under our insurance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further information see Item 1C “Cybersecurity” of this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results of operations present the continuing operations of NCR Voyix for the years ended December 31, 2025, 2024 and 2023. All results from Digital Banking and NCR Atleos are presented within income (loss) from discontinued operations for these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Strategic Financial Metrics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show our key strategic financial metrics for the years ended December 31, 2025, 2024 and 2023, the relative percentage that those amounts represent to total revenue, and the change in those amounts year-over-year.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Recurring revenue as a percentage of total revenue</w:t>
      </w:r>
    </w:p>
    <w:tbl>
      <w:tblPr>
        <w:tblW w:w="10370"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307"/>
        <w:gridCol w:w="309"/>
        <w:gridCol w:w="271"/>
        <w:gridCol w:w="109"/>
        <w:gridCol w:w="109"/>
        <w:gridCol w:w="109"/>
        <w:gridCol w:w="307"/>
        <w:gridCol w:w="309"/>
        <w:gridCol w:w="271"/>
        <w:gridCol w:w="109"/>
        <w:gridCol w:w="109"/>
        <w:gridCol w:w="109"/>
        <w:gridCol w:w="307"/>
        <w:gridCol w:w="309"/>
        <w:gridCol w:w="271"/>
        <w:gridCol w:w="109"/>
        <w:gridCol w:w="109"/>
        <w:gridCol w:w="109"/>
        <w:gridCol w:w="224"/>
        <w:gridCol w:w="152"/>
        <w:gridCol w:w="271"/>
        <w:gridCol w:w="109"/>
        <w:gridCol w:w="109"/>
        <w:gridCol w:w="109"/>
        <w:gridCol w:w="214"/>
        <w:gridCol w:w="162"/>
        <w:gridCol w:w="316"/>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Recurring revenue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Recurring revenue includes all revenue streams from contracts where there is a predictable revenue pattern that will occur at regular intervals with a relatively high degree of certainty. This includes hardware and software maintenance revenue, SaaS solutions revenue, payment processing revenue, and certain professional services arrangements as well as term-based software license arrangements that include customer termination rights.</w:t>
      </w:r>
    </w:p>
    <w:p>
      <w:pPr>
        <w:pStyle w:val="TextBody"/>
        <w:bidi w:val="0"/>
        <w:spacing w:before="0" w:after="0"/>
        <w:ind w:left="0" w:right="0" w:hanging="270"/>
        <w:jc w:val="both"/>
        <w:rPr/>
      </w:pPr>
      <w:r>
        <w:rPr/>
      </w:r>
    </w:p>
    <w:p>
      <w:pPr>
        <w:pStyle w:val="TextBody"/>
        <w:bidi w:val="0"/>
        <w:spacing w:lineRule="auto" w:line="28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Revenue by type</w:t>
      </w:r>
    </w:p>
    <w:tbl>
      <w:tblPr>
        <w:tblW w:w="10220" w:type="dxa"/>
        <w:jc w:val="left"/>
        <w:tblInd w:w="0" w:type="dxa"/>
        <w:tblLayout w:type="fixed"/>
        <w:tblCellMar>
          <w:top w:w="28" w:type="dxa"/>
          <w:left w:w="28" w:type="dxa"/>
          <w:bottom w:w="28" w:type="dxa"/>
          <w:right w:w="28" w:type="dxa"/>
        </w:tblCellMar>
      </w:tblPr>
      <w:tblGrid>
        <w:gridCol w:w="375"/>
        <w:gridCol w:w="277"/>
        <w:gridCol w:w="234"/>
        <w:gridCol w:w="109"/>
        <w:gridCol w:w="109"/>
        <w:gridCol w:w="109"/>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307"/>
        <w:gridCol w:w="309"/>
        <w:gridCol w:w="271"/>
        <w:gridCol w:w="109"/>
        <w:gridCol w:w="109"/>
        <w:gridCol w:w="109"/>
        <w:gridCol w:w="307"/>
        <w:gridCol w:w="309"/>
        <w:gridCol w:w="271"/>
        <w:gridCol w:w="109"/>
        <w:gridCol w:w="109"/>
        <w:gridCol w:w="109"/>
        <w:gridCol w:w="307"/>
        <w:gridCol w:w="309"/>
        <w:gridCol w:w="271"/>
        <w:gridCol w:w="109"/>
        <w:gridCol w:w="109"/>
        <w:gridCol w:w="109"/>
        <w:gridCol w:w="162"/>
        <w:gridCol w:w="109"/>
        <w:gridCol w:w="271"/>
        <w:gridCol w:w="109"/>
        <w:gridCol w:w="109"/>
        <w:gridCol w:w="109"/>
        <w:gridCol w:w="214"/>
        <w:gridCol w:w="162"/>
        <w:gridCol w:w="316"/>
      </w:tblGrid>
      <w:tr>
        <w:trPr/>
        <w:tc>
          <w:tcPr>
            <w:tcW w:w="3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Revenue by geography</w:t>
      </w:r>
    </w:p>
    <w:tbl>
      <w:tblPr>
        <w:tblW w:w="10190" w:type="dxa"/>
        <w:jc w:val="left"/>
        <w:tblInd w:w="0" w:type="dxa"/>
        <w:tblLayout w:type="fixed"/>
        <w:tblCellMar>
          <w:top w:w="28" w:type="dxa"/>
          <w:left w:w="28" w:type="dxa"/>
          <w:bottom w:w="28" w:type="dxa"/>
          <w:right w:w="28" w:type="dxa"/>
        </w:tblCellMar>
      </w:tblPr>
      <w:tblGrid>
        <w:gridCol w:w="1125"/>
        <w:gridCol w:w="987"/>
        <w:gridCol w:w="992"/>
        <w:gridCol w:w="109"/>
        <w:gridCol w:w="109"/>
        <w:gridCol w:w="109"/>
        <w:gridCol w:w="211"/>
        <w:gridCol w:w="631"/>
        <w:gridCol w:w="109"/>
        <w:gridCol w:w="109"/>
        <w:gridCol w:w="109"/>
        <w:gridCol w:w="109"/>
        <w:gridCol w:w="240"/>
        <w:gridCol w:w="241"/>
        <w:gridCol w:w="301"/>
        <w:gridCol w:w="109"/>
        <w:gridCol w:w="109"/>
        <w:gridCol w:w="109"/>
        <w:gridCol w:w="211"/>
        <w:gridCol w:w="616"/>
        <w:gridCol w:w="109"/>
        <w:gridCol w:w="109"/>
        <w:gridCol w:w="109"/>
        <w:gridCol w:w="109"/>
        <w:gridCol w:w="232"/>
        <w:gridCol w:w="234"/>
        <w:gridCol w:w="271"/>
        <w:gridCol w:w="109"/>
        <w:gridCol w:w="109"/>
        <w:gridCol w:w="109"/>
        <w:gridCol w:w="211"/>
        <w:gridCol w:w="616"/>
        <w:gridCol w:w="109"/>
        <w:gridCol w:w="109"/>
        <w:gridCol w:w="109"/>
        <w:gridCol w:w="109"/>
        <w:gridCol w:w="232"/>
        <w:gridCol w:w="234"/>
        <w:gridCol w:w="316"/>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Americas (excluding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Europe, Middle East and Africa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43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i/>
          <w:color w:val="000000"/>
          <w:sz w:val="20"/>
        </w:rPr>
        <w:t>Net income (loss) from continuing operations attributable to NCR Voyix and Adjusted EBITDA</w:t>
      </w:r>
      <w:r>
        <w:rPr>
          <w:rFonts w:ascii="Times New Roman;serif" w:hAnsi="Times New Roman;serif"/>
          <w:b/>
          <w:i/>
          <w:color w:val="000000"/>
          <w:sz w:val="13"/>
        </w:rPr>
        <w:t xml:space="preserve">(2) </w:t>
      </w:r>
      <w:r>
        <w:rPr>
          <w:rFonts w:ascii="Times New Roman;serif" w:hAnsi="Times New Roman;serif"/>
          <w:b/>
          <w:i/>
          <w:color w:val="000000"/>
          <w:sz w:val="20"/>
        </w:rPr>
        <w:t>as a percentage of total revenue</w:t>
      </w:r>
    </w:p>
    <w:tbl>
      <w:tblPr>
        <w:tblW w:w="10205" w:type="dxa"/>
        <w:jc w:val="left"/>
        <w:tblInd w:w="0" w:type="dxa"/>
        <w:tblLayout w:type="fixed"/>
        <w:tblCellMar>
          <w:top w:w="28" w:type="dxa"/>
          <w:left w:w="28" w:type="dxa"/>
          <w:bottom w:w="28" w:type="dxa"/>
          <w:right w:w="28" w:type="dxa"/>
        </w:tblCellMar>
      </w:tblPr>
      <w:tblGrid>
        <w:gridCol w:w="549"/>
        <w:gridCol w:w="482"/>
        <w:gridCol w:w="485"/>
        <w:gridCol w:w="109"/>
        <w:gridCol w:w="109"/>
        <w:gridCol w:w="109"/>
        <w:gridCol w:w="211"/>
        <w:gridCol w:w="481"/>
        <w:gridCol w:w="109"/>
        <w:gridCol w:w="109"/>
        <w:gridCol w:w="109"/>
        <w:gridCol w:w="109"/>
        <w:gridCol w:w="211"/>
        <w:gridCol w:w="486"/>
        <w:gridCol w:w="109"/>
        <w:gridCol w:w="109"/>
        <w:gridCol w:w="109"/>
        <w:gridCol w:w="109"/>
        <w:gridCol w:w="211"/>
        <w:gridCol w:w="486"/>
        <w:gridCol w:w="109"/>
        <w:gridCol w:w="109"/>
        <w:gridCol w:w="109"/>
        <w:gridCol w:w="109"/>
        <w:gridCol w:w="255"/>
        <w:gridCol w:w="256"/>
        <w:gridCol w:w="271"/>
        <w:gridCol w:w="109"/>
        <w:gridCol w:w="109"/>
        <w:gridCol w:w="109"/>
        <w:gridCol w:w="254"/>
        <w:gridCol w:w="257"/>
        <w:gridCol w:w="271"/>
        <w:gridCol w:w="109"/>
        <w:gridCol w:w="109"/>
        <w:gridCol w:w="109"/>
        <w:gridCol w:w="265"/>
        <w:gridCol w:w="265"/>
        <w:gridCol w:w="271"/>
        <w:gridCol w:w="109"/>
        <w:gridCol w:w="109"/>
        <w:gridCol w:w="109"/>
        <w:gridCol w:w="224"/>
        <w:gridCol w:w="144"/>
        <w:gridCol w:w="297"/>
        <w:gridCol w:w="110"/>
        <w:gridCol w:w="110"/>
        <w:gridCol w:w="110"/>
        <w:gridCol w:w="153"/>
        <w:gridCol w:w="118"/>
        <w:gridCol w:w="356"/>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attributable to NCR Voyix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pPr>
      <w:r>
        <w:rPr>
          <w:rFonts w:ascii="Times New Roman;serif" w:hAnsi="Times New Roman;serif"/>
          <w:b w:val="false"/>
          <w:color w:val="000000"/>
          <w:sz w:val="9"/>
        </w:rPr>
        <w:t xml:space="preserve">(2) </w:t>
      </w:r>
      <w:r>
        <w:rPr>
          <w:rFonts w:ascii="Times New Roman;serif" w:hAnsi="Times New Roman;serif"/>
          <w:b w:val="false"/>
          <w:color w:val="000000"/>
          <w:sz w:val="14"/>
        </w:rPr>
        <w:t>Refer to our definition of Adjusted EBITDA in the section entitled “Non-GAAP Financial Measures and Use of Certain Terms”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color w:val="000000"/>
          <w:sz w:val="20"/>
          <w:u w:val="single"/>
        </w:rPr>
      </w:pPr>
      <w:r>
        <w:rPr>
          <w:rFonts w:ascii="Times New Roman;serif" w:hAnsi="Times New Roman;serif"/>
          <w:b/>
          <w:color w:val="000000"/>
          <w:sz w:val="20"/>
          <w:u w:val="single"/>
        </w:rPr>
        <w:t>Non-GAAP Financial Measures and Use of Certain Terms: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Adjusted Earnings Before Interest, Taxes, Depreciation and Amortization (“Adjusted EBITDA”) </w:t>
      </w:r>
      <w:r>
        <w:rPr>
          <w:rFonts w:ascii="Times New Roman;serif" w:hAnsi="Times New Roman;serif"/>
          <w:b w:val="false"/>
          <w:color w:val="000000"/>
          <w:sz w:val="20"/>
        </w:rPr>
        <w:t>Our management uses the non-GAAP measure Adjusted EBITDA because it provides useful information to investors as an indicator of strength and performance of the Company’s ongoing business operations, including funding discretionary spending such as capital expenditures, strategic acquisitions, and other investments. We determine Adjusted EBITDA based on GAAP net income (loss) from continuing operations attributable to NCR Voyix plus interest expense, net; plus income tax expense (benefit); plus depreciation and amortization (excluding acquisition-related amortization of intangibles); plus stock-based compensation expense; plus pension 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strategic initiative costs and litigation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income (loss) from continuing operations attributable to NCR Voyix. This format is useful to investors because it allows analysis and comparability of operating trends. It also includes the same information that is used by our management to make decisions regarding the segments and to assess our financial performance. Refer to the table below for the reconciliations of net income (loss) from continuing operations attributable to NCR Voyix (GAAP) to Adjusted EBITDA (non-GAAP).</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Our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w:t>
      </w:r>
    </w:p>
    <w:tbl>
      <w:tblPr>
        <w:tblW w:w="10091" w:type="dxa"/>
        <w:jc w:val="left"/>
        <w:tblInd w:w="0" w:type="dxa"/>
        <w:tblLayout w:type="fixed"/>
        <w:tblCellMar>
          <w:top w:w="28" w:type="dxa"/>
          <w:left w:w="28" w:type="dxa"/>
          <w:bottom w:w="28" w:type="dxa"/>
          <w:right w:w="28" w:type="dxa"/>
        </w:tblCellMar>
      </w:tblPr>
      <w:tblGrid>
        <w:gridCol w:w="2489"/>
        <w:gridCol w:w="2184"/>
        <w:gridCol w:w="2196"/>
        <w:gridCol w:w="211"/>
        <w:gridCol w:w="481"/>
        <w:gridCol w:w="109"/>
        <w:gridCol w:w="109"/>
        <w:gridCol w:w="109"/>
        <w:gridCol w:w="109"/>
        <w:gridCol w:w="211"/>
        <w:gridCol w:w="541"/>
        <w:gridCol w:w="109"/>
        <w:gridCol w:w="109"/>
        <w:gridCol w:w="109"/>
        <w:gridCol w:w="109"/>
        <w:gridCol w:w="211"/>
        <w:gridCol w:w="541"/>
        <w:gridCol w:w="154"/>
      </w:tblGrid>
      <w:tr>
        <w:trPr/>
        <w:tc>
          <w:tcPr>
            <w:tcW w:w="248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from continuing operations attributable to NCR Voyix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mark-to-market adjustments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amortization of intangibles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w:t>
            </w:r>
            <w:r>
              <w:rPr>
                <w:rFonts w:ascii="Times New Roman;serif" w:hAnsi="Times New Roman;serif"/>
                <w:b w:val="false"/>
                <w:color w:val="000000"/>
                <w:sz w:val="13"/>
              </w:rPr>
              <w:t>(2)</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debt extinguishment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Transformation and restructuring costs</w:t>
            </w:r>
            <w:r>
              <w:rPr>
                <w:rFonts w:ascii="Times New Roman;serif" w:hAnsi="Times New Roman;serif"/>
                <w:b w:val="false"/>
                <w:color w:val="000000"/>
                <w:sz w:val="13"/>
              </w:rPr>
              <w:t>(3)</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Separation costs</w:t>
            </w:r>
            <w:r>
              <w:rPr>
                <w:rFonts w:ascii="Times New Roman;serif" w:hAnsi="Times New Roman;serif"/>
                <w:b w:val="false"/>
                <w:color w:val="000000"/>
                <w:sz w:val="13"/>
              </w:rPr>
              <w:t>(4)</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businesses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devaluation</w:t>
            </w:r>
            <w:r>
              <w:rPr>
                <w:rFonts w:ascii="Times New Roman;serif" w:hAnsi="Times New Roman;serif"/>
                <w:b w:val="false"/>
                <w:color w:val="000000"/>
                <w:sz w:val="13"/>
              </w:rPr>
              <w:t>(5)</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Fraudulent ACH disbursements</w:t>
            </w:r>
            <w:r>
              <w:rPr>
                <w:rFonts w:ascii="Times New Roman;serif" w:hAnsi="Times New Roman;serif"/>
                <w:b w:val="false"/>
                <w:color w:val="000000"/>
                <w:sz w:val="13"/>
              </w:rPr>
              <w:t>(6)</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Cyber ransomware incident recovery costs</w:t>
            </w:r>
            <w:r>
              <w:rPr>
                <w:rFonts w:ascii="Times New Roman;serif" w:hAnsi="Times New Roman;serif"/>
                <w:b w:val="false"/>
                <w:color w:val="000000"/>
                <w:sz w:val="13"/>
              </w:rPr>
              <w:t>(7)</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initiatives</w:t>
            </w:r>
            <w:r>
              <w:rPr>
                <w:rFonts w:ascii="Times New Roman;serif" w:hAnsi="Times New Roman;serif"/>
                <w:b w:val="false"/>
                <w:color w:val="000000"/>
                <w:sz w:val="13"/>
              </w:rPr>
              <w:t>(8)</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costs</w:t>
            </w:r>
            <w:r>
              <w:rPr>
                <w:rFonts w:ascii="Times New Roman;serif" w:hAnsi="Times New Roman;serif"/>
                <w:b w:val="false"/>
                <w:color w:val="000000"/>
                <w:sz w:val="13"/>
              </w:rPr>
              <w:t>(9)</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rFonts w:ascii="Times New Roman;serif" w:hAnsi="Times New Roman;serif"/>
          <w:b w:val="false"/>
          <w:color w:val="000000"/>
          <w:sz w:val="16"/>
        </w:rPr>
        <w:t xml:space="preserve">During the three months ended September 30, 2023, it was determined that the transactions underlying the unrealized gains on terminated interest rate swap and cap agreements reported in Accumulated other comprehensive income were probable of not occurring under ASC 815, </w:t>
      </w:r>
      <w:r>
        <w:rPr>
          <w:rFonts w:ascii="Times New Roman;serif" w:hAnsi="Times New Roman;serif"/>
          <w:b w:val="false"/>
          <w:i/>
          <w:color w:val="000000"/>
          <w:sz w:val="16"/>
        </w:rPr>
        <w:t>Derivatives and Hedging</w:t>
      </w:r>
      <w:r>
        <w:rPr>
          <w:rFonts w:ascii="Times New Roman;serif" w:hAnsi="Times New Roman;serif"/>
          <w:b w:val="false"/>
          <w:color w:val="000000"/>
          <w:sz w:val="16"/>
        </w:rPr>
        <w:t>. As such, $18 million of unrealized gains were recognized in Interest expense. Refer to Note 15, “Derivatives and Hedging Instruments” in the Notes to Consolidated Financial Statements in Item 8 of Part II of this Report.</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professional fees, retention bonuses, and other costs incurred related to acquisitions, which are considered non-operational in nature.</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 xml:space="preserve">Represents integration, severance, and other exit and disposal costs, which are considered non-operational in nature. Included in transformation and restructuring costs for the year ended December 31, 2025 was a gain of $10 million related to the sale of property, plant and equipment. </w:t>
      </w:r>
    </w:p>
    <w:p>
      <w:pPr>
        <w:pStyle w:val="TextBody"/>
        <w:bidi w:val="0"/>
        <w:spacing w:lineRule="auto" w:line="288" w:before="0" w:after="0"/>
        <w:jc w:val="both"/>
        <w:rPr/>
      </w:pPr>
      <w:r>
        <w:rPr>
          <w:rFonts w:ascii="Times New Roman;serif" w:hAnsi="Times New Roman;serif"/>
          <w:b w:val="false"/>
          <w:color w:val="000000"/>
          <w:sz w:val="10"/>
        </w:rPr>
        <w:t xml:space="preserve">(4) </w:t>
      </w:r>
      <w:r>
        <w:rPr>
          <w:rFonts w:ascii="Times New Roman;serif" w:hAnsi="Times New Roman;serif"/>
          <w:b w:val="false"/>
          <w:color w:val="000000"/>
          <w:sz w:val="16"/>
        </w:rPr>
        <w:t>Represents costs incurred as a result of the Spin-Off. Professional fees to effect the Spin-Off including separation management, organizational design, and legal fees have been classified within discontinued operations through October 16, 2023, the separation date.</w:t>
      </w:r>
    </w:p>
    <w:p>
      <w:pPr>
        <w:pStyle w:val="TextBody"/>
        <w:bidi w:val="0"/>
        <w:spacing w:lineRule="auto" w:line="288" w:before="0" w:after="0"/>
        <w:jc w:val="both"/>
        <w:rPr/>
      </w:pPr>
      <w:r>
        <w:rPr>
          <w:rFonts w:ascii="Times New Roman;serif" w:hAnsi="Times New Roman;serif"/>
          <w:b w:val="false"/>
          <w:color w:val="000000"/>
          <w:sz w:val="10"/>
        </w:rPr>
        <w:t xml:space="preserve">(5) </w:t>
      </w:r>
      <w:r>
        <w:rPr>
          <w:rFonts w:ascii="Times New Roman;serif" w:hAnsi="Times New Roman;serif"/>
          <w:b w:val="false"/>
          <w:color w:val="000000"/>
          <w:sz w:val="16"/>
        </w:rPr>
        <w:t>Represents gains and losses recognized during the year due to changes in valuation of the Lebanese pound and the Egyptian pound.</w:t>
      </w:r>
    </w:p>
    <w:p>
      <w:pPr>
        <w:pStyle w:val="TextBody"/>
        <w:bidi w:val="0"/>
        <w:spacing w:lineRule="auto" w:line="288" w:before="0" w:after="0"/>
        <w:jc w:val="both"/>
        <w:rPr/>
      </w:pPr>
      <w:r>
        <w:rPr>
          <w:rFonts w:ascii="Times New Roman;serif" w:hAnsi="Times New Roman;serif"/>
          <w:b w:val="false"/>
          <w:color w:val="000000"/>
          <w:sz w:val="10"/>
        </w:rPr>
        <w:t xml:space="preserve">(6) </w:t>
      </w:r>
      <w:r>
        <w:rPr>
          <w:rFonts w:ascii="Times New Roman;serif" w:hAnsi="Times New Roman;serif"/>
          <w:b w:val="false"/>
          <w:color w:val="000000"/>
          <w:sz w:val="16"/>
        </w:rPr>
        <w:t>Represents company identified fraudulent ACH disbursements from a company bank account. Additional details regarding this item are discussed in Note 1, “Basis of Presentation and Significant Accounting Policies” in the Notes to Consolidated Financial Statements in Item 8 of Part II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Represents expenses to respond to, remediate and investigate the April 13, 2023 cyber ransomware incident, net of insurance recoveries, which is considered a nonrecurring special item. Additional details regarding this cyber ransomware incident are discussed in Note 1, “Basis of Presentation and Significant Accounting Policies” in the Notes to Consolidated Financial Statements in Item 8 of Part II of this Report.</w:t>
      </w:r>
    </w:p>
    <w:p>
      <w:pPr>
        <w:pStyle w:val="TextBody"/>
        <w:bidi w:val="0"/>
        <w:spacing w:lineRule="auto" w:line="288" w:before="0" w:after="0"/>
        <w:jc w:val="both"/>
        <w:rPr/>
      </w:pPr>
      <w:r>
        <w:rPr>
          <w:rFonts w:ascii="Times New Roman;serif" w:hAnsi="Times New Roman;serif"/>
          <w:b w:val="false"/>
          <w:color w:val="000000"/>
          <w:sz w:val="10"/>
        </w:rPr>
        <w:t xml:space="preserve">(8) </w:t>
      </w:r>
      <w:r>
        <w:rPr>
          <w:rFonts w:ascii="Times New Roman;serif" w:hAnsi="Times New Roman;serif"/>
          <w:b w:val="false"/>
          <w:color w:val="000000"/>
          <w:sz w:val="16"/>
        </w:rPr>
        <w:t>Represents professional fees related to strategic initiatives which are considered non-operational in nature, as well as certain costs incurred related to the Hardware Business transition.</w:t>
      </w:r>
    </w:p>
    <w:p>
      <w:pPr>
        <w:pStyle w:val="TextBody"/>
        <w:bidi w:val="0"/>
        <w:spacing w:lineRule="auto" w:line="288" w:before="0" w:after="0"/>
        <w:jc w:val="both"/>
        <w:rPr/>
      </w:pPr>
      <w:r>
        <w:rPr>
          <w:rFonts w:ascii="Times New Roman;serif" w:hAnsi="Times New Roman;serif"/>
          <w:b w:val="false"/>
          <w:color w:val="000000"/>
          <w:sz w:val="10"/>
        </w:rPr>
        <w:t xml:space="preserve">(9) </w:t>
      </w:r>
      <w:r>
        <w:rPr>
          <w:rFonts w:ascii="Times New Roman;serif" w:hAnsi="Times New Roman;serif"/>
          <w:b w:val="false"/>
          <w:color w:val="000000"/>
          <w:sz w:val="16"/>
        </w:rPr>
        <w:t>Represents costs related to a certain litigation matter, net of expected indemnity recoveries from NCR Atleos, as discussed in Note 11, “Commitments and Contingencies” in the Notes to Consolidated Financial Statements in Item 8 of Part II of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Other Performance Metrics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Adjusted free cash flow-unrestricted </w:t>
      </w:r>
      <w:r>
        <w:rPr>
          <w:rFonts w:ascii="Times New Roman;serif" w:hAnsi="Times New Roman;serif"/>
          <w:b w:val="false"/>
          <w:color w:val="000000"/>
          <w:sz w:val="20"/>
        </w:rPr>
        <w:t>NCR Voyix management uses the non-GAAP measure called “adjusted free cash flow-unrestricted” to assess the financial performance of the Company. We define adjusted free cash flow-unrestricted as net cash provided by (used in) operating activities less capital expenditures for property, plant and equipment and capitalized software, plus/minus collections of previously sold trade receivables purchased from third parties, restricted cash settlement activity, cash activity related to acceleration projects, cash taxes paid for the Digital Banking Sale, cash activity related to environmental discontinued operations plus acquisition-related items, and pension contributions and settlements.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adjusted free cash flow-unrestricted information is useful for investors because it relates the operating cash flows from the Company’s operations to the capital that is spent to continue and improve business operations. In particular, adjusted free cash flow-unrestricted indicates the amount of cash available after capital expenditures for, among other things, investments in the Company’s existing businesses, strategic acquisitions and repayment of debt obligations. Adjusted free cash flow does not represent the residual cash flow available for discretionary expenditures, since there may be other non-discretionary expenditures that are not deducted from the measure. Adjusted free cash flow-unrestricted does not have a uniform definition under GAAP, and therefore the Company’s definition may differ from other companies’ definitions of this measure. These non-GAAP measures should not be considered a substitute for, or superior to, cash flows from operating activities under GAAP.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Refer to the section titled “Financial Condition, Liquidity and Capital Resources” in Part I, Item 7 of this Form 10-K for additional information.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Annualized Recurring Revenue (“ARR”) </w:t>
      </w:r>
      <w:r>
        <w:rPr>
          <w:rFonts w:ascii="Times New Roman;serif" w:hAnsi="Times New Roman;serif"/>
          <w:b w:val="false"/>
          <w:color w:val="000000"/>
          <w:sz w:val="20"/>
        </w:rPr>
        <w:t xml:space="preserve">ARR is calculated using recurring revenue, excluding software licenses sold as a subscription, for the last three months times four, plus the rolling four quarters for term-based software license arrangements that include customer termination rights. The Company believes this metric may be useful to investors in evaluating the achievement of strategic goals related to the conversion of the retail and restaurant businesses to recurring revenue streams over time. ARR is an operating metric and does not necessarily reflect the pattern of revenue recognition in accordance with GAAP and should not be considered a substitute for GAAP revenue. ARR does not have a uniform definition and, therefore, the Company’s definitions may differ from other companies’ definitions of this measure. </w:t>
      </w:r>
    </w:p>
    <w:p>
      <w:pPr>
        <w:pStyle w:val="TextBody"/>
        <w:bidi w:val="0"/>
        <w:spacing w:before="0" w:after="0"/>
        <w:jc w:val="both"/>
        <w:rPr/>
      </w:pPr>
      <w:r>
        <w:rPr/>
      </w:r>
    </w:p>
    <w:tbl>
      <w:tblPr>
        <w:tblW w:w="6671" w:type="dxa"/>
        <w:jc w:val="left"/>
        <w:tblInd w:w="0" w:type="dxa"/>
        <w:tblLayout w:type="fixed"/>
        <w:tblCellMar>
          <w:top w:w="28" w:type="dxa"/>
          <w:left w:w="28" w:type="dxa"/>
          <w:bottom w:w="28" w:type="dxa"/>
          <w:right w:w="28" w:type="dxa"/>
        </w:tblCellMar>
      </w:tblPr>
      <w:tblGrid>
        <w:gridCol w:w="918"/>
        <w:gridCol w:w="806"/>
        <w:gridCol w:w="811"/>
        <w:gridCol w:w="109"/>
        <w:gridCol w:w="109"/>
        <w:gridCol w:w="109"/>
        <w:gridCol w:w="211"/>
        <w:gridCol w:w="631"/>
        <w:gridCol w:w="109"/>
        <w:gridCol w:w="109"/>
        <w:gridCol w:w="109"/>
        <w:gridCol w:w="109"/>
        <w:gridCol w:w="211"/>
        <w:gridCol w:w="616"/>
        <w:gridCol w:w="109"/>
        <w:gridCol w:w="109"/>
        <w:gridCol w:w="109"/>
        <w:gridCol w:w="109"/>
        <w:gridCol w:w="224"/>
        <w:gridCol w:w="224"/>
        <w:gridCol w:w="557"/>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recurring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color w:val="000000"/>
                <w:sz w:val="20"/>
              </w:rPr>
              <w:t>Restaurants</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recurring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rFonts w:ascii="Times New Roman;serif" w:hAnsi="Times New Roman;serif"/>
          <w:b w:val="false"/>
          <w:color w:val="000000"/>
          <w:sz w:val="16"/>
        </w:rPr>
        <w:t>Annualized recurring revenue for 2024 includes a $6 million impact to revenue related to a divested non-strategic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results for the years December 31, 2025, 2024 and 2023, the relative percentage that those amounts represent to revenue, and the change in those amounts year-over-year. </w:t>
      </w:r>
    </w:p>
    <w:p>
      <w:pPr>
        <w:pStyle w:val="TextBody"/>
        <w:bidi w:val="0"/>
        <w:spacing w:before="0" w:after="0"/>
        <w:jc w:val="left"/>
        <w:rPr/>
      </w:pPr>
      <w:r>
        <w:rPr/>
      </w:r>
    </w:p>
    <w:tbl>
      <w:tblPr>
        <w:tblW w:w="10208" w:type="dxa"/>
        <w:jc w:val="left"/>
        <w:tblInd w:w="0" w:type="dxa"/>
        <w:tblLayout w:type="fixed"/>
        <w:tblCellMar>
          <w:top w:w="28" w:type="dxa"/>
          <w:left w:w="28" w:type="dxa"/>
          <w:bottom w:w="28" w:type="dxa"/>
          <w:right w:w="28" w:type="dxa"/>
        </w:tblCellMar>
      </w:tblPr>
      <w:tblGrid>
        <w:gridCol w:w="662"/>
        <w:gridCol w:w="413"/>
        <w:gridCol w:w="216"/>
        <w:gridCol w:w="211"/>
        <w:gridCol w:w="481"/>
        <w:gridCol w:w="109"/>
        <w:gridCol w:w="109"/>
        <w:gridCol w:w="109"/>
        <w:gridCol w:w="109"/>
        <w:gridCol w:w="211"/>
        <w:gridCol w:w="466"/>
        <w:gridCol w:w="109"/>
        <w:gridCol w:w="109"/>
        <w:gridCol w:w="109"/>
        <w:gridCol w:w="109"/>
        <w:gridCol w:w="211"/>
        <w:gridCol w:w="616"/>
        <w:gridCol w:w="109"/>
        <w:gridCol w:w="109"/>
        <w:gridCol w:w="109"/>
        <w:gridCol w:w="109"/>
        <w:gridCol w:w="307"/>
        <w:gridCol w:w="309"/>
        <w:gridCol w:w="271"/>
        <w:gridCol w:w="109"/>
        <w:gridCol w:w="109"/>
        <w:gridCol w:w="109"/>
        <w:gridCol w:w="307"/>
        <w:gridCol w:w="309"/>
        <w:gridCol w:w="271"/>
        <w:gridCol w:w="109"/>
        <w:gridCol w:w="109"/>
        <w:gridCol w:w="109"/>
        <w:gridCol w:w="307"/>
        <w:gridCol w:w="309"/>
        <w:gridCol w:w="271"/>
        <w:gridCol w:w="109"/>
        <w:gridCol w:w="109"/>
        <w:gridCol w:w="109"/>
        <w:gridCol w:w="286"/>
        <w:gridCol w:w="195"/>
        <w:gridCol w:w="271"/>
        <w:gridCol w:w="109"/>
        <w:gridCol w:w="109"/>
        <w:gridCol w:w="109"/>
        <w:gridCol w:w="214"/>
        <w:gridCol w:w="162"/>
        <w:gridCol w:w="316"/>
      </w:tblGrid>
      <w:tr>
        <w:trPr/>
        <w:tc>
          <w:tcPr>
            <w:tcW w:w="66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Percentage of Revenue</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gross margin</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gross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margin</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The percentage of revenue is calculated for each line item divided by total revenue, except for product gross margin, service gross margin and total gross margin, which are divided by the related component of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80"/>
        <w:gridCol w:w="280"/>
        <w:gridCol w:w="265"/>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307"/>
        <w:gridCol w:w="309"/>
        <w:gridCol w:w="273"/>
        <w:gridCol w:w="109"/>
        <w:gridCol w:w="109"/>
        <w:gridCol w:w="109"/>
        <w:gridCol w:w="307"/>
        <w:gridCol w:w="309"/>
        <w:gridCol w:w="273"/>
        <w:gridCol w:w="109"/>
        <w:gridCol w:w="109"/>
        <w:gridCol w:w="109"/>
        <w:gridCol w:w="307"/>
        <w:gridCol w:w="309"/>
        <w:gridCol w:w="273"/>
        <w:gridCol w:w="109"/>
        <w:gridCol w:w="109"/>
        <w:gridCol w:w="109"/>
        <w:gridCol w:w="224"/>
        <w:gridCol w:w="166"/>
        <w:gridCol w:w="328"/>
        <w:gridCol w:w="112"/>
        <w:gridCol w:w="112"/>
        <w:gridCol w:w="112"/>
        <w:gridCol w:w="214"/>
        <w:gridCol w:w="173"/>
        <w:gridCol w:w="387"/>
      </w:tblGrid>
      <w:tr>
        <w:trPr/>
        <w:tc>
          <w:tcPr>
            <w:tcW w:w="3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Product revenue includes our hardware and software license revenue streams. Service revenue includes SaaS solutions, software maintenance, professional services, installation services, payment processing and hardware maintenance.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decreased 5% for the year ended December 31, 2025 compared to the year ended December 31, 2024. Product revenue decreased 11% due to a decline in hardware revenues, as well as a decrease in software license revenue for one-time revenue recognized in 2024. Service revenue decreased 2% due to a decrease in one-time installation services revenue, professional services revenue and SaaS solutions revenue, offset by an increase in payment processing revenue and hardware maintenance revenue as compared to the prior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revenue decreased 11% for the year ended December 31, 2024 compared to the year ended December 31, 2023. Product revenue decreased 25% due to a decline in hardware revenues, as well as a decrease in software license revenue for one-time revenue recognized in 2023. Service revenue decreased 3% comparing the year ended 2024 to 2023 due to a decrease in payment processing service revenue due to the divestiture at the end of 2023. The decline in service revenue was also related to revenue from non-recurring installation services in 2023, slightly offset by an increase in hardware maintenance and professional services revenue.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Gross Margin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22"/>
        <w:gridCol w:w="436"/>
        <w:gridCol w:w="436"/>
        <w:gridCol w:w="211"/>
        <w:gridCol w:w="481"/>
        <w:gridCol w:w="109"/>
        <w:gridCol w:w="109"/>
        <w:gridCol w:w="109"/>
        <w:gridCol w:w="109"/>
        <w:gridCol w:w="211"/>
        <w:gridCol w:w="466"/>
        <w:gridCol w:w="109"/>
        <w:gridCol w:w="109"/>
        <w:gridCol w:w="109"/>
        <w:gridCol w:w="109"/>
        <w:gridCol w:w="211"/>
        <w:gridCol w:w="466"/>
        <w:gridCol w:w="109"/>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24"/>
        <w:gridCol w:w="195"/>
        <w:gridCol w:w="441"/>
        <w:gridCol w:w="119"/>
        <w:gridCol w:w="119"/>
        <w:gridCol w:w="119"/>
        <w:gridCol w:w="216"/>
        <w:gridCol w:w="195"/>
        <w:gridCol w:w="502"/>
      </w:tblGrid>
      <w:tr>
        <w:trPr/>
        <w:tc>
          <w:tcPr>
            <w:tcW w:w="5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Percentage of Revenue</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gross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gross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margin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The percentage of revenue is calculated for each line item divided by the related component of revenue.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Gross margin as a percentage of revenue was </w:t>
      </w:r>
      <w:r>
        <w:rPr>
          <w:rFonts w:ascii="Times New Roman;serif" w:hAnsi="Times New Roman;serif"/>
          <w:b w:val="false"/>
          <w:color w:val="000000"/>
          <w:sz w:val="20"/>
        </w:rPr>
        <w:t>23.6% in 2025</w:t>
      </w:r>
      <w:r>
        <w:rPr>
          <w:color w:val="000000"/>
          <w:shd w:fill="FFFFFF" w:val="clear"/>
        </w:rPr>
        <w:t xml:space="preserve"> </w:t>
      </w:r>
      <w:r>
        <w:rPr>
          <w:rFonts w:ascii="Times New Roman;serif" w:hAnsi="Times New Roman;serif"/>
          <w:b w:val="false"/>
          <w:color w:val="000000"/>
          <w:sz w:val="20"/>
          <w:shd w:fill="FFFFFF" w:val="clear"/>
        </w:rPr>
        <w:t xml:space="preserve">compared to 20.5% in </w:t>
      </w:r>
      <w:r>
        <w:rPr>
          <w:rFonts w:ascii="Times New Roman;serif" w:hAnsi="Times New Roman;serif"/>
          <w:b w:val="false"/>
          <w:color w:val="000000"/>
          <w:sz w:val="20"/>
        </w:rPr>
        <w:t xml:space="preserve">2024. The overall increase in gross margin as a percentage of revenue was driven by an increase in service gross margin, mainly stemming from improved margins for SaaS solutions, professional services, software maintenance and payment processing revenue compared to the prior year. These improvements in service gross margin were primarily due to the cost reduction initiatives implemented by the Company beginning in 2024, as well as a reduction in transformation and restructuring and strategic initiatives costs as compared to the prior year. </w:t>
      </w:r>
      <w:r>
        <w:rPr>
          <w:rFonts w:ascii="Times New Roman;serif" w:hAnsi="Times New Roman;serif"/>
          <w:b w:val="false"/>
          <w:color w:val="000000"/>
          <w:sz w:val="20"/>
          <w:shd w:fill="FFFFFF" w:val="clear"/>
        </w:rPr>
        <w:t>Included in g</w:t>
      </w:r>
      <w:r>
        <w:rPr>
          <w:rFonts w:ascii="Times New Roman;serif" w:hAnsi="Times New Roman;serif"/>
          <w:b w:val="false"/>
          <w:color w:val="000000"/>
          <w:sz w:val="20"/>
        </w:rPr>
        <w:t xml:space="preserve">ross margin for the year ended December 31, 2025 was $18 million related to transformation and restructuring costs, $6 million of strategic initiative costs, $4 million of stock-based compensation expense and $12 million related to amortization of acquisition-related intangible assets. Gross margin for the year ended December 31, 2024 included $46 million related to transformation and restructuring costs, $20 million of strategic initiative costs, $10 million of stock-based compensation expense and $14 million related to amortization of acquisition-related intangible assets, offset by $5 million of net recoveries related to the cyber ransomware incident.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Gross margin as a percentage of revenue was 20.5% in 2024 compared to 20.9% in 2023 due to a decline in gross margin related to payment processing revenue from the divestiture at the end of 2023, as well as one-time software license revenue and non-recurring installation service revenue recognized in 2023. Additionally, gross margin for the year ended December 31, 2024 included $46 million related to transformation and restructuring costs, $20 million of strategic initiative costs, $10 million of stock-based compensation expense and $14 million related to amortization of acquisition-related intangible assets, offset by $5 million of net recoveries related to the cyber ransomware incident. Gross margin for the year ended December 31, 2023 included $4 million related to transformation and restructuring costs, $15 million of stock-based compensation expense, $33 million related to amortization of acquisition-related intangible assets, $31 million in separation-related costs and $16 million in cyber ransomware recovery costs.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2"/>
        <w:gridCol w:w="564"/>
        <w:gridCol w:w="570"/>
        <w:gridCol w:w="211"/>
        <w:gridCol w:w="481"/>
        <w:gridCol w:w="109"/>
        <w:gridCol w:w="109"/>
        <w:gridCol w:w="109"/>
        <w:gridCol w:w="109"/>
        <w:gridCol w:w="211"/>
        <w:gridCol w:w="466"/>
        <w:gridCol w:w="109"/>
        <w:gridCol w:w="109"/>
        <w:gridCol w:w="109"/>
        <w:gridCol w:w="109"/>
        <w:gridCol w:w="211"/>
        <w:gridCol w:w="466"/>
        <w:gridCol w:w="109"/>
        <w:gridCol w:w="109"/>
        <w:gridCol w:w="109"/>
        <w:gridCol w:w="109"/>
        <w:gridCol w:w="255"/>
        <w:gridCol w:w="256"/>
        <w:gridCol w:w="272"/>
        <w:gridCol w:w="109"/>
        <w:gridCol w:w="109"/>
        <w:gridCol w:w="109"/>
        <w:gridCol w:w="255"/>
        <w:gridCol w:w="256"/>
        <w:gridCol w:w="272"/>
        <w:gridCol w:w="109"/>
        <w:gridCol w:w="109"/>
        <w:gridCol w:w="109"/>
        <w:gridCol w:w="255"/>
        <w:gridCol w:w="256"/>
        <w:gridCol w:w="272"/>
        <w:gridCol w:w="109"/>
        <w:gridCol w:w="109"/>
        <w:gridCol w:w="109"/>
        <w:gridCol w:w="174"/>
        <w:gridCol w:w="131"/>
        <w:gridCol w:w="327"/>
        <w:gridCol w:w="112"/>
        <w:gridCol w:w="112"/>
        <w:gridCol w:w="112"/>
        <w:gridCol w:w="214"/>
        <w:gridCol w:w="173"/>
        <w:gridCol w:w="390"/>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7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were $453 million in 2025 as compared to $458 million in 2024. As a percentage of revenue, selling, general and administrative expenses were 16.9% in 2025 and 16.3% in 2024. The overall decrease in selling, general and administrative expenses in 2025 is due to the Company’s cost reduction initiative implemented beginning in 2024, as well as the impact of the now terminated transition services agreement related to the Digital Banking Sale. Additionally, in 2025, selling, general and administrative expenses included $96 million of transformation and restructuring costs, $10 million of strategic initiative costs, $25 million of stock-based compensation expense and $13 million of acquisition-related amortization of intangibles. In 2024, selling, general and administrative expenses included $55 million of transformation and restructuring costs, $26 million related to strategic initiative costs, $20 million of stock-based compensation expense, $14 million of acquisition-related amortization of intangibles and $8 million in separation-related costs, offset by $5 million in net recoveries related to the fraudulent ACH matter and $8 million of net recoveries related to the cyber ransomware incident.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$458 million in 2024, compared to $658 million in 2023. As a percentage of revenue, selling, general and administrative expenses were 16.3% in 2024 compared to 20.8% in 2023. In 2024, selling, general and administrative expenses included $55 million of transformation and restructuring costs, $26 million related to strategic initiative costs, $20 million of stock-based compensation expense, $14 million of acquisition-related amortization of intangibles and $8 million in separation-related costs, offset by $5 million in net recoveries related to the fraudulent ACH matter and $8 million of net recoveries related to the cyber ransomware incident. In 2023, selling, general and administrative expenses included $21 million of transformation and restructuring costs, $23 million in fraudulent ACH disbursement costs, $113 million of stock-based compensation expense, $8 million of acquisition-related amortization of intangibles, $1 million of acquisition-related costs, $54 million in separation-related costs and $2 million of costs related to the divestitures of certain non-strategic businesses. Excluding these items, selling, general and administrative expenses decreased from 2023 to 2024 due to cost mitigation actions implemented, including a reduction in employee-related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Research and Development Expenses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7"/>
        <w:gridCol w:w="612"/>
        <w:gridCol w:w="617"/>
        <w:gridCol w:w="211"/>
        <w:gridCol w:w="481"/>
        <w:gridCol w:w="109"/>
        <w:gridCol w:w="109"/>
        <w:gridCol w:w="109"/>
        <w:gridCol w:w="109"/>
        <w:gridCol w:w="211"/>
        <w:gridCol w:w="466"/>
        <w:gridCol w:w="109"/>
        <w:gridCol w:w="109"/>
        <w:gridCol w:w="109"/>
        <w:gridCol w:w="109"/>
        <w:gridCol w:w="211"/>
        <w:gridCol w:w="466"/>
        <w:gridCol w:w="109"/>
        <w:gridCol w:w="109"/>
        <w:gridCol w:w="109"/>
        <w:gridCol w:w="109"/>
        <w:gridCol w:w="203"/>
        <w:gridCol w:w="203"/>
        <w:gridCol w:w="274"/>
        <w:gridCol w:w="110"/>
        <w:gridCol w:w="110"/>
        <w:gridCol w:w="110"/>
        <w:gridCol w:w="203"/>
        <w:gridCol w:w="203"/>
        <w:gridCol w:w="274"/>
        <w:gridCol w:w="110"/>
        <w:gridCol w:w="110"/>
        <w:gridCol w:w="110"/>
        <w:gridCol w:w="203"/>
        <w:gridCol w:w="203"/>
        <w:gridCol w:w="274"/>
        <w:gridCol w:w="109"/>
        <w:gridCol w:w="109"/>
        <w:gridCol w:w="109"/>
        <w:gridCol w:w="186"/>
        <w:gridCol w:w="153"/>
        <w:gridCol w:w="382"/>
        <w:gridCol w:w="115"/>
        <w:gridCol w:w="115"/>
        <w:gridCol w:w="115"/>
        <w:gridCol w:w="214"/>
        <w:gridCol w:w="173"/>
        <w:gridCol w:w="445"/>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9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$155 million in 2025, compared to $157 million in 2024. As a percentage of revenue, these costs were 5.8% in 2025 and 5.6% in 2024. The overall decrease in research and development expenses in 2025 is due to the Company’s cost reduction initiative implemented beginning in 2024. Additionally, in 2025, research and development expenses included $13 million of costs related to our transformation and restructuring initiatives and $5 million of stock-based compensation expense. In 2024, research and development expenses included $7 million of transformation and restructuring costs, $10 million of stock-based compensation expense and $3 million of separation-related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$157 million in 2024, compared to $139 million in 2023. As a percentage of revenue, these costs were 5.6% in 2024 compared to 4.4% in 2023. In 2024, research and development expenses included $7 million of transformation and restructuring costs, $10 million of stock-based compensation expense and $3 million of separation-related costs. In 2023, research and development expenses included $3 million of costs related to our transformation and restructuring initiatives, $7 million of separation-related costs, $12 million of stock-based compensation expense and $1 million in cyber ransomware recovery costs. Excluding these items, research and development expenses increased from 2023 to 2024 as the Company continues to invest in research and development activities related to our platform.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Gain (loss) on Extinguishment of Debt</w:t>
      </w:r>
    </w:p>
    <w:p>
      <w:pPr>
        <w:pStyle w:val="TextBody"/>
        <w:bidi w:val="0"/>
        <w:spacing w:before="0" w:after="0"/>
        <w:jc w:val="left"/>
        <w:rPr/>
      </w:pPr>
      <w:r>
        <w:rPr/>
      </w:r>
    </w:p>
    <w:tbl>
      <w:tblPr>
        <w:tblW w:w="8520" w:type="dxa"/>
        <w:jc w:val="left"/>
        <w:tblInd w:w="0" w:type="dxa"/>
        <w:tblLayout w:type="fixed"/>
        <w:tblCellMar>
          <w:top w:w="28" w:type="dxa"/>
          <w:left w:w="28" w:type="dxa"/>
          <w:bottom w:w="28" w:type="dxa"/>
          <w:right w:w="28" w:type="dxa"/>
        </w:tblCellMar>
      </w:tblPr>
      <w:tblGrid>
        <w:gridCol w:w="1150"/>
        <w:gridCol w:w="1009"/>
        <w:gridCol w:w="1020"/>
        <w:gridCol w:w="211"/>
        <w:gridCol w:w="406"/>
        <w:gridCol w:w="109"/>
        <w:gridCol w:w="109"/>
        <w:gridCol w:w="109"/>
        <w:gridCol w:w="109"/>
        <w:gridCol w:w="155"/>
        <w:gridCol w:w="155"/>
        <w:gridCol w:w="156"/>
        <w:gridCol w:w="109"/>
        <w:gridCol w:w="109"/>
        <w:gridCol w:w="109"/>
        <w:gridCol w:w="218"/>
        <w:gridCol w:w="218"/>
        <w:gridCol w:w="156"/>
        <w:gridCol w:w="109"/>
        <w:gridCol w:w="109"/>
        <w:gridCol w:w="109"/>
        <w:gridCol w:w="269"/>
        <w:gridCol w:w="271"/>
        <w:gridCol w:w="557"/>
        <w:gridCol w:w="143"/>
        <w:gridCol w:w="143"/>
        <w:gridCol w:w="143"/>
        <w:gridCol w:w="306"/>
        <w:gridCol w:w="306"/>
        <w:gridCol w:w="438"/>
      </w:tblGrid>
      <w:tr>
        <w:trPr/>
        <w:tc>
          <w:tcPr>
            <w:tcW w:w="11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gain on extinguishment of debt of $8 million in 2024 is related to the redemption discount on the 5.250% senior notes due 2030 and the 5.125% senior notes due 2029 of $18 million, offset by the write-off of the related deferred financing fees of $10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loss on extinguishment of debt was $46 million in 2023 related to the premium paid for early redemption of $24 million of the 5.750% senior notes due 2027 and the 6.125% senior notes due 2029, as well as the write-off of deferred financing fees of $22 million related to the senior unsecured notes and the senior secured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6, “Debt Obligations” of the Notes to Consolidated Financial Statements in Item 8 of Part II of this Report for additional discussion on the financing transactions.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before="0" w:after="0"/>
        <w:jc w:val="both"/>
        <w:rPr/>
      </w:pPr>
      <w:r>
        <w:rPr/>
      </w:r>
    </w:p>
    <w:tbl>
      <w:tblPr>
        <w:tblW w:w="7324" w:type="dxa"/>
        <w:jc w:val="left"/>
        <w:tblInd w:w="0" w:type="dxa"/>
        <w:tblLayout w:type="fixed"/>
        <w:tblCellMar>
          <w:top w:w="28" w:type="dxa"/>
          <w:left w:w="28" w:type="dxa"/>
          <w:bottom w:w="28" w:type="dxa"/>
          <w:right w:w="28" w:type="dxa"/>
        </w:tblCellMar>
      </w:tblPr>
      <w:tblGrid>
        <w:gridCol w:w="516"/>
        <w:gridCol w:w="454"/>
        <w:gridCol w:w="455"/>
        <w:gridCol w:w="211"/>
        <w:gridCol w:w="436"/>
        <w:gridCol w:w="109"/>
        <w:gridCol w:w="109"/>
        <w:gridCol w:w="109"/>
        <w:gridCol w:w="109"/>
        <w:gridCol w:w="211"/>
        <w:gridCol w:w="541"/>
        <w:gridCol w:w="109"/>
        <w:gridCol w:w="109"/>
        <w:gridCol w:w="109"/>
        <w:gridCol w:w="109"/>
        <w:gridCol w:w="211"/>
        <w:gridCol w:w="541"/>
        <w:gridCol w:w="109"/>
        <w:gridCol w:w="109"/>
        <w:gridCol w:w="109"/>
        <w:gridCol w:w="109"/>
        <w:gridCol w:w="224"/>
        <w:gridCol w:w="224"/>
        <w:gridCol w:w="557"/>
        <w:gridCol w:w="126"/>
        <w:gridCol w:w="126"/>
        <w:gridCol w:w="126"/>
        <w:gridCol w:w="218"/>
        <w:gridCol w:w="218"/>
        <w:gridCol w:w="621"/>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was $60 million in 2025 compared to $134 million in 2024 and $294 million in 2023. Interest expense is primarily related to our senior unsecured notes and borrowings under the senior secured credit facilities. The decrease in interest expense each year was due to the decrease in total debt outstanding.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Income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(expense), net was income of $3 million in 2025, expense of $33 million in 2024 and expense of $75 million in 2023, with the components reflected in the following table:</w:t>
      </w:r>
    </w:p>
    <w:tbl>
      <w:tblPr>
        <w:tblW w:w="7902" w:type="dxa"/>
        <w:jc w:val="center"/>
        <w:tblInd w:w="0" w:type="dxa"/>
        <w:tblLayout w:type="fixed"/>
        <w:tblCellMar>
          <w:top w:w="28" w:type="dxa"/>
          <w:left w:w="28" w:type="dxa"/>
          <w:bottom w:w="28" w:type="dxa"/>
          <w:right w:w="28" w:type="dxa"/>
        </w:tblCellMar>
      </w:tblPr>
      <w:tblGrid>
        <w:gridCol w:w="1847"/>
        <w:gridCol w:w="1623"/>
        <w:gridCol w:w="1630"/>
        <w:gridCol w:w="211"/>
        <w:gridCol w:w="271"/>
        <w:gridCol w:w="109"/>
        <w:gridCol w:w="109"/>
        <w:gridCol w:w="109"/>
        <w:gridCol w:w="109"/>
        <w:gridCol w:w="211"/>
        <w:gridCol w:w="436"/>
        <w:gridCol w:w="109"/>
        <w:gridCol w:w="109"/>
        <w:gridCol w:w="109"/>
        <w:gridCol w:w="109"/>
        <w:gridCol w:w="211"/>
        <w:gridCol w:w="436"/>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fluctuations and foreign exchange contracts</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Bank-related fees</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Foreign currency fluctuations and foreign exchange contracts within Other income (expense), net, includes a net loss of $15 million due to the impact of changes in the Lebanese pound and the Egyptian pound during 2024. As of March 31, 2024, the operations of Lebanon and Egypt have transferred to NCR Atleos; however, the Company retained certain assets and liabilities under the separation and disclosure agreement which were impacted by the changes in foreign currency fluctuations.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the Company incurred bank-related fees of $4 million compared to $24 million and $28 million in 2024 and 2023, respectively. The decrease in bank-related fees from 2023 to 2024 and 2024 to 2025 is related to the termination of the trade receivables facility during the third quarter of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Employee benefit plans within other income (expense) net includes the components of pension, postemployment expense, other than service cost, as well as actuarial gains and losses from the annual pension mark-to-market adjustment. In 2025, there was an actuarial gain of $13 million compared to an actuarial gain of $12 million in 2024. The net actuarial gains in 2025 and 2024 were primarily due to plan experience gains as well as increases in discount rates and favorable returns on plan assets. The actuarial loss in 2023 was $7 million primarily due to plan experience losses as well as a decrease in discount rates, partially offset by favorable returns on plan asset.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Included in Other, net for 2025 are expenses of $22 million for a certain litigation matter, net of expected indemnity recovery from NCR Atleos. Refer to Note 11, “Commitments and Contingencies” of the Notes to Consolidated Financial Statements for additional information. Additionally, included within Other, net for 2025 is a $10 million gain on the sale of property, plant and equipment and a $3 million gain on the sale of a non-strategic business during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2023, Other, net includes a $9 million loss recognized on the divestitures of certain non-strategic businesses.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before="0" w:after="0"/>
        <w:ind w:left="0" w:right="0" w:firstLine="495"/>
        <w:jc w:val="both"/>
        <w:rPr/>
      </w:pPr>
      <w:r>
        <w:rPr/>
      </w:r>
    </w:p>
    <w:tbl>
      <w:tblPr>
        <w:tblW w:w="8050" w:type="dxa"/>
        <w:jc w:val="left"/>
        <w:tblInd w:w="0" w:type="dxa"/>
        <w:tblLayout w:type="fixed"/>
        <w:tblCellMar>
          <w:top w:w="28" w:type="dxa"/>
          <w:left w:w="28" w:type="dxa"/>
          <w:bottom w:w="28" w:type="dxa"/>
          <w:right w:w="28" w:type="dxa"/>
        </w:tblCellMar>
      </w:tblPr>
      <w:tblGrid>
        <w:gridCol w:w="891"/>
        <w:gridCol w:w="783"/>
        <w:gridCol w:w="786"/>
        <w:gridCol w:w="211"/>
        <w:gridCol w:w="436"/>
        <w:gridCol w:w="109"/>
        <w:gridCol w:w="109"/>
        <w:gridCol w:w="109"/>
        <w:gridCol w:w="109"/>
        <w:gridCol w:w="211"/>
        <w:gridCol w:w="256"/>
        <w:gridCol w:w="109"/>
        <w:gridCol w:w="109"/>
        <w:gridCol w:w="109"/>
        <w:gridCol w:w="109"/>
        <w:gridCol w:w="211"/>
        <w:gridCol w:w="466"/>
        <w:gridCol w:w="109"/>
        <w:gridCol w:w="109"/>
        <w:gridCol w:w="109"/>
        <w:gridCol w:w="109"/>
        <w:gridCol w:w="334"/>
        <w:gridCol w:w="334"/>
        <w:gridCol w:w="336"/>
        <w:gridCol w:w="143"/>
        <w:gridCol w:w="143"/>
        <w:gridCol w:w="143"/>
        <w:gridCol w:w="218"/>
        <w:gridCol w:w="218"/>
        <w:gridCol w:w="6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was 235% in 2025, (2)% in 2024, and (34)% in 2023. During 2025, our tax rate was impacted by a $66 million benefit due to entity restructuring activities. During 2024, our tax rate was impacted by a $57 million expense from recording a valuation allowance against deferred tax assets. During 2023, our tax rate was impacted by a net $226 million expense related to the Spin-Off of NCR Atleos. Also during 2023, our tax rate was impacted by a $31 million expense from recording a valuation allowance against deferred tax assets and a $17 million expense from nondeductible executive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are subject to numerous federal, state and foreign tax audits, we believe that appropriate reserves exist for issues that might arise from these audits. Should these audits be settled, the resulting tax effect could impact the tax provision and cash flows in future periods. During 2026, the Company expects to resolve certain tax matters related to U.S. and foreign jurisdictions. These resolutions could have a material impact on the effective tax rate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review our deferred tax assets for recoverability and establish a valuation allowance if it is more likely than not that some portion or all of a deferred tax asset will not be realized. The determination as to whether a deferred tax asset will be realized is made on a jurisdictional basis and is based on the evaluation of positive and negative evidence. This evidence includes historical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taxable income/loss, projected future taxable income, the expected timing of the reversal of existing temporary differences and the implementation of tax planning strategies.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(Loss) from Discontinued Operations, net of tax</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77"/>
        <w:gridCol w:w="1386"/>
        <w:gridCol w:w="1398"/>
        <w:gridCol w:w="211"/>
        <w:gridCol w:w="376"/>
        <w:gridCol w:w="109"/>
        <w:gridCol w:w="109"/>
        <w:gridCol w:w="109"/>
        <w:gridCol w:w="109"/>
        <w:gridCol w:w="211"/>
        <w:gridCol w:w="616"/>
        <w:gridCol w:w="109"/>
        <w:gridCol w:w="109"/>
        <w:gridCol w:w="109"/>
        <w:gridCol w:w="109"/>
        <w:gridCol w:w="211"/>
        <w:gridCol w:w="466"/>
        <w:gridCol w:w="109"/>
        <w:gridCol w:w="109"/>
        <w:gridCol w:w="109"/>
        <w:gridCol w:w="109"/>
        <w:gridCol w:w="224"/>
        <w:gridCol w:w="221"/>
        <w:gridCol w:w="546"/>
        <w:gridCol w:w="125"/>
        <w:gridCol w:w="125"/>
        <w:gridCol w:w="125"/>
        <w:gridCol w:w="233"/>
        <w:gridCol w:w="233"/>
        <w:gridCol w:w="613"/>
      </w:tblGrid>
      <w:tr>
        <w:trPr/>
        <w:tc>
          <w:tcPr>
            <w:tcW w:w="157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4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the income from discontinued operations was $20 million, net of tax, of which $6 million related to income from discontinued operations, net of tax, for the Digital Banking Sale, $6 million income from discontinued operations, net of tax related to NCR Atleos and income from discontinued operations, net of tax, of $8 million related to the Company’s environmental remediation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2024, the income from discontinued operations was $1,158 million, net of tax, of which $1,178 million related to income from discontinued operations, net of tax, for the Digital Banking Sale, $10 million related to a loss from discontinued operations, net of tax, related to NCR Atleos and a loss from discontinued operations, net of tax, of $10 million related to the Company’s environmental remediation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2023, the income from discontinued operations was $305 million, net of tax, of which $115 million related to income from discontinued operations, net of tax, for the Digital Banking Sale, $240 million related to income from discontinued operations, net of tax, related to NCR Atleos and a loss from discontinued operations, net of tax, of $50 million related to the Company’s environmental remediation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2, “Discontinued Operations” of the Notes to Consolidated Financial Statements in Item 8 of Part II of this Report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and Adjusted EBITDA by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and reports its businesses in the following segments: Retail and Restaurants. Segments are measured for profitability by the Company’s chief operating decision maker based on revenue and segment Adjusted EBITDA. Refer to the section above entitled “Non-GAAP Financial Measures and Use of Certain Terms” for our definition of Adjusted EBITDA and the reconciliation of net income (loss) from continuing operations attributable to NCR Voyix (GAAP) to Adjusted EBITDA (non-GAAP).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and Other includes income and expenses related to corporate functions that are not specifically attributable to any of our two individual reportable segments along with certain non-strategic businesses that are considered immaterial operating segment(s) and commercial agreements with NCR Atleos.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shows our segment revenue and Adjusted EBITDA for the years ended December 31, the relative percentage that those amounts represent to revenue and the change in those amounts year-over-year.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5"/>
        <w:gridCol w:w="356"/>
        <w:gridCol w:w="321"/>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307"/>
        <w:gridCol w:w="309"/>
        <w:gridCol w:w="271"/>
        <w:gridCol w:w="109"/>
        <w:gridCol w:w="109"/>
        <w:gridCol w:w="109"/>
        <w:gridCol w:w="307"/>
        <w:gridCol w:w="309"/>
        <w:gridCol w:w="271"/>
        <w:gridCol w:w="109"/>
        <w:gridCol w:w="109"/>
        <w:gridCol w:w="109"/>
        <w:gridCol w:w="307"/>
        <w:gridCol w:w="309"/>
        <w:gridCol w:w="271"/>
        <w:gridCol w:w="109"/>
        <w:gridCol w:w="109"/>
        <w:gridCol w:w="109"/>
        <w:gridCol w:w="224"/>
        <w:gridCol w:w="152"/>
        <w:gridCol w:w="274"/>
        <w:gridCol w:w="109"/>
        <w:gridCol w:w="109"/>
        <w:gridCol w:w="109"/>
        <w:gridCol w:w="214"/>
        <w:gridCol w:w="162"/>
        <w:gridCol w:w="324"/>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Percentage of Revenue</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 2023</w:t>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by segment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r>
      <w:tr>
        <w:trPr/>
        <w:tc>
          <w:tcPr>
            <w:tcW w:w="10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The percentage of revenue is calculated for each line item divided by total revenue, except for Adjusted EBITDA, which are divided by the related component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Revenue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For the year ended December 31, 2025 compared to the year ended </w:t>
      </w:r>
      <w:r>
        <w:rPr>
          <w:rFonts w:ascii="Times New Roman;serif" w:hAnsi="Times New Roman;serif"/>
          <w:b w:val="false"/>
          <w:color w:val="000000"/>
          <w:sz w:val="20"/>
        </w:rPr>
        <w:t>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Retail revenue decreased 6% for the year ended December 31, 2025 compared to the prior year period. The decrease in revenue is mainly related to a decrease in hardware revenue and software license revenue, as well as a decrease in installation services revenue and professional services revenue for one-time revenues recognized in the prior year. These decreases are partially offset by an increase in hardware maintenance and software maintenance revenue as compared to the prior year. Retail recurring revenue increased 4% in 2025 as compared to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Restaurants revenue decreased 1% for the year ended December 31, 2025 compared to the prior year period driven by a decrease in installation revenue, SaaS solutions revenue, software maintenance revenue, professional services revenue and software license revenue, mainly related to one-time non-recurring revenue recognized in the prior year. These decreases in revenue are partially offset by an increase in payment processing revenue, hardware revenue and hardware maintenance revenue as compared to the prior year. Restaurants recurring revenue increased 2% in 2025 as compared to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operations grouped as Other, revenue decreased 27% for the year ended December 31, 2025 compared to the prior year period due to declines in revenue related to the commercial agreements with NCR Atleos in 2025.</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For the year ended </w:t>
      </w:r>
      <w:r>
        <w:rPr>
          <w:rFonts w:ascii="Times New Roman;serif" w:hAnsi="Times New Roman;serif"/>
          <w:b w:val="false"/>
          <w:color w:val="000000"/>
          <w:sz w:val="20"/>
        </w:rPr>
        <w:t>December 31, 2024</w:t>
      </w:r>
      <w:r>
        <w:rPr>
          <w:color w:val="000000"/>
        </w:rPr>
        <w:t xml:space="preserve"> </w:t>
      </w:r>
      <w:r>
        <w:rPr>
          <w:rFonts w:ascii="Times New Roman;serif" w:hAnsi="Times New Roman;serif"/>
          <w:b w:val="false"/>
          <w:i/>
          <w:color w:val="000000"/>
          <w:sz w:val="20"/>
        </w:rPr>
        <w:t xml:space="preserve">compared to the year ended </w:t>
      </w:r>
      <w:r>
        <w:rPr>
          <w:rFonts w:ascii="Times New Roman;serif" w:hAnsi="Times New Roman;serif"/>
          <w:b w:val="false"/>
          <w:color w:val="000000"/>
          <w:sz w:val="20"/>
        </w:rPr>
        <w:t>December 31,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comparison of the results of operations for 2024 versus that of 2023 was included in our Annual Report on Form 10-K for the year ended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Segment Adjusted EBITDA</w:t>
      </w:r>
    </w:p>
    <w:p>
      <w:pPr>
        <w:pStyle w:val="TextBody"/>
        <w:bidi w:val="0"/>
        <w:spacing w:before="0" w:after="0"/>
        <w:jc w:val="both"/>
        <w:rPr/>
      </w:pPr>
      <w:r>
        <w:rPr/>
      </w:r>
    </w:p>
    <w:p>
      <w:pPr>
        <w:pStyle w:val="TextBody"/>
        <w:bidi w:val="0"/>
        <w:spacing w:lineRule="auto" w:line="256" w:before="0" w:after="0"/>
        <w:jc w:val="both"/>
        <w:rPr/>
      </w:pPr>
      <w:r>
        <w:rPr>
          <w:rFonts w:ascii="Times New Roman;serif" w:hAnsi="Times New Roman;serif"/>
          <w:b w:val="false"/>
          <w:i/>
          <w:color w:val="000000"/>
          <w:sz w:val="20"/>
        </w:rPr>
        <w:t xml:space="preserve">For the year ended </w:t>
      </w:r>
      <w:r>
        <w:rPr>
          <w:rFonts w:ascii="Times New Roman;serif" w:hAnsi="Times New Roman;serif"/>
          <w:b w:val="false"/>
          <w:color w:val="000000"/>
          <w:sz w:val="20"/>
        </w:rPr>
        <w:t>December 31, 2025</w:t>
      </w:r>
      <w:r>
        <w:rPr>
          <w:color w:val="000000"/>
        </w:rPr>
        <w:t xml:space="preserve"> </w:t>
      </w:r>
      <w:r>
        <w:rPr>
          <w:rFonts w:ascii="Times New Roman;serif" w:hAnsi="Times New Roman;serif"/>
          <w:b w:val="false"/>
          <w:i/>
          <w:color w:val="000000"/>
          <w:sz w:val="20"/>
        </w:rPr>
        <w:t xml:space="preserve">compared to the year ended </w:t>
      </w:r>
      <w:r>
        <w:rPr>
          <w:rFonts w:ascii="Times New Roman;serif" w:hAnsi="Times New Roman;serif"/>
          <w:b w:val="false"/>
          <w:color w:val="000000"/>
          <w:sz w:val="20"/>
        </w:rPr>
        <w:t>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Retail Adjusted EBITDA decreased 9% for the year ended December 31, 2025 compared to the prior year period due to lower one-time software and services revenue in the current year as well as increased labor costs year over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Restaurants Adjusted EBITDA increased 6% for the year ended December 31, 2025 compared to the prior year period due to favorable software and services revenue mix, as well as cost mitigation actions implemented beginning in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For the year ended </w:t>
      </w:r>
      <w:r>
        <w:rPr>
          <w:rFonts w:ascii="Times New Roman;serif" w:hAnsi="Times New Roman;serif"/>
          <w:b w:val="false"/>
          <w:color w:val="000000"/>
          <w:sz w:val="20"/>
        </w:rPr>
        <w:t>December 31, 2024</w:t>
      </w:r>
      <w:r>
        <w:rPr>
          <w:color w:val="000000"/>
        </w:rPr>
        <w:t xml:space="preserve"> </w:t>
      </w:r>
      <w:r>
        <w:rPr>
          <w:rFonts w:ascii="Times New Roman;serif" w:hAnsi="Times New Roman;serif"/>
          <w:b w:val="false"/>
          <w:i/>
          <w:color w:val="000000"/>
          <w:sz w:val="20"/>
        </w:rPr>
        <w:t xml:space="preserve">compared to the year ended </w:t>
      </w:r>
      <w:r>
        <w:rPr>
          <w:rFonts w:ascii="Times New Roman;serif" w:hAnsi="Times New Roman;serif"/>
          <w:b w:val="false"/>
          <w:color w:val="000000"/>
          <w:sz w:val="20"/>
        </w:rPr>
        <w:t>December 31,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comparison of the Segment Adjusted EBITDA results for 2024 versus that of 2023 was included in our Annual Report on Form 10-K for the year ended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 xml:space="preserve">General </w:t>
      </w:r>
      <w:r>
        <w:rPr>
          <w:rFonts w:ascii="Times New Roman;serif" w:hAnsi="Times New Roman;serif"/>
          <w:b w:val="false"/>
          <w:color w:val="000000"/>
          <w:sz w:val="20"/>
        </w:rPr>
        <w:t xml:space="preserve">Our primary liquidity needs in the ordinary course of business are: (i) normal operating expenses; (ii) interest and principal requirements of our outstanding indebtedness; (iii) capital expenditures and lease payments; (iv) remediation payments related to environmental matters; (v) pension and postemployment plan contributions; and (vi) transformation and restructuring initiatives. We believe these needs will be satisfied in both the short and long term based on our current cash position, cash flows generated by our operations and existing financing arrangements.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cash and cash equivalents totaled $231 million and our total debt was $1.1 billion. Our borrowing capacity under our senior secured credit facilities was $476 million at December 31, 2025. Our ability to generate positive cash flows from operations is dependent on general economic conditions and the competitive environment in our industry, and is subject to the business and other risk factors described in Item 1A of Part I of this Report. If we are unable to generate sufficient cash flows from operations, or otherwise comply with the terms of our credit facilities, we may be required to seek additional financing alternatives.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from operating activities, investing activities and financing activities. The Consolidated Statements of Cash Flows include the results of continuing and discontinued operations.</w:t>
      </w:r>
    </w:p>
    <w:tbl>
      <w:tblPr>
        <w:tblW w:w="7421" w:type="dxa"/>
        <w:jc w:val="left"/>
        <w:tblInd w:w="0" w:type="dxa"/>
        <w:tblLayout w:type="fixed"/>
        <w:tblCellMar>
          <w:top w:w="28" w:type="dxa"/>
          <w:left w:w="28" w:type="dxa"/>
          <w:bottom w:w="28" w:type="dxa"/>
          <w:right w:w="28" w:type="dxa"/>
        </w:tblCellMar>
      </w:tblPr>
      <w:tblGrid>
        <w:gridCol w:w="1524"/>
        <w:gridCol w:w="1340"/>
        <w:gridCol w:w="1350"/>
        <w:gridCol w:w="211"/>
        <w:gridCol w:w="541"/>
        <w:gridCol w:w="109"/>
        <w:gridCol w:w="109"/>
        <w:gridCol w:w="109"/>
        <w:gridCol w:w="109"/>
        <w:gridCol w:w="211"/>
        <w:gridCol w:w="541"/>
        <w:gridCol w:w="109"/>
        <w:gridCol w:w="109"/>
        <w:gridCol w:w="109"/>
        <w:gridCol w:w="109"/>
        <w:gridCol w:w="211"/>
        <w:gridCol w:w="46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Operating Activities </w:t>
      </w:r>
      <w:r>
        <w:rPr>
          <w:rFonts w:ascii="Times New Roman;serif" w:hAnsi="Times New Roman;serif"/>
          <w:b w:val="false"/>
          <w:color w:val="000000"/>
          <w:sz w:val="20"/>
        </w:rPr>
        <w:t xml:space="preserve">Cash used in operating activities was $210 million for the year ended December 31, 2025 compared to cash used in operating activities of $132 million for the year ended December 31, 2024. The increase in cash used in operating activities was driven by the payment of taxes related to the Digital Banking Sale of $284 million, as well as movement in the net working capital accounts.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operating activities was $132 million for the year ended December 31, 2024 compared to cash provided by operating activities of $694 million for the year ended December 31, 2023. The increase in cash used in operating activities was driven by discontinued operations, movement in net working capital accounts and employee related payments in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Capital Expenditures and Other Investing Activities</w:t>
      </w:r>
      <w:r>
        <w:rPr>
          <w:color w:val="000000"/>
        </w:rPr>
        <w:t xml:space="preserve"> </w:t>
      </w:r>
      <w:r>
        <w:rPr>
          <w:rFonts w:ascii="Times New Roman;serif" w:hAnsi="Times New Roman;serif"/>
          <w:b w:val="false"/>
          <w:color w:val="000000"/>
          <w:sz w:val="20"/>
        </w:rPr>
        <w:t>Our principal capital expenditures are for software (purchased and internally developed) and additions to property and equipment. We invested approximately $165 million, $217 million and $377 million in capital expenditures during 2025, 2024 and 2023, respectively. We expect to continue investing in our internally developed software, purchased software and property and equipment to support our business. During 2024, the Company paid $300 million to terminate its trade receivables facility and reacquired all of the outstanding trade receivables that had previously been sold by it. The Company collected $8 million of purchased trade receivables during 2025, as compared to $212 million during 2024. Additionally, during 2025, the company received proceeds of $16 million related to the sale of property, plant and equipment. During 2024, the Company disposed of certain corporate-owned life insurance policies and received proceeds of $36 million and received proceeds of $2.5 billion related to the Digital Banking Sale.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Financing Activities</w:t>
      </w:r>
      <w:r>
        <w:rPr>
          <w:color w:val="000000"/>
        </w:rPr>
        <w:t xml:space="preserve"> </w:t>
      </w:r>
      <w:r>
        <w:rPr>
          <w:rFonts w:ascii="Times New Roman;serif" w:hAnsi="Times New Roman;serif"/>
          <w:b w:val="false"/>
          <w:color w:val="000000"/>
          <w:sz w:val="20"/>
        </w:rPr>
        <w:t>Financing activities mainly related to borrowings and repayments under our senior secured credit facilities as well as our unsecured senior notes. Financing activities also included dividends paid on the Series A preferred stock, proceeds from employee stock plans as well as payments made for share repurchases and tax withholding payments on behalf of employees for stock based awards that vested. During 2025, the Company repurchased $74 million of preferred shares and $74 million of common stock under our share repurchase program.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related to cash flows from discontinued operations related to the Digital Banking Sale and the Spin-Off of NCR Atleos:</w:t>
      </w:r>
    </w:p>
    <w:tbl>
      <w:tblPr>
        <w:tblW w:w="7286" w:type="dxa"/>
        <w:jc w:val="left"/>
        <w:tblInd w:w="0" w:type="dxa"/>
        <w:tblLayout w:type="fixed"/>
        <w:tblCellMar>
          <w:top w:w="28" w:type="dxa"/>
          <w:left w:w="28" w:type="dxa"/>
          <w:bottom w:w="28" w:type="dxa"/>
          <w:right w:w="28" w:type="dxa"/>
        </w:tblCellMar>
      </w:tblPr>
      <w:tblGrid>
        <w:gridCol w:w="1524"/>
        <w:gridCol w:w="1340"/>
        <w:gridCol w:w="1350"/>
        <w:gridCol w:w="211"/>
        <w:gridCol w:w="406"/>
        <w:gridCol w:w="109"/>
        <w:gridCol w:w="109"/>
        <w:gridCol w:w="109"/>
        <w:gridCol w:w="109"/>
        <w:gridCol w:w="211"/>
        <w:gridCol w:w="541"/>
        <w:gridCol w:w="109"/>
        <w:gridCol w:w="109"/>
        <w:gridCol w:w="109"/>
        <w:gridCol w:w="109"/>
        <w:gridCol w:w="211"/>
        <w:gridCol w:w="46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of discontinued operations related to environmental obligations were $37 million, $20 million and $19 million for fiscal years 2025, 2024 and 2023,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Adjusted free cash flow-unrestricted </w:t>
      </w:r>
      <w:r>
        <w:rPr>
          <w:rFonts w:ascii="Times New Roman;serif" w:hAnsi="Times New Roman;serif"/>
          <w:b w:val="false"/>
          <w:color w:val="000000"/>
          <w:sz w:val="20"/>
        </w:rPr>
        <w:t>NCR Voyix management uses a non-GAAP measure called “adjusted free cash flow-unrestricted” to assess the financial performance of the Company. We define adjusted free cash flow-unrestricted within the section titled “</w:t>
      </w:r>
      <w:r>
        <w:rPr>
          <w:rFonts w:ascii="Times New Roman;serif" w:hAnsi="Times New Roman;serif"/>
          <w:b w:val="false"/>
          <w:color w:val="000000"/>
          <w:sz w:val="20"/>
          <w:u w:val="single"/>
        </w:rPr>
        <w:t>Non-GAAP Financial Measures and Use of Certain Terms</w:t>
      </w:r>
      <w:r>
        <w:rPr>
          <w:color w:val="000000"/>
        </w:rPr>
        <w:t xml:space="preserve">” </w:t>
      </w:r>
      <w:r>
        <w:rPr>
          <w:rFonts w:ascii="Times New Roman;serif" w:hAnsi="Times New Roman;serif"/>
          <w:b w:val="false"/>
          <w:color w:val="000000"/>
          <w:sz w:val="20"/>
        </w:rPr>
        <w:t>in Part I, Item 7 of this Form 10-K. The table below reconciles net cash provided by operating activities to NCR Voyix’s non-GAAP measure of adjusted free cash flow-unrestricted for the twelve months ended December 31, 2025:</w:t>
      </w:r>
    </w:p>
    <w:tbl>
      <w:tblPr>
        <w:tblW w:w="8504" w:type="dxa"/>
        <w:jc w:val="left"/>
        <w:tblInd w:w="0" w:type="dxa"/>
        <w:tblLayout w:type="fixed"/>
        <w:tblCellMar>
          <w:top w:w="28" w:type="dxa"/>
          <w:left w:w="28" w:type="dxa"/>
          <w:bottom w:w="28" w:type="dxa"/>
          <w:right w:w="28" w:type="dxa"/>
        </w:tblCellMar>
      </w:tblPr>
      <w:tblGrid>
        <w:gridCol w:w="1898"/>
        <w:gridCol w:w="1670"/>
        <w:gridCol w:w="1681"/>
        <w:gridCol w:w="758"/>
        <w:gridCol w:w="1944"/>
        <w:gridCol w:w="553"/>
      </w:tblGrid>
      <w:tr>
        <w:trPr/>
        <w:tc>
          <w:tcPr>
            <w:tcW w:w="189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Twelve months ended December 31, 2025</w:t>
            </w:r>
            <w:r>
              <w:rPr>
                <w:rFonts w:ascii="Times New Roman;serif" w:hAnsi="Times New Roman;serif"/>
                <w:b/>
                <w:color w:val="000000"/>
                <w:sz w:val="10"/>
              </w:rPr>
              <w:t>(1)</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(GAAP)</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(165)</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settlement activity</w:t>
            </w:r>
          </w:p>
        </w:tc>
        <w:tc>
          <w:tcPr>
            <w:tcW w:w="2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taxes paid for the Digital Banking Sale</w:t>
            </w:r>
          </w:p>
        </w:tc>
        <w:tc>
          <w:tcPr>
            <w:tcW w:w="2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w:t>
            </w:r>
            <w:r>
              <w:rPr>
                <w:color w:val="000000"/>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contributions</w:t>
            </w:r>
          </w:p>
        </w:tc>
        <w:tc>
          <w:tcPr>
            <w:tcW w:w="2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Collections on purchased trade receivables</w:t>
            </w:r>
          </w:p>
        </w:tc>
        <w:tc>
          <w:tcPr>
            <w:tcW w:w="2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activity related to environmental discontinued operations</w:t>
            </w:r>
          </w:p>
        </w:tc>
        <w:tc>
          <w:tcPr>
            <w:tcW w:w="2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Acceleration projects</w:t>
            </w:r>
          </w:p>
        </w:tc>
        <w:tc>
          <w:tcPr>
            <w:tcW w:w="2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flow-unrestricted (non-GAAP)</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shd w:fill="FFFFFF" w:val="clear"/>
        </w:rPr>
        <w:t>(1)</w:t>
      </w:r>
      <w:r>
        <w:rPr>
          <w:rFonts w:ascii="Times New Roman;serif" w:hAnsi="Times New Roman;serif"/>
          <w:b w:val="false"/>
          <w:color w:val="000000"/>
          <w:sz w:val="16"/>
          <w:shd w:fill="FFFFFF" w:val="clear"/>
        </w:rPr>
        <w:t>Adjusted free cash flow-unrestricted for 2024 is not meaningful for comparison purposes given the presentation of cash flows due to the Spin-Off of NCR Atleos and the Digital Banking Sale.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Long Term Borrowings </w:t>
      </w:r>
      <w:r>
        <w:rPr>
          <w:rFonts w:ascii="Times New Roman;serif" w:hAnsi="Times New Roman;serif"/>
          <w:b w:val="false"/>
          <w:color w:val="000000"/>
          <w:sz w:val="20"/>
        </w:rPr>
        <w:t xml:space="preserve">The senior secured credit facilities include a term loan facility in an initial aggregate principal amount of $200 million, of which there was no outstanding balance as of December 31, 2025. Additionally, the senior secured credit facilities include a five-year Revolving Credit Facility with an aggregate principal amount of $500 million, of which there was no outstanding balance as of December 31, 2025. The Revolving Credit Facility also contains a sub-facility to be used for letters of credit, and as of December 31, 2025, there were $24 million letters of credit outstanding.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outstanding $650 million aggregate principal balance of 5.000% senior unsecured notes due in 2028, $403 million in aggregate principal balance of 5.125% senior unsecured notes due in 2029 and $52 million in aggregate principal balance of 5.250% senior unsecured notes due in 2030.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6, “Debt Obligations”, of the Notes to Consolidated Financial Statements included in Item 8 of this Report for further information on the senior secured credit facilities and senior unsecured notes.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Employee Benefit Plans </w:t>
      </w:r>
      <w:r>
        <w:rPr>
          <w:rFonts w:ascii="Times New Roman;serif" w:hAnsi="Times New Roman;serif"/>
          <w:b w:val="false"/>
          <w:color w:val="000000"/>
          <w:sz w:val="20"/>
        </w:rPr>
        <w:t>In 2026, we expect to make contributions of $14 million to our international pension plans and $19 million to our postemployment plan. See Note 10, “Employee Benefit Plans”, of the Notes to Consolidated Financial Statements included in Item 8 of Part II of this Report for additional discussion on our pension and postemployment plans.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Series A Convertible Preferred Stock</w:t>
      </w:r>
      <w:r>
        <w:rPr>
          <w:color w:val="000000"/>
        </w:rPr>
        <w:t xml:space="preserve"> </w:t>
      </w:r>
      <w:r>
        <w:rPr>
          <w:rFonts w:ascii="Times New Roman;serif" w:hAnsi="Times New Roman;serif"/>
          <w:b w:val="false"/>
          <w:color w:val="000000"/>
          <w:sz w:val="20"/>
        </w:rPr>
        <w:t>In 2015, the Company issued 820,000 shares of Series A Convertible Preferred Stock. As of December 31, 2025, there were approximately 200,000 shares that remained issued and outstanding with a redemption value of approximately $207 million. Holders of Series A Convertible Preferred Stock are entitled to a cumulative dividend at the rate of 5.5% per annum, which are payable in cash or in-kind at the option of the Company. During the years ended December 31, 2025 and 2024, the Company paid cash dividends of $15 million. The holders also have certain redemption rights or put rights, including the right to require us to repurchase all or any portion of the Series A Convertible Preferred Stock on any date during the three months commencing on and immediately following March 16, 2027, March 16, 2030 and March 16, 2033.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 shares of common stock per share of Series A Convertible Preferred Stock, effective immediately after the close of business on October 17, 2023. As of December 31, 2025, the maximum number of common shares that could be required to be issued upon conversion of the outstanding shares of the Series A Convertible Preferred Stock was 11.9 million shares, which would represent approximately 8% of our outstanding common stock as of December 31, 2025, including the preferred shares on an as-converted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Cash and Cash Equivalents Held by Foreign Subsidiaries </w:t>
      </w:r>
      <w:r>
        <w:rPr>
          <w:rFonts w:ascii="Times New Roman;serif" w:hAnsi="Times New Roman;serif"/>
          <w:b w:val="false"/>
          <w:color w:val="000000"/>
          <w:sz w:val="20"/>
        </w:rPr>
        <w:t xml:space="preserve">Cash and cash equivalents held by the Company’s foreign subsidiaries were </w:t>
      </w:r>
      <w:r>
        <w:rPr>
          <w:rFonts w:ascii="Times New Roman;serif" w:hAnsi="Times New Roman;serif"/>
          <w:b w:val="false"/>
          <w:color w:val="000000"/>
          <w:sz w:val="20"/>
          <w:shd w:fill="FFFFFF" w:val="clear"/>
        </w:rPr>
        <w:t>$120 million</w:t>
      </w:r>
      <w:r>
        <w:rPr>
          <w:color w:val="000000"/>
        </w:rPr>
        <w:t xml:space="preserve"> </w:t>
      </w:r>
      <w:r>
        <w:rPr>
          <w:rFonts w:ascii="Times New Roman;serif" w:hAnsi="Times New Roman;serif"/>
          <w:b w:val="false"/>
          <w:color w:val="000000"/>
          <w:sz w:val="20"/>
        </w:rPr>
        <w:t>and $134 million at December 31, 2025 and 2024, respectively. Under current tax laws and regulations, if cash and cash equivalents and short-term investments held outside the U.S. are distributed to the U.S. in the form of dividends or otherwise, we may be subject to additional U.S. income taxes and foreign withholding taxes, which could be significant.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Material Cash Requirements from Contractual and Other Obligations</w:t>
      </w:r>
      <w:r>
        <w:rPr>
          <w:color w:val="000000"/>
        </w:rPr>
        <w:t xml:space="preserve"> </w:t>
      </w:r>
      <w:r>
        <w:rPr>
          <w:rFonts w:ascii="Times New Roman;serif" w:hAnsi="Times New Roman;serif"/>
          <w:b w:val="false"/>
          <w:color w:val="000000"/>
          <w:sz w:val="20"/>
        </w:rPr>
        <w:t>In the normal course of business, we enter into various contractual obligations that impact, or could impact, the liquidity of our operations. The following table and discussion outlines our material obligations as of December 31, 2025 on an undiscounted basis, with projected cash payments in the years shown:</w:t>
      </w:r>
    </w:p>
    <w:tbl>
      <w:tblPr>
        <w:tblW w:w="9051" w:type="dxa"/>
        <w:jc w:val="center"/>
        <w:tblInd w:w="0" w:type="dxa"/>
        <w:tblLayout w:type="fixed"/>
        <w:tblCellMar>
          <w:top w:w="28" w:type="dxa"/>
          <w:left w:w="28" w:type="dxa"/>
          <w:bottom w:w="28" w:type="dxa"/>
          <w:right w:w="28" w:type="dxa"/>
        </w:tblCellMar>
      </w:tblPr>
      <w:tblGrid>
        <w:gridCol w:w="1334"/>
        <w:gridCol w:w="1172"/>
        <w:gridCol w:w="1183"/>
        <w:gridCol w:w="263"/>
        <w:gridCol w:w="786"/>
        <w:gridCol w:w="135"/>
        <w:gridCol w:w="211"/>
        <w:gridCol w:w="466"/>
        <w:gridCol w:w="109"/>
        <w:gridCol w:w="237"/>
        <w:gridCol w:w="525"/>
        <w:gridCol w:w="122"/>
        <w:gridCol w:w="237"/>
        <w:gridCol w:w="525"/>
        <w:gridCol w:w="122"/>
        <w:gridCol w:w="394"/>
        <w:gridCol w:w="872"/>
        <w:gridCol w:w="204"/>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Amounts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2027-2028</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2029-2030</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 &amp; Thereafter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debt obligations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environmental liability payments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matters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obligations</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2,123</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this table, we used interest rates as of December 31, 2025 to estimate the future interest on debt obligations outstanding as of December 31, 2025 and have assumed no voluntary prepayments of existing debt. See Note 6, “Debt Obligations” of the Notes to Consolidated Financial Statements included in Item 8 of Part II of this Report for additional disclosure related to our debt obligations and the related interest rate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environmental liability payments included in the table of material cash requirements shown above are related primarily to the Kalamazoo River environmental matter. As of December 31, 2025, all of the Company’s remedial obligations for the Fox River and Ebina matters have been completed. For the Kalamazoo River matter, the amounts shown are our expected payments, net of the payment obligations of co-obligors and an estimate for payments to be received from indemnification parties. Following the Spin-Off, the Company retained the responsibility to manage the identified environmental liabilities and remediation, subject however to an indemnity obligation by NCR Atleos to contribute 50% of the costs of certain environmental liabilities after an annual $15 million funding threshold is met. Given the uncertainty of timing and amount of the indemnity payments, these amounts are not reflected within the table above after 2026. For additional information, refer to Note 11, “Commitments and Contingencies”, of the Notes to Consolidated Financial Statements included in Item 8 of Part II of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lease obligations are primarily for future rental amounts for our world headquarters in Atlanta, Georgia, as well as for certain sales facilities in various domestic and international locations and leases related to equipment and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Purchase obligations represent committed purchase orders and other contractual commitments for goods or services. The purchase obligation amounts were determined through information in our procurement systems and payment schedules for significant contracts.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Litigation matters represents costs of a certain legal matter, net of expected indemnity recoveries from NCR Atleos, as discussed in Note 11, “Commitments and Contingencies” of the Notes to Consolidated Financial Statements included in Item 8 of Part II of this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liability related to our uncertain tax positions. Due to the nature of the underlying liabilities and the extended time often needed to resolve income tax uncertainties, we cannot make reliable estimates of the amount or timing of cash payments that may be required to settle these liabilities. Additionally, the Company’s current tax liability was $13 million and $336 million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December 31, 2025 and December 31, 2024, respectively, presented within Other current liabilities on the Consolidated Balance Sheets. The decrease in the tax liability is due to tax payments made in 2025 related to the Digital Banking Sale. For additional information, refer to Note 8, “Income Taxes”, of the Notes to Consolidated Financial Statements included in Item 8 of Part II of this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international employee benefit plans, which are described in Note 10, “Employee Benefit Plans”, of the Notes to Consolidated Financial Statements included in Item 8 of Part II of this Report, could require significant future cash payments. Our international retirement plans were in an underfunded position of $98 million as of December 31, 2025, as compared to an underfunded position of $104 million as of December 31, 2024. The decrease in our underfunded position of international plans is primarily attributable to an increase in the fair value of plan assets, partially offset by an increase in the discount rates used to measure the benefit obligation. Contributions to international pension plans are expected to be approximately $14 million in 2026. Following the Spin-Off, NCR Atleos assumed the U.S. and 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NCR Atleos U.S. pension plan to the extent NCR Atleos contributes more than $40 million on an annual basis beginning with the plan year ending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product warranties that may affect future cash flows. These items are not included in the table of obligations shown above, but are described in detail in Note 11, “Commitments and Contingencies”, of the Notes to Consolidated Financial Statements included in Item 8 of Part II of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secured revolving credit facility contains customary representations and warranties, affirmative covenants, and negative covenants. The negative covenants limit the Company’s and its subsidiaries’ ability to, among other things, incur indebtedness, create liens on the Company’s or its subsidiaries’ assets, engage in fundamental changes, make investments, sell or otherwise dispose of assets, engage in sale-leaseback transactions, make restricted payments, repay subordinated indebtedness, engage in certain transactions with affiliates and enter into agreements restricting the ability of the Company’s subsidiaries to make distributions to the Company or incur liens on their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secured revolving credit facility also contains a financial covenant that does not permit the Company to allow its consolidated leverage ratio to exceed (i) in the case of any fiscal quarter ending on or following September 30, 2024 and prior to September 30, 2025, 4.50 to 1.00 and (ii) in the case of any fiscal quarter ending on or following September 30, 2025,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secured revolving credit facility also includes provisions for events of default, which are customary for similar financings. Upon the occurrence of an event of default, the lenders may, among other things, terminate the loan commitments, accelerate all loans and require cash collateral deposits in respect of outstanding letters of credit. If the Company is unable to pay or repay the amounts due, the lenders could, among other things, proceed against the collateral granted to them to secure such indebtedness.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GAAP. In connection with the preparation of these financial statements, we are required to make assumptions, estimates and judgments that affect the reported amounts of assets, liabilities, revenue, expenses and the related disclosure of contingent liabilities. These assumptions, estimates and judgments are based on historical experience and are believed to be reasonable at the time. However, because future events and their effects cannot be determined with certainty, the determination of estimates requires the exercise of judgment. Our critical accounting policies are those that require assumptions to be made about matters that are highly uncertain. Different estimates could have a material impact on our financial results. Judgments and uncertainties affecting the application of these policies and estimates may result in materially different amounts being reported under different conditions or circumstances. Our management continually reviews these assumptions, estimates and judgments to ensure that our financial statements are presented fairly and are materially correct.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many cases, the accounting treatment of a particular transaction is specifically dictated by GAAP and does not require significant management judgment in its application. There are also areas in which management’s judgment in selecting among available alternatives would not produce a materially different result. The significant accounting policies and estimates that we believe are the most critical to aid in fully understanding and evaluating our reported financial results are discussed in the paragraphs below. Our senior management has reviewed these critical accounting estimates and related disclosures with our independent registered public accounting firm and the Audit Committee of our Board of Directors. See Note 1, “Basis of Presentation and Significant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Policies”, of the Notes to Consolidated Financial Statements in Item 8 of Part II of this Report, which contains additional information regarding our accounting policies and other disclosures required by GAAP.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Revenue Recognition</w:t>
      </w:r>
      <w:r>
        <w:rPr>
          <w:color w:val="000000"/>
        </w:rPr>
        <w:t xml:space="preserve"> </w:t>
      </w:r>
      <w:r>
        <w:rPr>
          <w:rFonts w:ascii="Times New Roman;serif" w:hAnsi="Times New Roman;serif"/>
          <w:b w:val="false"/>
          <w:color w:val="000000"/>
          <w:sz w:val="20"/>
        </w:rPr>
        <w:t>We enter into contracts to sell our products and services, which may be sold separately or bundled with other products and services. As a result, interpretation and judgment are sometimes required to determine the appropriate accounting for these transactions, including: (1) whether performance obligations are considered distinct that should be accounted for separately versus combined, how the transaction price should be allocated among the performance obligations and when to recognize revenue for each performance obligation; (2) developing an estimate of the stand-alone selling price, or SSP, of each distinct performance obligation; (3) combining multiple contracts that may impact the allocation of the transaction price between product and services; and (4) estimating and accounting for variable consideration, including rights of return, rebates, expected penalties or other price concessions as a reduction of the transaction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estimates of SSP for each performance obligation require judgment that considers multiple factors, including, but not limited to, historical discounting trends for products and services, pricing practices in different geographies and industries, gross margin objectives and internal costs. Our estimates for rights of return and rebates are based on historical sales returns and credits, specific criteria outlined in customer contracts or rebate agreements and other factors known at the time. Our estimates for expected penalties and other price concessions are based on historical trends and expectations regarding future occurrence.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judgments with respect to these assumptions and estimates could impact the timing or amount of revenue recognition. Additional information regarding our revenue recognition policy is included in Note 1, “Basis of Presentation and Significant Accounting Policies”, in the Notes to Consolidated Financial Statements in Item 8 of Part II of this Report.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Inventory Valuation</w:t>
      </w:r>
      <w:r>
        <w:rPr>
          <w:color w:val="000000"/>
        </w:rPr>
        <w:t xml:space="preserve"> </w:t>
      </w:r>
      <w:r>
        <w:rPr>
          <w:rFonts w:ascii="Times New Roman;serif" w:hAnsi="Times New Roman;serif"/>
          <w:b w:val="false"/>
          <w:color w:val="000000"/>
          <w:sz w:val="20"/>
        </w:rPr>
        <w:t>We assess the valuation of our inventory on a periodic basis and make adjustments to the value to properly provide for potential exposure due to slow-moving, excess, obsolete or unusable inventory. Inventories are written down to net realizable value based on forecasted usage of part, sales orders, technological obsolescence and inventory aging. These factors can be impacted by market conditions, technology changes, changes in strategic direction and customer demand and require estimates and management judgment that may include elements that are uncertain. On a quarterly basis, we review the current net realizable value of inventory and adjust for any inventory exposure due to age, obsolescence or excess of cost over net realizable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Goodwill </w:t>
      </w:r>
      <w:r>
        <w:rPr>
          <w:rFonts w:ascii="Times New Roman;serif" w:hAnsi="Times New Roman;serif"/>
          <w:b w:val="false"/>
          <w:color w:val="000000"/>
          <w:sz w:val="20"/>
        </w:rPr>
        <w:t>Goodwill is tested at the reporting unit level for impairment on an annual basis during the fourth quarter or more frequently if certain events occur indicating that the carrying value of goodwill may be impaired. A significant amount of judgment is involved in determining if an indicator of impairment has occurred. Such indicators may include a decline in expected cash flows, a significant adverse change in legal factors or in the business climate, a decision to sell a business, unanticipated competition or slower growth rates, among others. Consistent with the examples of such events and circumstances given in the accounting guidance, we believe that a goodwill impairment test should be performed immediately before and after a reorganization of our reporting structure when the reorganization would affect the composition of one or more of our reporting units. In this circumstance, performing the impairment test immediately before and after the reorganization would help to confirm that the reorganization is not potentially masking a goodwill impairment charge.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evaluation of goodwill for impairment, we have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is determined based on the amount by which the carrying amount exceeds the fair value up to the total value of goodwill assigned to the reporting unit. Fair values of the reporting units are estimated using a weighted methodology considering the output from both the income and market approaches. The income approach incorporates the use of a discounted cash flow (“DCF”) analysis. A number of significant assumptions and estimates are involved in the application of the DCF model to forecast operating cash flows, including revenue growth rates, EBITDA margins and discount rates. Several of these assumptions vary among reporting units. The cash flow forecasts are generally based on approved strategic operating plans. The market approach is performed using the Guideline Public Companies (“GPC”) method which is based on earnings multiple data. We perform a reconciliation between our market capitalization and our estimate of the aggregate fair value of the reporting units, including consideration of a control premium. Refer to Note 4, “Goodwill and Purchased Intangible Assets” in the Notes to Consolidated Financial Statements in Item 8 of Part II of this Report for additional information.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Valuation of Long-lived Assets and Amortizable Other Intangible Assets </w:t>
      </w:r>
      <w:r>
        <w:rPr>
          <w:rFonts w:ascii="Times New Roman;serif" w:hAnsi="Times New Roman;serif"/>
          <w:b w:val="false"/>
          <w:color w:val="000000"/>
          <w:sz w:val="20"/>
        </w:rPr>
        <w:t xml:space="preserve">We perform impairment tests for our long-lived assets if an event or circumstance indicates that the carrying amount of our long-lived assets may not be recoverable. In response to changes in industry and market conditions, we may also strategically realign our resources and consider restructuring, disposing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or otherwise exiting businesses. Such activities could result in impairment of our long-lived assets or other intangible assets. We also are subject to the possibility of impairment of long-lived assets arising in the ordinary course of business. We consider the likelihood of impairment if certain events occur indicating that the carrying value of the long-lived assets may be impaired and we may recognize impairment if the carrying amount of a long-lived asset or intangible asset is not recoverable from its undiscounted cash flows. Impairment is measured as the difference between the carrying amount and the fair value of the asset. We use both the income approach and market approach to estimate fair value. Our estimates of fair value are subject to a high degree of judgment since they include a long-term forecast of future operations. Accordingly, any value ultimately derived from our long-lived assets may differ from our estimate of fair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make strategic acquisitions that may have a material impact on our consolidated results of operations or financial position. We allocate the purchase price of acquired businesses to the assets acquired and liabilities assumed in the transaction at their estimated fair values. The estimates used to determine the fair value of long-lived assets, such as intangible assets, can be complex and require significant judgments. We use information available to us to make fair value determinations and engage independent valuation specialists, when necessary, to assist in the fair value determination of significant acquired long-lived assets. The determination of fair value requires estimates about cash flow forecasts, discount rates, revenue growth rates, EBITDA margin, customer attrition rate, and other future events that are judgmental in nature. While we use our best estimates and assumptions as a part of the purchase price allocation process, our estimates are inherently uncertain and subject to refinement. As a result, during the measurement period, which may be up to one year from the acquisition date, we may record adjustments to the assets acquired and liabilities assumed, with the corresponding offset to goodwill. Any adjustments subsequent to the measurement period are recorded to our consolidated statements of income. We are also required to estimate the useful lives of intangible assets to determine the amount of acquisition-related intangible asset amortization expense to record in future periods. Additional information regarding our acquisitions is included in Note 3, “Business Combinations and Divestitures”, in Notes to Consolidated Financial Statements in Item 8 of Part II of this Report.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Pension and Postemployment Benefits </w:t>
      </w:r>
      <w:r>
        <w:rPr>
          <w:rFonts w:ascii="Times New Roman;serif" w:hAnsi="Times New Roman;serif"/>
          <w:b w:val="false"/>
          <w:color w:val="000000"/>
          <w:sz w:val="20"/>
        </w:rPr>
        <w:t xml:space="preserve">We sponsor foreign defined benefit pension and foreign and domestic postemployment plans. As a result, we have significant pension and postemployment benefit costs, which are developed from actuarial valuations. Actuarial assumptions attempt to anticipate future events and are used in calculating the expense and liability relating to these plans. These factors include assumptions we make about interest rates, expected investment return on plan assets, involuntary turnover rates, and rates of future compensation increases. In addition, our actuarial consultants advise us about subjective factors such as withdrawal rates and mortality rates to use in our valuations. We generally review and update these assumptions on an annual basis at the end of each fiscal year. We are required to consider current market conditions, including changes in interest rates, in making these assumptions. The actuarial assumptions that we use may differ materially from actual results due to changing market and economic conditions, higher or lower withdrawal rates, or longer or shorter life spans of participants. These differences may result in a significant impact to the amount of pension or postemployment benefits expense we have recorded or may record. Ongoing pension and postemployment expense impacts all of our segments. Pension mark-to-market adjustments, settlements, curtailments and special termination benefits are excluded from our segment results as those items are not included in the evaluation of segment performance. See Note 5, “Segment Information and Concentrations”, in the Notes to Consolidated Financial Statements in Item 8 of Part II of this Report for a reconciliation of our segment results to income from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key assumptions used in developing our 2025 expense were discount rates of 3.4% for our German pension plan and 1.6% for our Japanese pension plan, and an expected return on assets assumption of 5.0% for our Japanese pension plan in 2025. The German and Japanese plans represented 98% of the pension obligation as of December 31, 2025. Holding all other assumptions constant, a 0.25% change in the discount rate used for the German and the Japanese pension plans would have increased or decreased 2025 ongoing pension expense by less than $1 million. A 0.25% change in the expected rate of return on plan assets assumption for the Japanese pension plan would have increased or decreased 2025 ongoing pension expense by less than $1 million. For 2026, we intend to use discount rates of 4.0% in determining the German pension plan and 2.8% in determining the Japanese pension expense. We intend to use an expected rate of return on assets assumption of 5.5% for the Japanese pension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additional changes in the fair value of plan assets and net actuarial gains or losses of our pension plans upon remeasurement, which occurs at least annually in the fourth quarter of each year. The remaining components of pension expense, primarily net service cost, interest cost, and the expected return on plan assets, are recorded on a quarterly basis as ongoing pension expense. While it is required that we review our actuarial assumptions each year at the measurement date, we generally do not change them between measurement dates. We use a measurement date of December 31 for all of our plans. Changes in assumptions or asset values may have a significant effect on the annual measurement of expense or income in the fourth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most significant assumption used in developing our 2025 postemployment plan expense is the assumed rate of involuntary turnover of 3.8%. The involuntary turnover rate is based on historical trends and projections of involuntary turnover in the future. A 0.25% change in the rate of involuntary turnover would have increased or decreased 2025 expense by less than $1 million.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sensitivity of the assumptions described above is specific to each individual plan and not to our pension and postemployment plans in the aggregate. We intend to use an involuntary turnover assumption of 3.8% in determining the 2026 postemployment expense.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Environmental and Legal Contingencies </w:t>
      </w:r>
      <w:r>
        <w:rPr>
          <w:rFonts w:ascii="Times New Roman;serif" w:hAnsi="Times New Roman;serif"/>
          <w:b w:val="false"/>
          <w:color w:val="000000"/>
          <w:sz w:val="20"/>
        </w:rPr>
        <w:t xml:space="preserve">Each quarter, we review the status of each claim and legal proceeding and assess our potential financial exposure. If the potential loss from any claim or legal proceeding would be material and is considered probable and the amount can be reasonably estimated, we accrue a liability for the estimated loss. To the extent that the amount of such a probable loss is estimable only by reference to a range of equally likely outcomes, and no amount within the range appears to be a better estimate than any other amount, we accrue the amount at the low end of the range. Because of uncertainties related to these matters, the use of estimates, assumptions and judgments, and external factors beyond our control, accruals are based on the best information available at the time. At environmental sites, or portions of environmental sites, where liability is determined to be probable but a remedy has not yet been determined, we accrue for the costs of investigations and studies for the affected areas but not for the costs of remediation. As additional information becomes available, we reassess the potential liability related to our pending claims and litigation and may revise our estimates. Such revisions in the estimates of the potential liabilities could have a material impact on our results of operations and financial position. When insurance carriers or third parties have agreed to pay any amounts related to costs, and we believe that it is probable that we can collect such amounts, those amounts are reflected as receivables in our Consolidated Balance Sheet.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most significant legal contingencies impacting our Company are the Fox River and Kalamazoo River matters, which are further described in detail in Note 11, “Commitments and Contingencies”, in the Notes to Consolidated Financial Statements in Item 8 of Part II of this Report. The Company has been identified as a potentially responsible party (“PRP”) at both the Fox River and Kalamazoo River sites.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below and in Note 11, “Commitments and Contingencies”, in the Notes to Consolidated Financial Statements in Item 8 of Part II of this Report, while litigation activities have been concluded with respect to the Fox River matter and regulatory compliance activities have been completed with respect to the Ebina matter, the extent of our potential liabilities continues to be subject to significant uncertainties. The uncertainties related to the Kalamazoo River matter include the total cost of clean-up as well as the solvency and willingness of the co-obligors or indemnitors, and other responsible parties, to pay. As relates to Fox River, uncertainties remain with respect to the final reconciliation of the indemnitors’ payment obligations.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net reserves for the Fox River matter and the Kalamazoo River matter, as of December 31, 2025 were approximately $23 million and $111 million, respectively, as further discussed in Note 11, “Commitments and Contingencies”, in the Notes to Consolidated Financial Statements in Item 8 of Part II of this Report. The Company regularly re-evaluates the assumptions used in determining the appropriate reserve for these matters as additional information becomes available and, when warranted, makes appropriate adjustments.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Income Taxes </w:t>
      </w:r>
      <w:r>
        <w:rPr>
          <w:rFonts w:ascii="Times New Roman;serif" w:hAnsi="Times New Roman;serif"/>
          <w:b w:val="false"/>
          <w:color w:val="000000"/>
          <w:sz w:val="20"/>
        </w:rPr>
        <w:t>We recognize deferred tax assets and liabilities based on the differences between the financial statement carrying amounts and the tax basis of assets and liabilities. The deferred tax assets and liabilities are determined based on the enacted tax rates expected to apply in the periods in which the deferred tax assets or liabilities are anticipated to be settled or realized.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regularly review our deferred tax assets for recoverability and establish a valuation allowance if it is more likely than not that some portion or all of a deferred tax asset will not be realized. The determination as to whether a deferred tax asset will be realized is made on a jurisdictional basis and is based on the evaluation of positive and negative evidence. This evidence includes historical taxable income, projected future taxable income, the expected timing of the reversal of existing temporary differences and the implementation of tax planning strategies. Projected future taxable income is based on our expected results and assumptions as to the jurisdiction in which the income will be earned. The expected timing of the reversals of existing temporary differences is based on current tax law and our tax methods of accounting. As a result of this determination, we had valuation allowances of $181 million as of December 31, 2025 and $153 million as of December 31, 2024, related to certain deferred income tax assets, tax loss carryforwards, including interest expense carryforwards and foreign tax credits in jurisdictions where there is uncertainty as to the ultimate realization of a benefit from those tax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are unable to generate sufficient future taxable income, or if there is a material change in the actual effective tax rates or the time period within which the underlying temporary differences become taxable or deductible, or if the tax laws change unfavorably, then we could be required to increase our valuation allowance against our deferred tax assets, resulting in an increase in our effective tax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fifty percent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likelihood of being realized upon settlement. Interest and penalties related to uncertain tax positions are recognized as part of the provision for income taxes and are accrued beginning in the period that such interest and penalties would be applicable under relevant tax law until such time that the related tax benefits are recognized. As described in Note 1, “Basis of Presentation and Significant Accounting Policies” and Note 8, “Income Taxes”, in the Notes to Consolidated Financial Statements in Item 8 of Part II of this Report for disclosures, on October 16, 2023, in connection with the Spin-Off, the Company completed a series of legal entity restructurings including both an internal and external spin-off transaction. These transactions are subject to tax laws in the U.S. and non-U.S. jurisdictions, which resulted in the use of significant judgments by management as it pertains to the interpretation and application of tax laws in the U.S. and non-U.S. jurisdictions to determine the potential taxability of the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may change period-to-period based on non-recurring events, such as the settlement of income tax audits and changes in tax laws, as well as recurring factors including the geographic mix of income before taxes, state and local taxes and the effects of various global income tax strategies. As of December 31, 2025, we did not provide for U.S. income tax or foreign withholding taxes on undistributed earnings of certain foreign subsidiaries as such earnings are expected to be reinvested indefinitely. The amount of unrecognized deferred tax liability associated with these indefinitely reinvested earnings is approximately $27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8, “Income Taxes”, in the Notes to Consolidated Financial Statements in Item 8 of Part II of this Report for disclosures related to foreign and domestic pretax income, foreign and domestic income tax (benefit) expense and the effect foreign taxes have on our overall effective tax 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discussion of recently issued accounting pronouncements is described in Note 1, “Basis of Presentation and Significant Accounting Policies”, of the Notes to Consolidated Financial Statements in Item 8 of Part II of this Report, and we incorporate by reference such discussion in this MD&amp;A.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primarily from changes in foreign currency exchange rates and interest rates. It is our policy to manage our foreign exchange exposure and debt structure in order to manage capital costs, control financial risks and maintain financial flexibility over the long term. In managing market risks, we may employ derivatives according to documented policies and procedures, including foreign currency contracts and interest rate swaps. We do not use derivatives for trading or speculative purposes.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Exchange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Since a portion of our operations and revenue occur outside the United States, and in currencies other than the U.S. Dollar, our results can be significantly impacted by changes in foreign currency exchange rates. We have exposure to approximately </w:t>
      </w:r>
      <w:r>
        <w:rPr>
          <w:rFonts w:ascii="Times New Roman;serif" w:hAnsi="Times New Roman;serif"/>
          <w:b w:val="false"/>
          <w:color w:val="000000"/>
          <w:sz w:val="20"/>
        </w:rPr>
        <w:t>25</w:t>
      </w:r>
      <w:r>
        <w:rPr>
          <w:color w:val="000000"/>
          <w:shd w:fill="FFFFFF" w:val="clear"/>
        </w:rPr>
        <w:t xml:space="preserve"> </w:t>
      </w:r>
      <w:r>
        <w:rPr>
          <w:rFonts w:ascii="Times New Roman;serif" w:hAnsi="Times New Roman;serif"/>
          <w:b w:val="false"/>
          <w:color w:val="000000"/>
          <w:sz w:val="20"/>
          <w:shd w:fill="FFFFFF" w:val="clear"/>
        </w:rPr>
        <w:t>functional currencies and are exposed to foreign currency exchange risk with respect to our sales, profits and assets and liabilities denominated in currencies other than the U.S. Dollar. Although we use financial instruments to hedge certain foreign currency risks, we are not fully protected against foreign currency fluctuations and our reported results of operations could be affected by changes in foreign currency exchange rates. To manage our exposures and mitigate the impact of currency fluctuations on the operations of our foreign subsidiaries, we hedge our main transactional exposures. We use derivatives not designated as hedging instruments consisting primarily of forward contracts to hedge foreign currency denominated balance sheet exposures. For these derivatives we recognize gains and losses in the same period as the remeasurement losses and gains of the related foreign currency-denominated exposures.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purposes of analyzing potential risk, we use sensitivity analysis to quantify potential impacts that market rate changes may have on the fair values of our hedge portfolio. The sensitivity analysis represents the hypothetical changes in value of the hedge position and does not reflect the related gain or loss on the forecasted underlying transaction. A 10% appreciation in the value of the U.S. Dollar against foreign currencies from the prevailing market rates would have resulted in a corresponding decrease in the fair value of the hedge portfolio of </w:t>
      </w:r>
      <w:r>
        <w:rPr>
          <w:rFonts w:ascii="Times New Roman;serif" w:hAnsi="Times New Roman;serif"/>
          <w:b w:val="false"/>
          <w:color w:val="000000"/>
          <w:sz w:val="20"/>
        </w:rPr>
        <w:t>$7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A 10% depreciation in the value of the U.S. Dollar against foreign currencies from the prevailing market rates would have resulted in a corresponding increase in the fair value of the hedge portfolio of </w:t>
      </w:r>
      <w:r>
        <w:rPr>
          <w:rFonts w:ascii="Times New Roman;serif" w:hAnsi="Times New Roman;serif"/>
          <w:b w:val="false"/>
          <w:color w:val="000000"/>
          <w:sz w:val="20"/>
        </w:rPr>
        <w:t>$9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Company expects that any increase or decrease in the fair value of the portfolio would be substantially offset by increases or decreases in the underlying exposures being hedged.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U.S. Dollar was stronger in 2025 compared to 2024 based on comparable weighted averages for our functional currencies. This had an unfavorable revenue impact of less than 1% on 2025 compared to 2024. This excludes the effects of our hedging activities and, therefore, does not reflect the actual impact of fluctuations in exchange rates on our operating income.</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Approximately 100% of our borrowings were on a fixed rate basis as of December 31, 2025 and we did not have any outstanding interest rate derivative contracts as of December 31, 2025. We are subject to interest rate risk related to variable-rate debt when we borrow from our Revolving Credit Facility. As of December 31, 2025, we had no borrowings under the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pre-tax interest expense for the year ended December 31, 2025 from a hypothetical 100 basis point increase in variable interest rates would be less than $1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we utilized interest rate swap contracts and interest rate cap agreements to add stability to interest expense and to manage exposure to interest rate movements as part of our interest rate risk management strategy. Payments and receipts related to interest rate cap agreements and interest rate swap contracts are included in cash flows from operating activities in the Consolidated Statements of Cash Flows. Refer to Note 15, “Derivatives and Hedging Instruments”, for further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Concentrations of 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balance sheet. Exposure to credit risk is managed through credit approvals, credit limits, selecting major international financial institutions as counterparties to hedging transactions, and monitoring procedures. Our business often involves large transactions with customers for which we do not require collateral. If one or more of those customers were to default in its obligations under applicable contractual arrangements, we could be exposed to potentially significant losses. Moreover, a prolonged downturn in the global economy could have an adverse impact on the ability of our customers to pay their obligations on a timely basis. We believe that the reserves for potential losses are adequate. As of December 31, 2025, we did not have any significant concentration of credit risk related to financial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Financial Statements and Supplemental Data</w:t>
      </w:r>
    </w:p>
    <w:tbl>
      <w:tblPr>
        <w:tblW w:w="6781" w:type="dxa"/>
        <w:jc w:val="left"/>
        <w:tblInd w:w="0" w:type="dxa"/>
        <w:tblLayout w:type="fixed"/>
        <w:tblCellMar>
          <w:top w:w="28" w:type="dxa"/>
          <w:left w:w="28" w:type="dxa"/>
          <w:bottom w:w="28" w:type="dxa"/>
          <w:right w:w="28" w:type="dxa"/>
        </w:tblCellMar>
      </w:tblPr>
      <w:tblGrid>
        <w:gridCol w:w="2269"/>
        <w:gridCol w:w="1995"/>
        <w:gridCol w:w="2006"/>
        <w:gridCol w:w="149"/>
        <w:gridCol w:w="149"/>
        <w:gridCol w:w="213"/>
      </w:tblGrid>
      <w:tr>
        <w:trPr/>
        <w:tc>
          <w:tcPr>
            <w:tcW w:w="226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45">
              <w:r>
                <w:rPr>
                  <w:rStyle w:val="InternetLink"/>
                  <w:rFonts w:ascii="Times New Roman;serif" w:hAnsi="Times New Roman;serif"/>
                  <w:b w:val="false"/>
                  <w:color w:val="0000FF"/>
                  <w:sz w:val="20"/>
                  <w:u w:val="single"/>
                </w:rPr>
                <w:t xml:space="preserve">Report of Independent Registered Public Accounting Firm [PCAOB ID </w:t>
              </w:r>
            </w:hyperlink>
            <w:r>
              <w:rPr>
                <w:rFonts w:ascii="Times New Roman;serif" w:hAnsi="Times New Roman;serif"/>
                <w:b w:val="false"/>
                <w:color w:val="3051F2"/>
                <w:sz w:val="20"/>
                <w:u w:val="single"/>
              </w:rPr>
              <w:t>238</w:t>
            </w:r>
            <w:hyperlink w:anchor="id8aba24cf4eb4a47831af3d9eaa2f62a_145">
              <w:r>
                <w:rPr>
                  <w:rStyle w:val="InternetLink"/>
                  <w:rFonts w:ascii="Times New Roman;serif" w:hAnsi="Times New Roman;serif"/>
                  <w:b w:val="false"/>
                  <w:color w:val="0000FF"/>
                  <w:sz w:val="20"/>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45">
              <w:r>
                <w:rPr>
                  <w:rStyle w:val="InternetLink"/>
                  <w:rFonts w:ascii="Times New Roman;serif" w:hAnsi="Times New Roman;serif"/>
                  <w:b w:val="false"/>
                  <w:color w:val="0000FF"/>
                  <w:sz w:val="20"/>
                  <w:u w:val="single"/>
                </w:rPr>
                <w:t>55</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48">
              <w:r>
                <w:rPr>
                  <w:rStyle w:val="InternetLink"/>
                  <w:rFonts w:ascii="Times New Roman;serif" w:hAnsi="Times New Roman;serif"/>
                  <w:b w:val="false"/>
                  <w:color w:val="0000FF"/>
                  <w:sz w:val="20"/>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48">
              <w:r>
                <w:rPr>
                  <w:rStyle w:val="InternetLink"/>
                  <w:rFonts w:ascii="Times New Roman;serif" w:hAnsi="Times New Roman;serif"/>
                  <w:b w:val="false"/>
                  <w:color w:val="0000FF"/>
                  <w:sz w:val="20"/>
                  <w:u w:val="single"/>
                </w:rPr>
                <w:t>57</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51">
              <w:r>
                <w:rPr>
                  <w:rStyle w:val="InternetLink"/>
                  <w:rFonts w:ascii="Times New Roman;serif" w:hAnsi="Times New Roman;serif"/>
                  <w:b w:val="false"/>
                  <w:color w:val="0000FF"/>
                  <w:sz w:val="20"/>
                  <w:u w:val="single"/>
                </w:rPr>
                <w:t>Consolidated Statements of Comprehensive Income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51">
              <w:r>
                <w:rPr>
                  <w:rStyle w:val="InternetLink"/>
                  <w:rFonts w:ascii="Times New Roman;serif" w:hAnsi="Times New Roman;serif"/>
                  <w:b w:val="false"/>
                  <w:color w:val="0000FF"/>
                  <w:sz w:val="20"/>
                  <w:u w:val="single"/>
                </w:rPr>
                <w:t>58</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54">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54">
              <w:r>
                <w:rPr>
                  <w:rStyle w:val="InternetLink"/>
                  <w:rFonts w:ascii="Times New Roman;serif" w:hAnsi="Times New Roman;serif"/>
                  <w:b w:val="false"/>
                  <w:color w:val="0000FF"/>
                  <w:sz w:val="20"/>
                  <w:u w:val="single"/>
                </w:rPr>
                <w:t>59</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57">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57">
              <w:r>
                <w:rPr>
                  <w:rStyle w:val="InternetLink"/>
                  <w:rFonts w:ascii="Times New Roman;serif" w:hAnsi="Times New Roman;serif"/>
                  <w:b w:val="false"/>
                  <w:color w:val="0000FF"/>
                  <w:sz w:val="20"/>
                  <w:u w:val="single"/>
                </w:rPr>
                <w:t>60</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60">
              <w:r>
                <w:rPr>
                  <w:rStyle w:val="InternetLink"/>
                  <w:rFonts w:ascii="Times New Roman;serif" w:hAnsi="Times New Roman;serif"/>
                  <w:b w:val="false"/>
                  <w:color w:val="0000FF"/>
                  <w:sz w:val="20"/>
                  <w:u w:val="single"/>
                </w:rPr>
                <w:t>Consolidated Statements of Changes in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60">
              <w:r>
                <w:rPr>
                  <w:rStyle w:val="InternetLink"/>
                  <w:rFonts w:ascii="Times New Roman;serif" w:hAnsi="Times New Roman;serif"/>
                  <w:b w:val="false"/>
                  <w:color w:val="0000FF"/>
                  <w:sz w:val="20"/>
                  <w:u w:val="single"/>
                </w:rPr>
                <w:t>61</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63">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63">
              <w:r>
                <w:rPr>
                  <w:rStyle w:val="InternetLink"/>
                  <w:rFonts w:ascii="Times New Roman;serif" w:hAnsi="Times New Roman;serif"/>
                  <w:b w:val="false"/>
                  <w:color w:val="0000FF"/>
                  <w:sz w:val="20"/>
                  <w:u w:val="single"/>
                </w:rPr>
                <w:t>62</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66">
              <w:r>
                <w:rPr>
                  <w:rStyle w:val="InternetLink"/>
                  <w:rFonts w:ascii="Times New Roman;serif" w:hAnsi="Times New Roman;serif"/>
                  <w:b w:val="false"/>
                  <w:color w:val="0000FF"/>
                  <w:sz w:val="20"/>
                  <w:u w:val="single"/>
                </w:rPr>
                <w:t>Note 1. Basis of Presentation and Significant Accounting Policies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66">
              <w:r>
                <w:rPr>
                  <w:rStyle w:val="InternetLink"/>
                  <w:rFonts w:ascii="Times New Roman;serif" w:hAnsi="Times New Roman;serif"/>
                  <w:b w:val="false"/>
                  <w:color w:val="0000FF"/>
                  <w:sz w:val="20"/>
                  <w:u w:val="single"/>
                </w:rPr>
                <w:t>62</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72">
              <w:r>
                <w:rPr>
                  <w:rStyle w:val="InternetLink"/>
                  <w:rFonts w:ascii="Times New Roman;serif" w:hAnsi="Times New Roman;serif"/>
                  <w:b w:val="false"/>
                  <w:color w:val="0000FF"/>
                  <w:sz w:val="20"/>
                  <w:u w:val="single"/>
                </w:rPr>
                <w:t>Note 2. Discontinued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72">
              <w:r>
                <w:rPr>
                  <w:rStyle w:val="InternetLink"/>
                  <w:rFonts w:ascii="Times New Roman;serif" w:hAnsi="Times New Roman;serif"/>
                  <w:b w:val="false"/>
                  <w:color w:val="0000FF"/>
                  <w:sz w:val="20"/>
                  <w:u w:val="single"/>
                </w:rPr>
                <w:t>74</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78">
              <w:r>
                <w:rPr>
                  <w:rStyle w:val="InternetLink"/>
                  <w:rFonts w:ascii="Times New Roman;serif" w:hAnsi="Times New Roman;serif"/>
                  <w:b w:val="false"/>
                  <w:color w:val="0000FF"/>
                  <w:sz w:val="20"/>
                  <w:u w:val="single"/>
                </w:rPr>
                <w:t>Note 3. Business Combinations and Divestitures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78">
              <w:r>
                <w:rPr>
                  <w:rStyle w:val="InternetLink"/>
                  <w:rFonts w:ascii="Times New Roman;serif" w:hAnsi="Times New Roman;serif"/>
                  <w:b w:val="false"/>
                  <w:color w:val="0000FF"/>
                  <w:sz w:val="20"/>
                  <w:u w:val="single"/>
                </w:rPr>
                <w:t>76</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84">
              <w:r>
                <w:rPr>
                  <w:rStyle w:val="InternetLink"/>
                  <w:rFonts w:ascii="Times New Roman;serif" w:hAnsi="Times New Roman;serif"/>
                  <w:b w:val="false"/>
                  <w:color w:val="0000FF"/>
                  <w:sz w:val="20"/>
                  <w:u w:val="single"/>
                </w:rPr>
                <w:t>Note 4. Goodwill and Purchased Intangible Assets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84">
              <w:r>
                <w:rPr>
                  <w:rStyle w:val="InternetLink"/>
                  <w:rFonts w:ascii="Times New Roman;serif" w:hAnsi="Times New Roman;serif"/>
                  <w:b w:val="false"/>
                  <w:color w:val="0000FF"/>
                  <w:sz w:val="20"/>
                  <w:u w:val="single"/>
                </w:rPr>
                <w:t>76</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87">
              <w:r>
                <w:rPr>
                  <w:rStyle w:val="InternetLink"/>
                  <w:rFonts w:ascii="Times New Roman;serif" w:hAnsi="Times New Roman;serif"/>
                  <w:b w:val="false"/>
                  <w:color w:val="0000FF"/>
                  <w:sz w:val="20"/>
                  <w:u w:val="single"/>
                </w:rPr>
                <w:t>Note 5. Segment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87">
              <w:r>
                <w:rPr>
                  <w:rStyle w:val="InternetLink"/>
                  <w:rFonts w:ascii="Times New Roman;serif" w:hAnsi="Times New Roman;serif"/>
                  <w:b w:val="false"/>
                  <w:color w:val="0000FF"/>
                  <w:sz w:val="20"/>
                  <w:u w:val="single"/>
                </w:rPr>
                <w:t>77</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90">
              <w:r>
                <w:rPr>
                  <w:rStyle w:val="InternetLink"/>
                  <w:rFonts w:ascii="Times New Roman;serif" w:hAnsi="Times New Roman;serif"/>
                  <w:b w:val="false"/>
                  <w:color w:val="0000FF"/>
                  <w:sz w:val="20"/>
                  <w:u w:val="single"/>
                </w:rPr>
                <w:t>Note 6. Debt Obligations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90">
              <w:r>
                <w:rPr>
                  <w:rStyle w:val="InternetLink"/>
                  <w:rFonts w:ascii="Times New Roman;serif" w:hAnsi="Times New Roman;serif"/>
                  <w:b w:val="false"/>
                  <w:color w:val="0000FF"/>
                  <w:sz w:val="20"/>
                  <w:u w:val="single"/>
                </w:rPr>
                <w:t>80</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96">
              <w:r>
                <w:rPr>
                  <w:rStyle w:val="InternetLink"/>
                  <w:rFonts w:ascii="Times New Roman;serif" w:hAnsi="Times New Roman;serif"/>
                  <w:b w:val="false"/>
                  <w:color w:val="0000FF"/>
                  <w:sz w:val="20"/>
                  <w:u w:val="single"/>
                </w:rPr>
                <w:t>Note 7. Trade Receivable Facility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96">
              <w:r>
                <w:rPr>
                  <w:rStyle w:val="InternetLink"/>
                  <w:rFonts w:ascii="Times New Roman;serif" w:hAnsi="Times New Roman;serif"/>
                  <w:b w:val="false"/>
                  <w:color w:val="0000FF"/>
                  <w:sz w:val="20"/>
                  <w:u w:val="single"/>
                </w:rPr>
                <w:t>82</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99">
              <w:r>
                <w:rPr>
                  <w:rStyle w:val="InternetLink"/>
                  <w:rFonts w:ascii="Times New Roman;serif" w:hAnsi="Times New Roman;serif"/>
                  <w:b w:val="false"/>
                  <w:color w:val="0000FF"/>
                  <w:sz w:val="20"/>
                  <w:u w:val="single"/>
                </w:rPr>
                <w:t>Note 8. Income Taxes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199">
              <w:r>
                <w:rPr>
                  <w:rStyle w:val="InternetLink"/>
                  <w:rFonts w:ascii="Times New Roman;serif" w:hAnsi="Times New Roman;serif"/>
                  <w:b w:val="false"/>
                  <w:color w:val="0000FF"/>
                  <w:sz w:val="20"/>
                  <w:u w:val="single"/>
                </w:rPr>
                <w:t>83</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02">
              <w:r>
                <w:rPr>
                  <w:rStyle w:val="InternetLink"/>
                  <w:rFonts w:ascii="Times New Roman;serif" w:hAnsi="Times New Roman;serif"/>
                  <w:b w:val="false"/>
                  <w:color w:val="0000FF"/>
                  <w:sz w:val="20"/>
                  <w:u w:val="single"/>
                </w:rPr>
                <w:t>Note 9. Stock Compensation Plans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02">
              <w:r>
                <w:rPr>
                  <w:rStyle w:val="InternetLink"/>
                  <w:rFonts w:ascii="Times New Roman;serif" w:hAnsi="Times New Roman;serif"/>
                  <w:b w:val="false"/>
                  <w:color w:val="0000FF"/>
                  <w:sz w:val="20"/>
                  <w:u w:val="single"/>
                </w:rPr>
                <w:t>88</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05">
              <w:r>
                <w:rPr>
                  <w:rStyle w:val="InternetLink"/>
                  <w:rFonts w:ascii="Times New Roman;serif" w:hAnsi="Times New Roman;serif"/>
                  <w:b w:val="false"/>
                  <w:color w:val="0000FF"/>
                  <w:sz w:val="20"/>
                  <w:u w:val="single"/>
                </w:rPr>
                <w:t>Note 10. Employee Benefit Plans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05">
              <w:r>
                <w:rPr>
                  <w:rStyle w:val="InternetLink"/>
                  <w:rFonts w:ascii="Times New Roman;serif" w:hAnsi="Times New Roman;serif"/>
                  <w:b w:val="false"/>
                  <w:color w:val="0000FF"/>
                  <w:sz w:val="20"/>
                  <w:u w:val="single"/>
                </w:rPr>
                <w:t>92</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11">
              <w:r>
                <w:rPr>
                  <w:rStyle w:val="InternetLink"/>
                  <w:rFonts w:ascii="Times New Roman;serif" w:hAnsi="Times New Roman;serif"/>
                  <w:b w:val="false"/>
                  <w:color w:val="0000FF"/>
                  <w:sz w:val="20"/>
                  <w:u w:val="single"/>
                </w:rPr>
                <w:t>Note 11. Commitments and Contingencies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11">
              <w:r>
                <w:rPr>
                  <w:rStyle w:val="InternetLink"/>
                  <w:rFonts w:ascii="Times New Roman;serif" w:hAnsi="Times New Roman;serif"/>
                  <w:b w:val="false"/>
                  <w:color w:val="0000FF"/>
                  <w:sz w:val="20"/>
                  <w:u w:val="single"/>
                </w:rPr>
                <w:t>97</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14">
              <w:r>
                <w:rPr>
                  <w:rStyle w:val="InternetLink"/>
                  <w:rFonts w:ascii="Times New Roman;serif" w:hAnsi="Times New Roman;serif"/>
                  <w:b w:val="false"/>
                  <w:color w:val="0000FF"/>
                  <w:sz w:val="20"/>
                  <w:u w:val="single"/>
                </w:rPr>
                <w:t>Note 12. Leasing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14">
              <w:r>
                <w:rPr>
                  <w:rStyle w:val="InternetLink"/>
                  <w:rFonts w:ascii="Times New Roman;serif" w:hAnsi="Times New Roman;serif"/>
                  <w:b w:val="false"/>
                  <w:color w:val="0000FF"/>
                  <w:sz w:val="20"/>
                  <w:u w:val="single"/>
                </w:rPr>
                <w:t>102</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17">
              <w:r>
                <w:rPr>
                  <w:rStyle w:val="InternetLink"/>
                  <w:rFonts w:ascii="Times New Roman;serif" w:hAnsi="Times New Roman;serif"/>
                  <w:b w:val="false"/>
                  <w:color w:val="0000FF"/>
                  <w:sz w:val="20"/>
                  <w:u w:val="single"/>
                </w:rPr>
                <w:t>Note 13. Series A Preferred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17">
              <w:r>
                <w:rPr>
                  <w:rStyle w:val="InternetLink"/>
                  <w:rFonts w:ascii="Times New Roman;serif" w:hAnsi="Times New Roman;serif"/>
                  <w:b w:val="false"/>
                  <w:color w:val="0000FF"/>
                  <w:sz w:val="20"/>
                  <w:u w:val="single"/>
                </w:rPr>
                <w:t>104</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20">
              <w:r>
                <w:rPr>
                  <w:rStyle w:val="InternetLink"/>
                  <w:rFonts w:ascii="Times New Roman;serif" w:hAnsi="Times New Roman;serif"/>
                  <w:b w:val="false"/>
                  <w:color w:val="0000FF"/>
                  <w:sz w:val="20"/>
                  <w:u w:val="single"/>
                </w:rPr>
                <w:t>Note 14. Earnings Per Share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20">
              <w:r>
                <w:rPr>
                  <w:rStyle w:val="InternetLink"/>
                  <w:rFonts w:ascii="Times New Roman;serif" w:hAnsi="Times New Roman;serif"/>
                  <w:b w:val="false"/>
                  <w:color w:val="0000FF"/>
                  <w:sz w:val="20"/>
                  <w:u w:val="single"/>
                </w:rPr>
                <w:t>106</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23">
              <w:r>
                <w:rPr>
                  <w:rStyle w:val="InternetLink"/>
                  <w:rFonts w:ascii="Times New Roman;serif" w:hAnsi="Times New Roman;serif"/>
                  <w:b w:val="false"/>
                  <w:color w:val="0000FF"/>
                  <w:sz w:val="20"/>
                  <w:u w:val="single"/>
                </w:rPr>
                <w:t>Note 15. Derivatives and Hedging Instruments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23">
              <w:r>
                <w:rPr>
                  <w:rStyle w:val="InternetLink"/>
                  <w:rFonts w:ascii="Times New Roman;serif" w:hAnsi="Times New Roman;serif"/>
                  <w:b w:val="false"/>
                  <w:color w:val="0000FF"/>
                  <w:sz w:val="20"/>
                  <w:u w:val="single"/>
                </w:rPr>
                <w:t>108</w:t>
              </w:r>
            </w:hyperlink>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32">
              <w:r>
                <w:rPr>
                  <w:rStyle w:val="InternetLink"/>
                  <w:rFonts w:ascii="Times New Roman;serif" w:hAnsi="Times New Roman;serif"/>
                  <w:b w:val="false"/>
                  <w:color w:val="000080"/>
                  <w:sz w:val="20"/>
                  <w:u w:val="single"/>
                </w:rPr>
                <w:t>Note 1</w:t>
              </w:r>
            </w:hyperlink>
            <w:hyperlink w:anchor="id8aba24cf4eb4a47831af3d9eaa2f62a_232">
              <w:r>
                <w:rPr>
                  <w:rStyle w:val="InternetLink"/>
                  <w:rFonts w:ascii="Times New Roman;serif" w:hAnsi="Times New Roman;serif"/>
                  <w:b w:val="false"/>
                  <w:color w:val="000080"/>
                  <w:sz w:val="20"/>
                  <w:u w:val="single"/>
                </w:rPr>
                <w:t>6</w:t>
              </w:r>
            </w:hyperlink>
            <w:hyperlink w:anchor="id8aba24cf4eb4a47831af3d9eaa2f62a_232">
              <w:r>
                <w:rPr>
                  <w:rStyle w:val="InternetLink"/>
                  <w:rFonts w:ascii="Times New Roman;serif" w:hAnsi="Times New Roman;serif"/>
                  <w:b w:val="false"/>
                  <w:color w:val="000080"/>
                  <w:sz w:val="20"/>
                  <w:u w:val="single"/>
                </w:rPr>
                <w:t>. Accumulated Other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32">
              <w:r>
                <w:rPr>
                  <w:rStyle w:val="InternetLink"/>
                  <w:rFonts w:ascii="Times New Roman;serif" w:hAnsi="Times New Roman;serif"/>
                  <w:b w:val="false"/>
                  <w:color w:val="0000FF"/>
                  <w:sz w:val="20"/>
                  <w:u w:val="single"/>
                </w:rPr>
                <w:t>110</w:t>
              </w:r>
            </w:hyperlink>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235">
              <w:r>
                <w:rPr>
                  <w:rStyle w:val="InternetLink"/>
                  <w:rFonts w:ascii="Times New Roman;serif" w:hAnsi="Times New Roman;serif"/>
                  <w:b w:val="false"/>
                  <w:color w:val="000080"/>
                  <w:sz w:val="20"/>
                  <w:u w:val="single"/>
                </w:rPr>
                <w:t>Note 1</w:t>
              </w:r>
            </w:hyperlink>
            <w:hyperlink w:anchor="id8aba24cf4eb4a47831af3d9eaa2f62a_235">
              <w:r>
                <w:rPr>
                  <w:rStyle w:val="InternetLink"/>
                  <w:rFonts w:ascii="Times New Roman;serif" w:hAnsi="Times New Roman;serif"/>
                  <w:b w:val="false"/>
                  <w:color w:val="000080"/>
                  <w:sz w:val="20"/>
                  <w:u w:val="single"/>
                </w:rPr>
                <w:t>7</w:t>
              </w:r>
            </w:hyperlink>
            <w:hyperlink w:anchor="id8aba24cf4eb4a47831af3d9eaa2f62a_235">
              <w:r>
                <w:rPr>
                  <w:rStyle w:val="InternetLink"/>
                  <w:rFonts w:ascii="Times New Roman;serif" w:hAnsi="Times New Roman;serif"/>
                  <w:b w:val="false"/>
                  <w:color w:val="000080"/>
                  <w:sz w:val="20"/>
                  <w:u w:val="single"/>
                </w:rPr>
                <w:t>. Supplemental Financial Information</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ba24cf4eb4a47831af3d9eaa2f62a_235">
              <w:r>
                <w:rPr>
                  <w:rStyle w:val="InternetLink"/>
                  <w:rFonts w:ascii="Times New Roman;serif" w:hAnsi="Times New Roman;serif"/>
                  <w:b w:val="false"/>
                  <w:color w:val="0000FF"/>
                  <w:sz w:val="20"/>
                  <w:u w:val="single"/>
                </w:rPr>
                <w:t>111</w:t>
              </w:r>
            </w:hyperlink>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SUPPLEMENTAL DATA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To the</w:t>
      </w:r>
      <w:r>
        <w:rPr>
          <w:color w:val="FF0000"/>
        </w:rPr>
        <w:t xml:space="preserve"> </w:t>
      </w:r>
      <w:r>
        <w:rPr>
          <w:rFonts w:ascii="Times New Roman;serif" w:hAnsi="Times New Roman;serif"/>
          <w:b w:val="false"/>
          <w:color w:val="000000"/>
          <w:sz w:val="20"/>
        </w:rPr>
        <w:t>Board of Directors and Stockholders of NCR Voyix Corporation</w:t>
      </w:r>
      <w:r>
        <w:rPr>
          <w:color w:val="FF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have audited the consolidated financial statements, including the related notes, as listed in the index appearing under Item 15(a)(1), and the financial statement schedule listed in the index appearing under Item 15(a)(2), of NCR Voyix Corporation and its subsidiaries (the “Company”)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Notes 1 and 5 to the consolidated financial statements, the Company’s consolidated total revenue was $2.7 billion for the year ended December 31, 2025. Revenue is recognized, net of sales tax, when the Company transfers control of promised products and services to customers in an amount that reflects the consideration the Company expects to receive in exchange for those products and services. The Company enters into contracts that include multiple distinct performance obligations consisting of both products and services. For these arrangements, the Company allocates the transaction price, at contract inception, to each distinct performance obligation on a relative standalone selling price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revenue recognition is a critical audit matter are a high degree of auditor effort in performing procedures and evaluating audit evidence related to the Company’s revenue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for a sample of revenue transactions (i) testing revenue recognized by obtaining and inspecting source documents, such as contracts, purchase orders, invoices, and proof of shipment, delivery or service; (ii) testing management’s allocation of the transaction price to identified performance obligations; and (iii) recalculating revenue recognized. The procedures performed also included (i) testing the completeness and accuracy of the data used by management in the determination of the standalone selling price and (ii) testing a sample of outstanding customer invoice balances as of December 31, 2025 by obtaining and inspecting subsequent cash receipts and, for invoices not yet paid, obtaining and inspecting source documents, such as contracts, purchase orders, invoices, and proof of shipment, delivery or service.</w:t>
      </w:r>
    </w:p>
    <w:p>
      <w:pPr>
        <w:pStyle w:val="TextBody"/>
        <w:bidi w:val="0"/>
        <w:spacing w:before="0" w:after="0"/>
        <w:jc w:val="both"/>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Atlanta, Georgia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26, 2026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We have served as the Company’s auditor since 1993.</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473"/>
        <w:gridCol w:w="2168"/>
        <w:gridCol w:w="2177"/>
        <w:gridCol w:w="211"/>
        <w:gridCol w:w="526"/>
        <w:gridCol w:w="109"/>
        <w:gridCol w:w="109"/>
        <w:gridCol w:w="109"/>
        <w:gridCol w:w="109"/>
        <w:gridCol w:w="211"/>
        <w:gridCol w:w="584"/>
        <w:gridCol w:w="109"/>
        <w:gridCol w:w="109"/>
        <w:gridCol w:w="109"/>
        <w:gridCol w:w="109"/>
        <w:gridCol w:w="211"/>
        <w:gridCol w:w="616"/>
        <w:gridCol w:w="156"/>
      </w:tblGrid>
      <w:tr>
        <w:trPr/>
        <w:tc>
          <w:tcPr>
            <w:tcW w:w="247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years ended December 31, (in millions, except per share amounts)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 before income taxes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 of discontinued operations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NCR Voyix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attributable to NCR Voyix common stockholders:</w:t>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convertible preferred stock dividends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attributable to NCR Voyix</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NCR Voyix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per share attributable to NCR Voyix common stockholders:</w:t>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per common share from continuing operations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w:t>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left"/>
        <w:rPr>
          <w:color w:val="000000"/>
        </w:rPr>
      </w:pPr>
      <w:r>
        <w:rPr>
          <w:color w:val="000000"/>
        </w:rPr>
        <w:t> </w:t>
      </w:r>
    </w:p>
    <w:tbl>
      <w:tblPr>
        <w:tblW w:w="9776" w:type="dxa"/>
        <w:jc w:val="center"/>
        <w:tblInd w:w="0" w:type="dxa"/>
        <w:tblLayout w:type="fixed"/>
        <w:tblCellMar>
          <w:top w:w="28" w:type="dxa"/>
          <w:left w:w="28" w:type="dxa"/>
          <w:bottom w:w="28" w:type="dxa"/>
          <w:right w:w="28" w:type="dxa"/>
        </w:tblCellMar>
      </w:tblPr>
      <w:tblGrid>
        <w:gridCol w:w="2434"/>
        <w:gridCol w:w="2147"/>
        <w:gridCol w:w="2153"/>
        <w:gridCol w:w="211"/>
        <w:gridCol w:w="376"/>
        <w:gridCol w:w="109"/>
        <w:gridCol w:w="109"/>
        <w:gridCol w:w="109"/>
        <w:gridCol w:w="109"/>
        <w:gridCol w:w="211"/>
        <w:gridCol w:w="466"/>
        <w:gridCol w:w="109"/>
        <w:gridCol w:w="109"/>
        <w:gridCol w:w="109"/>
        <w:gridCol w:w="109"/>
        <w:gridCol w:w="211"/>
        <w:gridCol w:w="541"/>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years ended December 31 (in millions)</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Currency translation adjustments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 gain (loss)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(gain) on derivatives arising during the period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income tax benefit (expense)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Employee benefit plans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Prior service benefit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prior service cost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Net gain (loss) arising during the period</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actuarial (loss) gain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income tax benefit (expense)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Currency translation adjustments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attributable to noncontrolling interests</w:t>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NCR Voyix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3113"/>
        <w:gridCol w:w="2487"/>
        <w:gridCol w:w="2495"/>
        <w:gridCol w:w="196"/>
        <w:gridCol w:w="571"/>
        <w:gridCol w:w="109"/>
        <w:gridCol w:w="109"/>
        <w:gridCol w:w="109"/>
        <w:gridCol w:w="109"/>
        <w:gridCol w:w="196"/>
        <w:gridCol w:w="556"/>
        <w:gridCol w:w="155"/>
      </w:tblGrid>
      <w:tr>
        <w:trPr/>
        <w:tc>
          <w:tcPr>
            <w:tcW w:w="3113"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09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(in millions except per share amounts)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$21 and $26 as of December 31, 2025 and 2024, respectively</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pension cost</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benefits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indemnity plan liabilities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and postemployment benefits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accruals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 of discontinued operations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11)</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convertible preferred stock: par value $0.01 per share, 3.0 shares authorized, 0.2 and 0.3 shares issued and outstanding as of December 31, 2025 and 2024, respectively; redemption amount and liquidation preference of $207 and $276 as of December 31, 2025 and 2024, respectively</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NCR Voyix stockholders’ equity</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Preferred stock: par value $0.01 per share, 100.0 shares authorized, no shares issued and outstanding as of December 31, 2025 and 2024, respectively</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Common stock: par value $0.01 per share, 500.0 shares authorized, 138.3 and 142.1 shares issued and outstanding as of December 31, 2025 and 2024, respectively</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(deficit)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NCR Voyix stockholders’ equity</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subsidiaries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167" w:type="dxa"/>
        <w:jc w:val="center"/>
        <w:tblInd w:w="0" w:type="dxa"/>
        <w:tblLayout w:type="fixed"/>
        <w:tblCellMar>
          <w:top w:w="28" w:type="dxa"/>
          <w:left w:w="28" w:type="dxa"/>
          <w:bottom w:w="28" w:type="dxa"/>
          <w:right w:w="28" w:type="dxa"/>
        </w:tblCellMar>
      </w:tblPr>
      <w:tblGrid>
        <w:gridCol w:w="2457"/>
        <w:gridCol w:w="2165"/>
        <w:gridCol w:w="2173"/>
        <w:gridCol w:w="196"/>
        <w:gridCol w:w="496"/>
        <w:gridCol w:w="109"/>
        <w:gridCol w:w="109"/>
        <w:gridCol w:w="109"/>
        <w:gridCol w:w="109"/>
        <w:gridCol w:w="196"/>
        <w:gridCol w:w="631"/>
        <w:gridCol w:w="109"/>
        <w:gridCol w:w="109"/>
        <w:gridCol w:w="109"/>
        <w:gridCol w:w="109"/>
        <w:gridCol w:w="196"/>
        <w:gridCol w:w="631"/>
        <w:gridCol w:w="154"/>
      </w:tblGrid>
      <w:tr>
        <w:trPr/>
        <w:tc>
          <w:tcPr>
            <w:tcW w:w="245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years ended December 31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(gain) on debt extinguishment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disposal of property, plant and equipment and other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(gain) on divestiture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other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terminated interest rate derivative agreements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net of effects of business acquired:</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payables and accrued expenses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benefit plans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and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plant and equipment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acquisitions, net of cash acquired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divestiture,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disposition of corporate-owned life insurance policies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Termination of trade receivable facility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Collections on purchased trade receivables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(purchase) of intangible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cash provided by (used in) investing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term credit facilities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on term credit facilities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revolving credit facilities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on revolving credit facilities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senior unsecured notes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other financing arrangements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 and bridge commitment fees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Call premium on debt extinguishment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 paid for Series A preferred share dividends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payments on behalf of employees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plans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preferred shares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for finance lease obligations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debt related to debt transferred to NCR Atleos at separation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transferred to NCR Atleos at separation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financing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cash, cash equivalents and restricted cash</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tbl>
      <w:tblPr>
        <w:tblW w:w="10205" w:type="dxa"/>
        <w:jc w:val="center"/>
        <w:tblInd w:w="0" w:type="dxa"/>
        <w:tblLayout w:type="fixed"/>
        <w:tblCellMar>
          <w:top w:w="28" w:type="dxa"/>
          <w:left w:w="28" w:type="dxa"/>
          <w:bottom w:w="28" w:type="dxa"/>
          <w:right w:w="28" w:type="dxa"/>
        </w:tblCellMar>
      </w:tblPr>
      <w:tblGrid>
        <w:gridCol w:w="602"/>
        <w:gridCol w:w="456"/>
        <w:gridCol w:w="309"/>
        <w:gridCol w:w="109"/>
        <w:gridCol w:w="109"/>
        <w:gridCol w:w="109"/>
        <w:gridCol w:w="218"/>
        <w:gridCol w:w="218"/>
        <w:gridCol w:w="196"/>
        <w:gridCol w:w="109"/>
        <w:gridCol w:w="109"/>
        <w:gridCol w:w="109"/>
        <w:gridCol w:w="241"/>
        <w:gridCol w:w="315"/>
        <w:gridCol w:w="135"/>
        <w:gridCol w:w="109"/>
        <w:gridCol w:w="109"/>
        <w:gridCol w:w="109"/>
        <w:gridCol w:w="202"/>
        <w:gridCol w:w="450"/>
        <w:gridCol w:w="112"/>
        <w:gridCol w:w="109"/>
        <w:gridCol w:w="109"/>
        <w:gridCol w:w="109"/>
        <w:gridCol w:w="202"/>
        <w:gridCol w:w="589"/>
        <w:gridCol w:w="112"/>
        <w:gridCol w:w="109"/>
        <w:gridCol w:w="109"/>
        <w:gridCol w:w="109"/>
        <w:gridCol w:w="354"/>
        <w:gridCol w:w="790"/>
        <w:gridCol w:w="199"/>
        <w:gridCol w:w="109"/>
        <w:gridCol w:w="109"/>
        <w:gridCol w:w="109"/>
        <w:gridCol w:w="355"/>
        <w:gridCol w:w="735"/>
        <w:gridCol w:w="198"/>
        <w:gridCol w:w="109"/>
        <w:gridCol w:w="109"/>
        <w:gridCol w:w="109"/>
        <w:gridCol w:w="196"/>
        <w:gridCol w:w="571"/>
        <w:gridCol w:w="161"/>
      </w:tblGrid>
      <w:tr>
        <w:trPr/>
        <w:tc>
          <w:tcPr>
            <w:tcW w:w="60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NCR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(300)</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1,471</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and stock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Spin-Off of NCR Atleos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(419)</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and stock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Spin-Off of NCR Atleos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of Company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866</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535</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(469)</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931</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and stock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Deemed dividend from redemption of 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Spin-Off of NCR Atleos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of Company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827</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559</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948</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BASIS OF PRESENTATION AND SIGNIFICANT ACCOUNTING POLICIES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Description of Business</w:t>
      </w:r>
      <w:r>
        <w:rPr>
          <w:color w:val="000000"/>
        </w:rPr>
        <w:t xml:space="preserve"> </w:t>
      </w:r>
      <w:r>
        <w:rPr>
          <w:rFonts w:ascii="Times New Roman;serif" w:hAnsi="Times New Roman;serif"/>
          <w:b w:val="false"/>
          <w:color w:val="000000"/>
          <w:sz w:val="20"/>
        </w:rPr>
        <w:t xml:space="preserve">NCR Voyix Corporation (“NCR Voyix”, “NCR”, the “Company”, “we” or “us”) is a global provider of unified commerce technology, primarily focused on delivering software solutions and service offerings to retail and restaurant businesses of all sizes. Subsequent to the Digital Banking Sale and the spin-off of NCR Atleos, as described below, the Company manages and reports in two segments: Retail and Restaurants.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Spin-off of NCR Atleos</w:t>
      </w:r>
      <w:r>
        <w:rPr>
          <w:color w:val="000000"/>
        </w:rPr>
        <w:t xml:space="preserve"> </w:t>
      </w:r>
      <w:r>
        <w:rPr>
          <w:rFonts w:ascii="Times New Roman;serif" w:hAnsi="Times New Roman;serif"/>
          <w:b w:val="false"/>
          <w:color w:val="000000"/>
          <w:sz w:val="20"/>
        </w:rPr>
        <w:t>On October 16, 2023, we completed the spin-off of our ATM-focused business, including our self-service banking, payments &amp; network, and telecommunications and technology businesses, into an independent publicly traded company, NCR Atleos Corporation and its consolidated subsidiaries (collectively hereinafter “NCR Atleos”). The spin-off of NCR Atleos (the “Spin-Off”) was effectuated through a pro rata distribution of all outstanding shares of NCR Atleos common stock to holders of our common stock as of the close of business on October 2, 2023 (the “record date”). We distributed one share of NCR Atleos common stock for every two common shares of our outstanding common stock as of the record date. Shareholders received cash in lieu of fractional shares of Atleos common stock. The Spin-Off is expected to qualify as a tax-free distribution for U.S. federal income tax purposes. The Company retains no ownership interest in NCR Atleos. The accounting requirements for reporting the Spin-Off of NCR Atleos as a discontinued operation were met when the separation was completed. Accordingly, the financial results for NCR Atleos for the years ended December 31, 2025, 2024 and 2023 are presented as net income (loss) from discontinued operations, net of tax on the Consolidated Statements of Operations and its assets and liabilities as of December 31, 2024 are reclassified as discontinued operations in the Consolidated Balance Sheets. Refer to Note 2, “Discontinued Operations”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Spin-Off, we entered into various agreements with NCR Atleos to effectuate the Spin-Off, and to provide a framework for the relationship between the Company and NCR Atleos after the Spin-Off. Such agreements include the separation and distribution agreement, as well as the following ongoing agreements: a tax matters agreement, employee matters agreement, patent and technology cross-license agreement, trademark license and use agreement, master services agreement and various other transaction agreements. While many of the performance obligations of the Company and NCR Atleos have been satisfied or have otherwise expired, we continue to provide certain limited services to NCR Atleos and receive certain limited services from NCR Atleos pursuant to the terms of the master services agreement.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Sale of Digital Banking</w:t>
      </w:r>
      <w:r>
        <w:rPr>
          <w:color w:val="000000"/>
        </w:rPr>
        <w:t xml:space="preserve"> </w:t>
      </w:r>
      <w:r>
        <w:rPr>
          <w:rFonts w:ascii="Times New Roman;serif" w:hAnsi="Times New Roman;serif"/>
          <w:b w:val="false"/>
          <w:color w:val="000000"/>
          <w:sz w:val="20"/>
        </w:rPr>
        <w:t xml:space="preserve">On September 30, 2024, the Company completed the sale of its Digital Banking segment businesses (the “Digital Banking Sale”) to an affiliate of The Veritas Capital Fund VIII, L.P. (the “Buyer”). The purchase price for the transaction was $2.45 billion in cash, subject to a post-closing adjustment, as well as contingent consideration of up to an additional $100 million in cash upon the achievement of a specified return on the Buyer’s invested capital at the time of any future sale. The Company records contingent consideration at fair value based on the consideration expected to be transferred, which was estimated to be zero as of December 31, 2025. The accounting requirements for reporting the Digital Banking Sale as a discontinued operation were met when the definitive agreement was signed. Accordingly, the financial results for Digital Banking for the years ended December 31, 2024 and 2023 are presented as net income (loss) from discontinued operations, net of tax on the Consolidated Statements of Operations. Refer to Note 2, “Discontinued Operations” for additional information. In connection with the Digital Banking Sale, the Company and the Buyer entered into certain agreements, including a transition services agreement, providing for the performance of certain services by the Company for the benefit of the Buyer for a period of time after the Digital Banking Sale.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Transition of Hardware Business to ODM Model</w:t>
      </w:r>
      <w:r>
        <w:rPr>
          <w:color w:val="000000"/>
        </w:rPr>
        <w:t xml:space="preserve"> </w:t>
      </w:r>
      <w:r>
        <w:rPr>
          <w:rFonts w:ascii="Times New Roman;serif" w:hAnsi="Times New Roman;serif"/>
          <w:b w:val="false"/>
          <w:color w:val="000000"/>
          <w:sz w:val="20"/>
        </w:rPr>
        <w:t>In August 2024, the Company announced its entry into a commercial agreement with Ennoconn Corporation (“Ennoconn”) to transition its self-checkout and point-of-sale hardware businesses to an outsourced design and manufacturing (“ODM”) model, including the sale of certain assets relating to these businesses (the “Hardware Business Transition”). Under the terms of the agreement, Ennoconn will design, manufacture, warrant, supply, and ship self-checkout and point-of sale hardware directly to the Company’s customers, and we will sell hardware to our customers as a sales agent for Ennoconn and continue to provide our point-of sale and self-checkout software as well as key support and maintenance services. As a result of the anticipated Hardware Business Transition, we expect to record commission revenue from point-of-sale and self-checkout hardware sales as an agent for Ennoconn on a net basis, excluding the costs paid to Ennoconn. In January 2026, we announced the commencement of the implementation phase of the Hardware Business Transition.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Use of Estimates</w:t>
      </w:r>
      <w:r>
        <w:rPr>
          <w:color w:val="000000"/>
        </w:rPr>
        <w:t xml:space="preserve"> </w:t>
      </w:r>
      <w:r>
        <w:rPr>
          <w:rFonts w:ascii="Times New Roman;serif" w:hAnsi="Times New Roman;serif"/>
          <w:b w:val="false"/>
          <w:color w:val="000000"/>
          <w:sz w:val="20"/>
        </w:rPr>
        <w:t xml:space="preserve">The preparation of financial statements in accordance with generally accepted accounting principles in the United States (“GAAP”) requires management to make estimates and judgments that affect the reported amounts of assets and liabilities, the disclosure of contingent assets and liabilities at the date of the financial statements, and revenue and expenses during the periods reported.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our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macroeconomic pressures and geopolitical challenges. The ultimate impact on our overall financial condition and operating results will depend on supply chain challenges and cost escalations including materials, interest, labor and freight, and any additional governmental and public actions taken in response. As a result, our accounting estimates and assumptions may change over time as a consequence of the effects these external factors. Such changes could result in future impairments of goodwill, intangible assets, long-lived assets, incremental credit losses on accounts receivable and decreases in the carrying amount of our tax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Evaluation of Subsequent Events </w:t>
      </w:r>
      <w:r>
        <w:rPr>
          <w:rFonts w:ascii="Times New Roman;serif" w:hAnsi="Times New Roman;serif"/>
          <w:b w:val="false"/>
          <w:color w:val="000000"/>
          <w:sz w:val="20"/>
        </w:rPr>
        <w:t>The Company evaluated subsequent events through the date that our Consolidated Financial Statements were issued. Other than the items discussed within the Notes to Consolidated Financial Statements, no matters were identified that required adjustment of the Consolidated Financial Statements or additional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Basis of Consolidation</w:t>
      </w:r>
      <w:r>
        <w:rPr>
          <w:color w:val="000000"/>
        </w:rPr>
        <w:t xml:space="preserve"> </w:t>
      </w:r>
      <w:r>
        <w:rPr>
          <w:rFonts w:ascii="Times New Roman;serif" w:hAnsi="Times New Roman;serif"/>
          <w:b w:val="false"/>
          <w:color w:val="000000"/>
          <w:sz w:val="20"/>
        </w:rPr>
        <w:t xml:space="preserve">The consolidated financial statements include the accounts of NCR Voyix and its majority-owned subsidiaries. Long-term investments in affiliated companies in which NCR Voyix owns between 20% and 50%, and therefore, exercises significant influence, but which it does not control, are accounted for using the equity method. Investments in which NCR Voyix does not exercise significant influence (generally, when the Company has an investment of less than 20% and no significant influence, such as representation on the investee’s board of directors) are accounted for using the cost method. All inter-company transactions and accounts have been eliminated. In addition, the Company is required to determine whether it is the primary beneficiary of economic income or losses that may be generated by variable interest entities in which the Company has such an interest. In circumstances where the Company determined it is the primary beneficiary, consolidation of that entity would be required. For the periods presented, no variable interest entities have been consolidated.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Reclassifications</w:t>
      </w:r>
      <w:r>
        <w:rPr>
          <w:color w:val="000000"/>
        </w:rPr>
        <w:t xml:space="preserve"> </w:t>
      </w:r>
      <w:r>
        <w:rPr>
          <w:rFonts w:ascii="Times New Roman;serif" w:hAnsi="Times New Roman;serif"/>
          <w:b w:val="false"/>
          <w:color w:val="000000"/>
          <w:sz w:val="20"/>
        </w:rPr>
        <w:t xml:space="preserve">Certain prior-period amounts have been reclassified in the accompanying Consolidated Financial Statements and Notes thereto in order to conform to the current period presentation.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Revision</w:t>
      </w:r>
      <w:r>
        <w:rPr>
          <w:color w:val="000000"/>
        </w:rPr>
        <w:t xml:space="preserve"> </w:t>
      </w:r>
      <w:r>
        <w:rPr>
          <w:rFonts w:ascii="Times New Roman;serif" w:hAnsi="Times New Roman;serif"/>
          <w:b w:val="false"/>
          <w:color w:val="000000"/>
          <w:sz w:val="20"/>
        </w:rPr>
        <w:t xml:space="preserve">During the third quarter of 2025, the Company identified errors in previously issued financial statements related to the historical pre-Spin-Off operations of NCR Atleos that impact their revenue and certain expense items which were reported as Income (loss) from discontinued operations. The Company evaluated the impact of these errors and concluded that they were immaterial to all previously issued financial statements, individually and in the aggregate. However, the Company is revising the previously issued financial statements to correct these errors, as well as certain previously identified out-of-period adjustments related to the Spin-Off, into the appropriate period (fiscal 2023). The correction of these items resulted in a decrease to previously reported net income (loss) from discontinued operations, net of tax, of $5 million and $6 million for the years ended December 31, 2023 and 2022, respectively. The correction also resulted in a $0.04 and $0.04 per share decrease to previously reported basic and diluted earnings per share from discontinued operations for 2023 and 2022, respectively, with the same impact to total net income per share. The net impact of this revision decreases the opening balance of retained earnings (deficit) by $8 million at December 31, 2022 as compared to what was previously reported. The net impact of this revision increases retained earnings (deficit) by $12 million and increases accumulated other comprehensive income (loss) by $10 million at December 31, 2023 as compared to what was previously reported. The impact of the revision did not affect the Company’s reported balances of continuing operations or cash flows for any reporting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Out-of-period adjustments</w:t>
      </w:r>
      <w:r>
        <w:rPr>
          <w:color w:val="000000"/>
        </w:rPr>
        <w:t xml:space="preserve"> </w:t>
      </w:r>
      <w:r>
        <w:rPr>
          <w:rFonts w:ascii="Times New Roman;serif" w:hAnsi="Times New Roman;serif"/>
          <w:b w:val="false"/>
          <w:color w:val="000000"/>
          <w:sz w:val="20"/>
        </w:rPr>
        <w:t xml:space="preserve">In the first quarter of 2023, the Company recorded a $10 million out-of-period adjustment to increase operating expenses and increase an employee-related liability in order to correct for an understatement of such same balances during the fourth quarter of 2022.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2024, the Company recorded an out-of-period adjustment to decrease revenue by $10 million, decrease accounts receivable by $5 million, and increase contract liabilities by $5 million. The amount related to periods prior to 2024 was $4 million of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2024, the Company recorded an out-of-period adjustment related to foreign currency to increase other expense, net, by approximately $8 million, increase other current liabilities by approximately $4 million and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by approximately $4 million. The amount related to 2023 was $2 million of other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evaluated the impact of the out-of-period adjustments and concluded they are not material to the consolidated financial statements for any of the periods presented.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ACH disbursements</w:t>
      </w:r>
      <w:r>
        <w:rPr>
          <w:color w:val="000000"/>
        </w:rPr>
        <w:t xml:space="preserve"> </w:t>
      </w:r>
      <w:r>
        <w:rPr>
          <w:rFonts w:ascii="Times New Roman;serif" w:hAnsi="Times New Roman;serif"/>
          <w:b w:val="false"/>
          <w:color w:val="000000"/>
          <w:sz w:val="20"/>
        </w:rPr>
        <w:t xml:space="preserve">In February 2024, the Company identified fraudulent automated clearing house (“ACH”) disbursements from a Company bank account. The cumulative amount of these disbursements total $34 million. As of December 31, 2025, the Company has recovered approximately $16 million of fraudulent disbursements from the Company’s banks and continues to pursue insurance recoveries in connection with this matter. The amount of these disbursements through December 31, 2023 was $5 million. Through September 30, 2023, the Company had incorrectly recorded approximately $11 million in an accounts receivable clearing account instead of as operating expenses, of which approximately $2 million related to annual periods prior to 2023. As a result, in the fourth quarter of 2023, the Company recorded a $2 million out-of-period adjustment to increase operating expenses and decrease accounts receivable in order to correct for the errors.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evaluated the impact of the errors and out-of-period adjustments and concluded they are not material to any previously issued consolidated financial statements and the correction of the errors is not material to the consolidated financial statements for the year ended December 31, 2023.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Cyber ransomware incident</w:t>
      </w:r>
      <w:r>
        <w:rPr>
          <w:color w:val="000000"/>
        </w:rPr>
        <w:t xml:space="preserve"> </w:t>
      </w:r>
      <w:r>
        <w:rPr>
          <w:rFonts w:ascii="Times New Roman;serif" w:hAnsi="Times New Roman;serif"/>
          <w:b w:val="false"/>
          <w:color w:val="000000"/>
          <w:sz w:val="20"/>
        </w:rPr>
        <w:t>On April 13, 2023, the Company determined that a single data center outage impacting certain of its commerce customers was caused by a cyber ransomware incident. Upon such determination, the Company immediately started contacting customers, enacted its cybersecurity protocol and engaged outside experts to contain the incident and begin the recovery process. We concluded that this incident impacted operations for some customers only with respect to specific Aloha cloud-based services and Counterpoint. Our investigation also concluded no financial reporting systems were impacted. As of December 31, 2025, the Company has incurred a cumulative $47 million of expenses related to the cyber ransomware incident and has recovered $37 million of these costs under our insurance policies. We are still pursuing insurance recoveries in connection with this matter. We may incur additional costs relating to this incident in the future, including expenses to respond to this matter, payment of damages or other costs to customers or others. At this time we do not believe additional costs incurred as a result of the incident will ultimately have a material adverse effect on our business, results of operations or financial condition; however, we remain subject to risks and uncertainties as a result of the incident.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Revenue Recognition </w:t>
      </w:r>
      <w:r>
        <w:rPr>
          <w:rFonts w:ascii="Times New Roman;serif" w:hAnsi="Times New Roman;serif"/>
          <w:b w:val="false"/>
          <w:color w:val="000000"/>
          <w:sz w:val="20"/>
        </w:rPr>
        <w:t>The Company derives its revenues from both products and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Product revenue comprises sales of hardware and on-premise software licenses.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Service revenue comprises sales of software-as-a-service (“SaaS”) solutions, software maintenance, professional services, installation services, payment processing and hardware maintenance.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Revenue is recognized, net of sales tax, when the Company transfers control of promised products and services to customers in an amount that reflects the consideration the Company expects to receive in exchange for those products and services. Accordingly, the Company follows the five-step revenue recognition model in accordance with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identification of the contract, or contracts, with a customer;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identification of the performance obligations in the contract;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determination of the transaction price;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allocation of the transaction price to the performance obligations in the contract; and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recognition of revenue when or as the Company satisfies the performance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Product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hardware products, control is generally transferred when the customer has the ability to direct the use of and obtain substantially all of the remaining benefits of the products, which generally coincides with when the customer has assumed title and risk of loss of the products sold. Title and risk of loss typically transfer to the customer upon shipment or delivery to the customer, depending on the terms of the contract. The Company’s customers may request that delivery and passage of title and risk of loss occur on a bill and hold basis. For the periods ending December 31, 2025, 2024, and 2023, the revenue recognized from bill and hold transactions approximated less than 2% of total revenue.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shipping and handling activities related to hardware deliveries as costs to fulfill the promise to transfer the associated products, rather than as a separate performance obligation. Accordingly, amounts billed for shipping and handling costs are recorded as a component of net product sales and associated costs are classified as a component of cost of products.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Software licenses may be sold as perpetual licenses or term-based licenses as part of subscription offerings. Perpetual software license revenue is recognized at a point in time when control transfers to the customer. Control is typically transferred when the customer takes possession of, or has access to, the software. Term-based license revenue is recognized at a point in time upon the commencement of the committed term of the subscription, concurrent with the possession of the license. The committed term of the contract can vary due to customer termination rights, when offered.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Service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SaaS revenue primarily consists of subscription fees for providing customers access to the Company’s platform and cloud-based applications. SaaS revenue is recognized either as variable consideration directly allocated to periods based on customer usage or on a ratable basis over the contract beginning on the date that the service is made available to the customer.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sells subscriptions that include a combination of cloud-based services and on-premise term-based software licenses for a specified contract term. Significant judgment is required to determine if the products and services represent distinct promises to the customer or if they should be combined into one performance obligation. When they are combined into one performance obligation, revenue is recognized ratably over the contract term for which the service is provided.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Payment processing revenue primarily includes processing solutions for credit cards and debit cards. Under these contracts, the Company provides its customers continuous access to processing services, standing ready to process as many transactions as required over the contract term. As such, revenue is recognized daily as the services are performed. The Company follows the requirements of ASC 606-10, </w:t>
      </w:r>
      <w:r>
        <w:rPr>
          <w:rFonts w:ascii="Times New Roman;serif" w:hAnsi="Times New Roman;serif"/>
          <w:b w:val="false"/>
          <w:i/>
          <w:color w:val="000000"/>
          <w:sz w:val="20"/>
        </w:rPr>
        <w:t>Principal Agent Considerations</w:t>
      </w:r>
      <w:r>
        <w:rPr>
          <w:color w:val="000000"/>
        </w:rPr>
        <w:t xml:space="preserve"> </w:t>
      </w:r>
      <w:r>
        <w:rPr>
          <w:rFonts w:ascii="Times New Roman;serif" w:hAnsi="Times New Roman;serif"/>
          <w:b w:val="false"/>
          <w:color w:val="000000"/>
          <w:sz w:val="20"/>
        </w:rPr>
        <w:t>in determining whether the Company is acting as principal or as agent. Based on this analysis, revenue for these processing services is recorded net of interchange fees and assessments charged by card issuers and payment networks, as these are pass-through charges collected on their behalf.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other services revenue consists of software maintenance, professional services, installation services and hardware maintenance. When the Company stands ready to perform these services, control is transferred and revenue is recognized ratably over the contractual period, or if applicable, after customer acceptance. Otherwise, the Company applies the ‘right to invoice’ practical expedient, for performance obligations satisfied and recognized as the services are provided and the Company invoices correspond directly with the value of the Company’s performance to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periodically offers extended warranties, in addition to standard product warranties, in the form of product maintenance services and recognizes revenue over the service term.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revenue considerations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contracts that include multiple distinct performance obligations consisting of both products and services. For these arrangements, the Company allocates the transaction price, at contract inception, to each distinct performance obligation on a relative standalone selling price basis. The primary method used to determine standalone selling price is the price that the Company charges for that good or service when the Company sells it separately in similar circumstances to similar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nature of these arrangements can give rise to several types of variable consideration, including service level agreement credits, stock rotation rights, trade-in credits and volume-based rebates. At contract inception, the Company estimates variable consideration and includes it in the transaction price when there is a basis to reasonably estimate the amount of the fee and it is probable there will not be a significant reversal. These estimates are reassessed at each reporting date. Otherwise, variable consideration is constrained and revenue is recognized as control is transferred and it is probable that a significant revenue reversal will not occur.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Standard payment terms with customers are established based on industry and regional practices and are generally 30 days. When the period between the Company’s transfer of a product or service and when the customer payment does not exceed 12 months, we do not adjust for the effects of a significant financing component.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Remaining Performance Obligations</w:t>
      </w:r>
      <w:r>
        <w:rPr>
          <w:color w:val="000000"/>
        </w:rPr>
        <w:t xml:space="preserve"> </w:t>
      </w:r>
      <w:r>
        <w:rPr>
          <w:rFonts w:ascii="Times New Roman;serif" w:hAnsi="Times New Roman;serif"/>
          <w:b w:val="false"/>
          <w:color w:val="000000"/>
          <w:sz w:val="20"/>
        </w:rPr>
        <w:t>Remaining performance obligations represent the transaction price of contracts for which products have not been delivered or services have not been performed. As of December 31, 2025, the aggregate amount of the transaction price allocated to remaining performance obligations was approximately $1.3 billion. The Company expects to recognize revenue on approximately three-quarters of the remaining performance obligations over the next 12 months, with the remainder recognized thereafter. The majority of our professional services are expected to be recognized over the next 12 months but this is contingent upon a number of factors, including customers’ needs and schedules.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made three elections which affect the value of remaining performance obligations described above. We do not disclose remaining performance obligations for contracts where variable consideration is directly allocated based on usage or when the original expected duration is one year or less. Additionally, we do not disclose remaining performance obligations for contracts where we recognize revenue from the satisfaction of the performance obligation in accordance with the ‘right to invoice’ practical expedient.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Warranty and Sales Returns</w:t>
      </w:r>
      <w:r>
        <w:rPr>
          <w:color w:val="000000"/>
        </w:rPr>
        <w:t xml:space="preserve"> </w:t>
      </w:r>
      <w:r>
        <w:rPr>
          <w:rFonts w:ascii="Times New Roman;serif" w:hAnsi="Times New Roman;serif"/>
          <w:b w:val="false"/>
          <w:color w:val="000000"/>
          <w:sz w:val="20"/>
        </w:rPr>
        <w:t xml:space="preserve">Provisions for product warranties and sales returns and allowances are recorded in the period in which the Company becomes obligated to honor the related right, which generally is the period in which the related product revenue is recognized. The Company accrues warranty reserves based upon historical factors such as labor rates, average repair time, travel time, number of service calls per machine and cost of replacement parts. When a sale is consummated, a warranty reserve is recorded based upon the estimated cost to provide the service over the warranty period. The Company accrues sales returns and allowances using percentages of revenue to reflect the Company’s historical average of sales return claims.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Research and Development Costs</w:t>
      </w:r>
      <w:r>
        <w:rPr>
          <w:color w:val="000000"/>
        </w:rPr>
        <w:t xml:space="preserve"> </w:t>
      </w:r>
      <w:r>
        <w:rPr>
          <w:rFonts w:ascii="Times New Roman;serif" w:hAnsi="Times New Roman;serif"/>
          <w:b w:val="false"/>
          <w:color w:val="000000"/>
          <w:sz w:val="20"/>
        </w:rPr>
        <w:t xml:space="preserve">Research and development costs primarily include payroll and benefit-related costs, contractor fees, facilities costs, infrastructure costs, and administrative expenses directly related to research and development support and are expensed as incurred, except certain software development costs are capitalized after technological feasibility of the software is established.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Advertising</w:t>
      </w:r>
      <w:r>
        <w:rPr>
          <w:color w:val="000000"/>
        </w:rPr>
        <w:t xml:space="preserve"> </w:t>
      </w:r>
      <w:r>
        <w:rPr>
          <w:rFonts w:ascii="Times New Roman;serif" w:hAnsi="Times New Roman;serif"/>
          <w:b w:val="false"/>
          <w:color w:val="000000"/>
          <w:sz w:val="20"/>
        </w:rPr>
        <w:t xml:space="preserve">Advertising costs are recognized in selling, general and administrative expenses when incurred.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Stock-based Compensation</w:t>
      </w:r>
      <w:r>
        <w:rPr>
          <w:color w:val="000000"/>
        </w:rPr>
        <w:t xml:space="preserve"> </w:t>
      </w:r>
      <w:r>
        <w:rPr>
          <w:rFonts w:ascii="Times New Roman;serif" w:hAnsi="Times New Roman;serif"/>
          <w:b w:val="false"/>
          <w:color w:val="000000"/>
          <w:sz w:val="20"/>
        </w:rPr>
        <w:t>Stock-based compensation represents the costs related to share-based awards granted to employees and non-employee directors. The Company’s outstanding stock-based compensation awards are classified as equity. The Company measures stock-based compensation cost at the grant date, based on the estimated fair value of the award and recognizes the cost over the requisite service period. Forfeitures are recognized as they occur. See Note 9, “Stock Compensation Plans”, for further information on the Company’s stock-based compensation plans.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Income Taxes</w:t>
      </w:r>
      <w:r>
        <w:rPr>
          <w:color w:val="000000"/>
        </w:rPr>
        <w:t xml:space="preserve"> </w:t>
      </w:r>
      <w:r>
        <w:rPr>
          <w:rFonts w:ascii="Times New Roman;serif" w:hAnsi="Times New Roman;serif"/>
          <w:b w:val="false"/>
          <w:color w:val="000000"/>
          <w:sz w:val="20"/>
        </w:rPr>
        <w:t xml:space="preserve">Income tax expense is provided based on income before income taxes. Deferred income taxes reflect the impact of temporary differences between assets and liabilities recognized for financial reporting purposes and such amounts recognized for tax purposes. These deferred taxes are determined based on the enacted tax rates expected to apply in the periods in which the deferred assets or liabilities are expected to be settled or realized. The Company records valuation allowances related to its deferred income tax assets when it is more likely than not that some portion or all of the deferred income tax assets will not be realized.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fifty percent likelihood of being sustained upon examination by authorities. Interest and penalties related to uncertain tax positions are recognized as part of the provision for income taxes and are accrued beginning in the period that such interest and penalties would be applicable under relevant tax law and until such time that the related tax benefits are recognized.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Cash, Cash Equivalents, and Restricted Cash</w:t>
      </w:r>
      <w:r>
        <w:rPr>
          <w:color w:val="000000"/>
        </w:rPr>
        <w:t xml:space="preserve"> </w:t>
      </w:r>
      <w:r>
        <w:rPr>
          <w:rFonts w:ascii="Times New Roman;serif" w:hAnsi="Times New Roman;serif"/>
          <w:b w:val="false"/>
          <w:color w:val="000000"/>
          <w:sz w:val="20"/>
        </w:rPr>
        <w:t xml:space="preserve">All short-term, highly liquid investments having original maturities of three months or less, including time deposits, are considered to be cash equivalents. As of December 31, 2025, 2024 and 2023, the Company has restricted cash on deposit with a bank as collateral for letters of credit as well as cash included in settlement processing assets.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reconciliation of cash, cash equivalents and restricted cash in the Consolidated Statements of Cash Flows is as follows:</w:t>
      </w:r>
    </w:p>
    <w:tbl>
      <w:tblPr>
        <w:tblW w:w="10205" w:type="dxa"/>
        <w:jc w:val="left"/>
        <w:tblInd w:w="0" w:type="dxa"/>
        <w:tblLayout w:type="fixed"/>
        <w:tblCellMar>
          <w:top w:w="28" w:type="dxa"/>
          <w:left w:w="28" w:type="dxa"/>
          <w:bottom w:w="28" w:type="dxa"/>
          <w:right w:w="28" w:type="dxa"/>
        </w:tblCellMar>
      </w:tblPr>
      <w:tblGrid>
        <w:gridCol w:w="1342"/>
        <w:gridCol w:w="1129"/>
        <w:gridCol w:w="1135"/>
        <w:gridCol w:w="109"/>
        <w:gridCol w:w="109"/>
        <w:gridCol w:w="109"/>
        <w:gridCol w:w="656"/>
        <w:gridCol w:w="515"/>
        <w:gridCol w:w="517"/>
        <w:gridCol w:w="109"/>
        <w:gridCol w:w="109"/>
        <w:gridCol w:w="109"/>
        <w:gridCol w:w="311"/>
        <w:gridCol w:w="711"/>
        <w:gridCol w:w="162"/>
        <w:gridCol w:w="109"/>
        <w:gridCol w:w="109"/>
        <w:gridCol w:w="109"/>
        <w:gridCol w:w="316"/>
        <w:gridCol w:w="701"/>
        <w:gridCol w:w="166"/>
        <w:gridCol w:w="109"/>
        <w:gridCol w:w="109"/>
        <w:gridCol w:w="109"/>
        <w:gridCol w:w="312"/>
        <w:gridCol w:w="689"/>
        <w:gridCol w:w="235"/>
      </w:tblGrid>
      <w:tr>
        <w:trPr/>
        <w:tc>
          <w:tcPr>
            <w:tcW w:w="134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included in settlement processing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Supplemental cash flow information</w:t>
      </w:r>
      <w:r>
        <w:rPr>
          <w:color w:val="000000"/>
        </w:rPr>
        <w:t xml:space="preserve"> </w:t>
      </w:r>
      <w:r>
        <w:rPr>
          <w:rFonts w:ascii="Times New Roman;serif" w:hAnsi="Times New Roman;serif"/>
          <w:b w:val="false"/>
          <w:color w:val="000000"/>
          <w:sz w:val="20"/>
        </w:rPr>
        <w:t xml:space="preserve">Interest paid in cash was $57 million, $145 million, and $365 million for fiscal years 2025, 2024 and 2023, respectively. Income taxes paid in cash were </w:t>
      </w:r>
      <w:r>
        <w:rPr>
          <w:rFonts w:ascii="Times New Roman;serif" w:hAnsi="Times New Roman;serif"/>
          <w:b w:val="false"/>
          <w:color w:val="000000"/>
          <w:sz w:val="20"/>
          <w:shd w:fill="FFFFFF" w:val="clear"/>
        </w:rPr>
        <w:t>$316 million</w:t>
      </w:r>
      <w:r>
        <w:rPr>
          <w:rFonts w:ascii="Times New Roman;serif" w:hAnsi="Times New Roman;serif"/>
          <w:b w:val="false"/>
          <w:color w:val="000000"/>
          <w:sz w:val="20"/>
        </w:rPr>
        <w:t>, $54 million and $92 million for fiscal years 2025, 2024 and 2023, respectively. Income taxes paid during 2025 includes the payment of $284 million of taxes related to the Digital Banking Sale, included within the change in other assets and liabilities within the Consolidated Statements of Cash Flows during the year ended December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Accounts Receivable, net </w:t>
      </w:r>
      <w:r>
        <w:rPr>
          <w:rFonts w:ascii="Times New Roman;serif" w:hAnsi="Times New Roman;serif"/>
          <w:b w:val="false"/>
          <w:color w:val="000000"/>
          <w:sz w:val="20"/>
        </w:rPr>
        <w:t xml:space="preserve">Accounts receivable, net includes amounts billed and currently due from customers as well as amounts unbilled that typically result from sales under contracts where revenue recognized exceeds the amount billed to the customer and where the Company has an unconditional right to consideration. The amounts due are stated at their net estimated realizable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accounts receivable are summarized as follows:</w:t>
      </w:r>
    </w:p>
    <w:tbl>
      <w:tblPr>
        <w:tblW w:w="6087" w:type="dxa"/>
        <w:jc w:val="left"/>
        <w:tblInd w:w="0" w:type="dxa"/>
        <w:tblLayout w:type="fixed"/>
        <w:tblCellMar>
          <w:top w:w="28" w:type="dxa"/>
          <w:left w:w="28" w:type="dxa"/>
          <w:bottom w:w="28" w:type="dxa"/>
          <w:right w:w="28" w:type="dxa"/>
        </w:tblCellMar>
      </w:tblPr>
      <w:tblGrid>
        <w:gridCol w:w="983"/>
        <w:gridCol w:w="860"/>
        <w:gridCol w:w="872"/>
        <w:gridCol w:w="394"/>
        <w:gridCol w:w="901"/>
        <w:gridCol w:w="205"/>
        <w:gridCol w:w="109"/>
        <w:gridCol w:w="109"/>
        <w:gridCol w:w="109"/>
        <w:gridCol w:w="392"/>
        <w:gridCol w:w="866"/>
        <w:gridCol w:w="287"/>
      </w:tblGrid>
      <w:tr>
        <w:trPr/>
        <w:tc>
          <w:tcPr>
            <w:tcW w:w="98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w:t>
            </w: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accounts receivable, net</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w:t>
            </w: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color w:val="000000"/>
          <w:sz w:val="20"/>
        </w:rPr>
        <w:t>Allowance for Credit Losses on Accounts Receivable</w:t>
      </w:r>
      <w:r>
        <w:rPr>
          <w:color w:val="000000"/>
        </w:rPr>
        <w:t xml:space="preserve"> </w:t>
      </w:r>
      <w:r>
        <w:rPr>
          <w:rFonts w:ascii="Times New Roman;serif" w:hAnsi="Times New Roman;serif"/>
          <w:b w:val="false"/>
          <w:color w:val="000000"/>
          <w:sz w:val="20"/>
        </w:rPr>
        <w:t xml:space="preserve">Allowances for credit losses on accounts receivable are recognized when reasonable and supportable forecasts affect the expected collectability. This requires us to make our best estimate of the current expected losses inherent in our accounts receivable at each balance sheet date. These estimates require consideration of historical loss experience, adjusted for current conditions, forward looking indicators, trends in customer payment frequency and judgments about the probable effects of relevant observable data, including present and future economic conditions and the financial health of specific customers and market sectors. This policy is applied consistently among all of our operating segments. We continue to evaluate our reserves in light of the age and quality of our outstanding accounts receivable and risks to specific industries or countries and adjust the reserves accordingly.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Our allowance for credit losses as of December 31, 2025 and December 31, 2024 was $21 million and $26 million, respectively. For the year ending December 31, 2025, our allowance for credit losses charged to expense was $10 million. The Company recorded</w:t>
      </w:r>
      <w:r>
        <w:rPr>
          <w:color w:val="000000"/>
          <w:shd w:fill="FFFFFF" w:val="clear"/>
        </w:rPr>
        <w:t xml:space="preserve"> </w:t>
      </w:r>
      <w:r>
        <w:rPr>
          <w:rFonts w:ascii="Times New Roman;serif" w:hAnsi="Times New Roman;serif"/>
          <w:b w:val="false"/>
          <w:color w:val="000000"/>
          <w:sz w:val="20"/>
        </w:rPr>
        <w:t>$15 million of write-offs against the reserve for the year ended December 31, 2025. For the year ending December 31, 2024, our allowance for credit losses charged to expense was $15 million and the Company recorded $18 million of write-offs against the reserve.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Inventories</w:t>
      </w:r>
      <w:r>
        <w:rPr>
          <w:color w:val="000000"/>
        </w:rPr>
        <w:t xml:space="preserve"> </w:t>
      </w:r>
      <w:r>
        <w:rPr>
          <w:rFonts w:ascii="Times New Roman;serif" w:hAnsi="Times New Roman;serif"/>
          <w:b w:val="false"/>
          <w:color w:val="000000"/>
          <w:sz w:val="20"/>
        </w:rPr>
        <w:t xml:space="preserve">Inventories are stated at the lower of cost or net realizable value, using the average cost method. Cost includes materials, labor and manufacturing overhead related to the purchase and production of inventories. Service parts are included in inventories and include reworkable and non-reworkable service parts. The Company regularly reviews inventory quantities on hand, future purchase commitments with suppliers and the estimated utility of inventory. If the review indicates a reduction in utility below carrying value, inventory is reduced to a new cost basis. Excess and obsolete write-offs are established based on forecasted usage, orders, technological obsolescence and inventory aging.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Contract Assets and Liabilities </w:t>
      </w:r>
      <w:r>
        <w:rPr>
          <w:rFonts w:ascii="Times New Roman;serif" w:hAnsi="Times New Roman;serif"/>
          <w:b w:val="false"/>
          <w:color w:val="000000"/>
          <w:sz w:val="20"/>
        </w:rPr>
        <w:t xml:space="preserve">Contract assets include unbilled amounts where the right to payment is not solely subject to the passage of time. Amounts may not exceed their net realizable value. Contract liabilities consist of advance payments, billings in excess of revenue recognized and deferred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contract assets and liabilities are reported in a net position on a contract-by-contract basis at the end of each reporting period. If the net position is a contract asset, the current portion is included in Prepaid and other current assets and the non-current portion is included in Other assets in the Consolidated Balance Sheet. If the net position is a contract liability, the current portion is included in Contract liabilities and the non-current portion is included in Other liabilities in the Consolidated Balance Sheet. As of December 31, 2025 and 2024, no contracts were in a net asset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net contract asset and contract liability balances:</w:t>
      </w:r>
    </w:p>
    <w:tbl>
      <w:tblPr>
        <w:tblW w:w="10205" w:type="dxa"/>
        <w:jc w:val="center"/>
        <w:tblInd w:w="0" w:type="dxa"/>
        <w:tblLayout w:type="fixed"/>
        <w:tblCellMar>
          <w:top w:w="28" w:type="dxa"/>
          <w:left w:w="28" w:type="dxa"/>
          <w:bottom w:w="28" w:type="dxa"/>
          <w:right w:w="28" w:type="dxa"/>
        </w:tblCellMar>
      </w:tblPr>
      <w:tblGrid>
        <w:gridCol w:w="1232"/>
        <w:gridCol w:w="1074"/>
        <w:gridCol w:w="1086"/>
        <w:gridCol w:w="1052"/>
        <w:gridCol w:w="1052"/>
        <w:gridCol w:w="1055"/>
        <w:gridCol w:w="109"/>
        <w:gridCol w:w="109"/>
        <w:gridCol w:w="109"/>
        <w:gridCol w:w="387"/>
        <w:gridCol w:w="886"/>
        <w:gridCol w:w="201"/>
        <w:gridCol w:w="109"/>
        <w:gridCol w:w="109"/>
        <w:gridCol w:w="109"/>
        <w:gridCol w:w="385"/>
        <w:gridCol w:w="852"/>
        <w:gridCol w:w="289"/>
      </w:tblGrid>
      <w:tr>
        <w:trPr/>
        <w:tc>
          <w:tcPr>
            <w:tcW w:w="123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in the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3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contract liabilities</w:t>
            </w:r>
          </w:p>
        </w:tc>
        <w:tc>
          <w:tcPr>
            <w:tcW w:w="3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contract liabilities</w:t>
            </w:r>
          </w:p>
        </w:tc>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twelve months ended December 31, 2025, the Company recognized $175 million in revenue that was included in contract liabilities as of December 31,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Deferred Commissions </w:t>
      </w:r>
      <w:r>
        <w:rPr>
          <w:rFonts w:ascii="Times New Roman;serif" w:hAnsi="Times New Roman;serif"/>
          <w:b w:val="false"/>
          <w:color w:val="000000"/>
          <w:sz w:val="20"/>
        </w:rPr>
        <w:t>Our incremental costs of obtaining a contract, which consist of certain sales commissions, primarily for our SaaS revenue, are deferred and amortized on a straight-line basis over the period of expected benefit. We determined the period of expected benefit by taking into consideration customer contracts, the estimated life of the customer relationship, including renewals when the renewal commission is not commensurate with the initial commission, the expected life of the underlying technology and other factors. We classify deferred commissions as current or non-current based on the timing of when we expect to recognize the expense. The current and non-current portions of deferred commissions are included in Prepaid and other current assets and Other assets, respectively, in the Consolidated Balance Sheets. Amortization of deferred commissions is included in Selling, general and administrative expenses in the Consolidated Statements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Settlement Processing Assets and Obligations</w:t>
      </w:r>
      <w:r>
        <w:rPr>
          <w:color w:val="000000"/>
        </w:rPr>
        <w:t xml:space="preserve"> </w:t>
      </w:r>
      <w:r>
        <w:rPr>
          <w:rFonts w:ascii="Times New Roman;serif" w:hAnsi="Times New Roman;serif"/>
          <w:b w:val="false"/>
          <w:color w:val="000000"/>
          <w:sz w:val="20"/>
        </w:rPr>
        <w:t>Funds settlement refers to the process of transferring funds for sales and credits between card issuers and merchants. Depending on the type of transaction, either the credit card interchange system or the debit network is used to transfer the information and funds in either direction between the sponsoring bank and card issuing bank to complete the link between merchants and card issuers. In certain of our processing arrangements, merchant funding occurs after the sponsoring bank or the Company receives the funds from the card issuer through the card networks, creating a settlement obligation to the merchant on the Company’s Consolidated Balance Sheet. In a limited number of other arrangements, the sponsoring bank funds the merchants before it receives the net settlement funds from the card networks, creating a settlement asset on the Company’s Consolidated Balance Sheet. Additionally, relative to credit card transactions, the Company’s sponsoring bank collects the gross revenue from the merchants, pays the interchange fees and assessments to the credit card associations, collects its fees for processing and pays the Company a net residual payment representing the Company’s fees for the services. In these instances, the Company does not reflect the related settlement processing assets and obligations in its Consolidated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Settlement processing assets consist of settlement assets due from customers and receivables from merchants corresponding to the discount fee related to reimbursement of the interchange expense, our receivables from the processing bank or Electronic Funds Transfer (“EFT”) network for transactions that have occurred and have been funded to merchants in advance of receipt of card association funding, restricted cash balances that are not yet due to merchants, merchant reserves held, sponsoring bank reserves and exception items, such as customer chargeback amounts receivable from merchants. Settlement processing obligations consist primarily of merchant reserves, our liability to the processing bank or merchant for transactions for which we have received funding from the members or networks but have not funded merchants as well as certain exception items. Settlement processing assets other than restricted cash are recorded within Prepaid and other current assets and settlement processing liabilities are recorded within Settlement liabilities in the Consolidated Balance Sheet. Cash related to settlement processing is recorded within Restricted cash in the Consolidated Balance Sheet. As of December 31, 2025 and 2024, settlement processing assets were $9 million and $50 million, respectively, and settlement processing liabilities were $10 million and $47 million, respectively. Settlement receivables are generally collected within three to four business days. Settlement obligations are generally paid within three business days, regardless of when the related settlement receivables are collected.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Capitalized Software</w:t>
      </w:r>
      <w:r>
        <w:rPr>
          <w:color w:val="000000"/>
        </w:rPr>
        <w:t xml:space="preserve"> </w:t>
      </w:r>
      <w:r>
        <w:rPr>
          <w:rFonts w:ascii="Times New Roman;serif" w:hAnsi="Times New Roman;serif"/>
          <w:b w:val="false"/>
          <w:color w:val="000000"/>
          <w:sz w:val="20"/>
        </w:rPr>
        <w:t>Certain direct development costs associated with internal-use software are capitalized within Other assets and amortized over the estimated useful lives of the resulting software. The Company typically amortizes capitalized internal-use software on a straight-line basis over four to seven years beginning when the asset is substantially ready for use, as this is considered to approximate the usage pattern of the software. When it becomes probable that internal-use software being developed will not be completed or placed into service, the internal-use software is reported at the lower of the carrying amount or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Costs incurred for the development of software that will be sold, leased or otherwise marketed are capitalized when technological feasibility has been established. These costs are included within Other assets and are amortized on a sum-of-the-years’ digits or straight-line basis over the estimated useful lives ranging from three to five years, using the method that most closely approximates the sales pattern of the software. Amortization begins when the product is available for general release. Costs capitalized include direct labor and related overhead costs. Costs incurred prior to technological feasibility or after general release are expensed as incurred. The Company performs periodic reviews to ensure that unamortized program costs remain recoverable from future revenue. If future revenue does not support the unamortized program costs, the amount by which the unamortized capitalized cost of a software product exceeds the net realizable value is written off.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identifies the activity relating to total capitalized software:</w:t>
      </w:r>
    </w:p>
    <w:tbl>
      <w:tblPr>
        <w:tblW w:w="8621" w:type="dxa"/>
        <w:jc w:val="center"/>
        <w:tblInd w:w="0" w:type="dxa"/>
        <w:tblLayout w:type="fixed"/>
        <w:tblCellMar>
          <w:top w:w="28" w:type="dxa"/>
          <w:left w:w="28" w:type="dxa"/>
          <w:bottom w:w="28" w:type="dxa"/>
          <w:right w:w="28" w:type="dxa"/>
        </w:tblCellMar>
      </w:tblPr>
      <w:tblGrid>
        <w:gridCol w:w="2010"/>
        <w:gridCol w:w="1764"/>
        <w:gridCol w:w="1775"/>
        <w:gridCol w:w="211"/>
        <w:gridCol w:w="481"/>
        <w:gridCol w:w="109"/>
        <w:gridCol w:w="109"/>
        <w:gridCol w:w="109"/>
        <w:gridCol w:w="109"/>
        <w:gridCol w:w="211"/>
        <w:gridCol w:w="466"/>
        <w:gridCol w:w="109"/>
        <w:gridCol w:w="109"/>
        <w:gridCol w:w="109"/>
        <w:gridCol w:w="109"/>
        <w:gridCol w:w="211"/>
        <w:gridCol w:w="466"/>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acquired or disposed of and other adjustments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as of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other adjustments includes the write-off of certain capitalized software related to the divested business.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Goodwill and Other Intangible Assets</w:t>
      </w:r>
      <w:r>
        <w:rPr>
          <w:color w:val="000000"/>
        </w:rPr>
        <w:t xml:space="preserve"> </w:t>
      </w:r>
      <w:r>
        <w:rPr>
          <w:rFonts w:ascii="Times New Roman;serif" w:hAnsi="Times New Roman;serif"/>
          <w:b w:val="false"/>
          <w:color w:val="000000"/>
          <w:sz w:val="20"/>
        </w:rPr>
        <w:t>Goodwill represents the excess of purchase price over the fair value of the net tangible and identifiable intangible assets of businesses acquired. Goodwill is tested at the reporting unit level for impairment on an annual basis during the fourth quarter or more frequently if certain events occur indicating that the carrying value of goodwill may be impaired. A significant amount of judgment is involved in determining if an indicator of impairment has occurred. Such indicators may include a decline in expected cash flows, a significant adverse change in legal factors or in the business climate, a decision to sell a business, unanticipated competition, or slower growth rates, among others. Consistent with the examples of such events and circumstances given in the accounting guidance, we believe that a goodwill impairment test should be performed immediately before and after a reorganization of our reporting structure when the reorganization would affect the composition of one or more of our reporting units. In this circumstance, performing the impairment test immediately before and after the reorganization would help to confirm that the reorganization is not potentially masking a goodwill impairment charge.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evaluation of goodwill for impairment, we have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is determined based on the amount by which the carrying amount exceeds the fair value up to the total value of goodwill assigned to the reporting unit. Fair values of the reporting units are estimated using a weighted methodology considering the output from both the income and market approaches. The income approach incorporates the use of discounted cash flow (“DCF”) analysis. A number of significant assumptions and estimates are involved in the application of the DCF model to forecast operating cash flows, including revenue growth rates, EBITDA margins and discount rates. Several of these assumptions vary among reporting units. The cash flow forecasts are generally based on approved strategic operating plans. The market approach is performed using the Guideline Public Companies (“GPC”) method which is based on earnings multiple data. We perform a reconciliation between our market capitalization and our estimate of the aggregate fair value of the reporting units, including consideration of a control premium. Refer to Note 4, “Goodwill and Purchased Intangible Assets”, for further discussion.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Acquired intangible assets other than goodwill are amortized over their weighted average amortization period unless they are determined to be indefinite. Acquired intangible assets are carried at cost, less accumulated amortization. For intangible assets purchased in a business combination, the estimated fair values of the assets received are used to establish the carrying value. The fair value of acquired intangible assets is determined using common techniques, and the Company employs assumptions developed using the perspective of a market participant. The Company makes judgments about the recoverability of intangible assets whenever events or changes in circumstances indicate that impairment may exist. If such facts and circumstances exist, the Company assesses the recoverability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If the useful life is shorter than originally estimated, the Company would accelerate the rate of amortization and amortize the remaining carrying value over the new shorter useful life. For further discussion of identified intangible assets, see Note 4, “Goodwill and Purchased Intangible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Property, Plant and Equipment</w:t>
      </w:r>
      <w:r>
        <w:rPr>
          <w:color w:val="000000"/>
        </w:rPr>
        <w:t xml:space="preserve"> </w:t>
      </w:r>
      <w:r>
        <w:rPr>
          <w:rFonts w:ascii="Times New Roman;serif" w:hAnsi="Times New Roman;serif"/>
          <w:b w:val="false"/>
          <w:color w:val="000000"/>
          <w:sz w:val="20"/>
        </w:rPr>
        <w:t xml:space="preserve">Property, plant and equipment and leasehold improvements are stated at cost less accumulated depreciation. Depreciation is computed over the estimated useful lives of the related assets primarily on a straight-line basis. Machinery and other equipment are depreciated over 3 to 20 years and buildings over 25 to 45 years. Leasehold improvements are depreciated over the life of the lease or the asset, whichever is shorter. Assets classified as held for sale are not depreciated. Upon retirement or disposition of property, plant and equipment, the related cost and accumulated depreciation or amortization are removed from the Company’s accounts, and a gain or loss is recorded. Depreciation expense related to property, plant and equipment was $58 million for the year ending December 31, 2025, and $55 million for the years ending December 31, 2024 and 2023.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Valuation of Long-Lived Assets</w:t>
      </w:r>
      <w:r>
        <w:rPr>
          <w:color w:val="000000"/>
        </w:rPr>
        <w:t xml:space="preserve"> </w:t>
      </w:r>
      <w:r>
        <w:rPr>
          <w:rFonts w:ascii="Times New Roman;serif" w:hAnsi="Times New Roman;serif"/>
          <w:b w:val="false"/>
          <w:color w:val="000000"/>
          <w:sz w:val="20"/>
        </w:rPr>
        <w:t>Long-lived assets such as property, plant and equipment and finite-lived intangible assets are reviewed for impairment when events or changes in circumstances indicate that the carrying amount of the assets may not be recoverable or in the period in which the held for sale criteria are met. For assets held and used, this analysis consists of comparing the asset’s carrying value to the expected future cash flows to be generated from the asset on an undiscounted basis. If the carrying amount of the asset is determined not to be recoverable, a write-down to fair value is recorded. Fair values are determined based on quoted market values, discounted cash flows, or external appraisals, as applicable. Long-lived assets are reviewed for impairment at the individual asset or the asset group level for which the lowest level of independent cash flows can be identified. Refer to Note 4, “Goodwill and Purchased Intangible Assets”, for further discussion.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Leasing</w:t>
      </w:r>
      <w:r>
        <w:rPr>
          <w:color w:val="000000"/>
        </w:rPr>
        <w:t xml:space="preserve"> </w:t>
      </w:r>
      <w:r>
        <w:rPr>
          <w:rFonts w:ascii="Times New Roman;serif" w:hAnsi="Times New Roman;serif"/>
          <w:b w:val="false"/>
          <w:color w:val="000000"/>
          <w:sz w:val="20"/>
        </w:rPr>
        <w:t>The Company determines whether an arrangement is a lease at the inception of the arrangement based on the terms and conditions in the contract. A contract contains a lease if there is an identified asset and the Company has the right to control the asset.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Lessee</w:t>
      </w:r>
      <w:r>
        <w:rPr>
          <w:color w:val="000000"/>
        </w:rPr>
        <w:t xml:space="preserve"> </w:t>
      </w:r>
      <w:r>
        <w:rPr>
          <w:rFonts w:ascii="Times New Roman;serif" w:hAnsi="Times New Roman;serif"/>
          <w:b w:val="false"/>
          <w:color w:val="000000"/>
          <w:sz w:val="20"/>
        </w:rPr>
        <w:t>We lease property, vehicles and equipment under operating and financing leases. For leases with terms greater than 12 months, we record the related asset and obligation at the present value of lease payments over the term. We determine the lease term by assuming the exercise of renewal options that are reasonably certain. Leases with a lease term of 12 months or less at inception are not recorded on our Consolidated Balance Sheet and are expensed on a straight-line basis over the lease term in our Consolidated Statement of Operations. Our leases may include rental escalation clauses, renewal options and/or termination options that are factored into our determination of lease payments when appropriate. 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 Our incremental borrowing rate is based on a credit-adjusted risk-free rate at commencement date, which best approximates a secured rate over a similar term of lease. Additionally, we do not separate lease and non-lease components for any asset classes, except for those leases embedded in certain service arrangements. Fixed and in-substance fixed payments are included in the recognition of the operating and financing assets and lease liabilities, however, variable lease payments, other than those based on a rate or index, are recognized in the Consolidated Statements of Operations in the period in which the obligation for those payments is incurred. The Company’s variable lease payments generally relate to payments tied to various indices, non-lease components and payments above a contractual minimum fixed payment.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Lessor</w:t>
      </w:r>
      <w:r>
        <w:rPr>
          <w:color w:val="000000"/>
        </w:rPr>
        <w:t xml:space="preserve"> </w:t>
      </w:r>
      <w:r>
        <w:rPr>
          <w:rFonts w:ascii="Times New Roman;serif" w:hAnsi="Times New Roman;serif"/>
          <w:b w:val="false"/>
          <w:color w:val="000000"/>
          <w:sz w:val="20"/>
        </w:rPr>
        <w:t>We have various arrangements for certain point-of-sale equipment under which we are the lessor. These leases meet the criteria for operating lease classification. Lease income associated with these leases is not material.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Pension and Postemployment Benefits</w:t>
      </w:r>
      <w:r>
        <w:rPr>
          <w:color w:val="000000"/>
        </w:rPr>
        <w:t xml:space="preserve"> </w:t>
      </w:r>
      <w:r>
        <w:rPr>
          <w:rFonts w:ascii="Times New Roman;serif" w:hAnsi="Times New Roman;serif"/>
          <w:b w:val="false"/>
          <w:color w:val="000000"/>
          <w:sz w:val="20"/>
        </w:rPr>
        <w:t xml:space="preserve">The Company has significant pension and postemployment benefit costs, which are developed from actuarial valuations. Actuarial assumptions are established to anticipate future events and are used in calculating the expense and liabilities relating to these plans. These factors include assumptions the Company makes about interest rates, expected investment return on plan assets, rate of increase in healthcare costs, involuntary turnover rates,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rates of future compensation increases. In addition, the Company also uses subjective factors, such as withdrawal rates and mortality rates to develop the Company’s valuations. The Company generally reviews and updates these assumptions on an annual basis. The Company is required to consider current market conditions, including changes in interest rates, in making these assumptions. The actuarial assumptions that the Company uses may differ materially from actual results due to changing market and economic conditions, higher or lower withdrawal rates, or longer or shorter life spans of participants. These differences may result in a significant impact to the amount of pension or postemployment benefits expense, and the related assets and liabilities, the Company has recorded or may record.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Environmental and Legal Contingencies</w:t>
      </w:r>
      <w:r>
        <w:rPr>
          <w:color w:val="000000"/>
        </w:rPr>
        <w:t xml:space="preserve"> </w:t>
      </w:r>
      <w:r>
        <w:rPr>
          <w:rFonts w:ascii="Times New Roman;serif" w:hAnsi="Times New Roman;serif"/>
          <w:b w:val="false"/>
          <w:color w:val="000000"/>
          <w:sz w:val="20"/>
        </w:rPr>
        <w:t>In the normal course of business, the Company is subject to various proceedings, lawsuits, claims and other matters, including, for example, those that relate to the environment and health and safety, labor and employment, intellectual property, data privacy and security, product liability, commercial disputes and regulatory compliance, among others. Additionally, the Company is subject to diverse and complex regulations and such regulations are subject to change. The Company believes that the amounts provided in its Consolidated Financial Statements are adequate. However, there can be no assurances that the actual amounts required to satisfy alleged liabilities from various lawsuits, claims, legal proceedings and other matters, including the Fox River and Kalamazoo River environmental matters discussed in Note 11, “Commitments and Contingencies”, and to comply with applicable laws and regulations, will not exceed the amounts reflected in the Company’s Consolidated Financial Statements or will not have a material adverse effect on the Company’s consolidated results of operations, financial condition or cash flows. Any costs that may be incurred in excess of those amounts provided as of December 31, 2025 cannot currently be reasonably determined or are not currently considered probable. The costs and insurance recoveries relating to certain environmental obligations associated with discontinued operations, including those relating to the Fox River and Kalamazoo River matters, are presented in Income (loss) from discontinued operations, net of tax, in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Legal fees and expenses related to loss contingencies are typically expensed as incurred, except for certain costs associated with the Company’s environmental remediation obligations. Costs and fees associated with litigating the extent and type of required remedial actions, and the allocation of remediation costs among potentially responsible parties, are typically included in the measurement of the environmental remediation liabilities.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Foreign Currency</w:t>
      </w:r>
      <w:r>
        <w:rPr>
          <w:color w:val="000000"/>
        </w:rPr>
        <w:t xml:space="preserve"> </w:t>
      </w:r>
      <w:r>
        <w:rPr>
          <w:rFonts w:ascii="Times New Roman;serif" w:hAnsi="Times New Roman;serif"/>
          <w:b w:val="false"/>
          <w:color w:val="000000"/>
          <w:sz w:val="20"/>
        </w:rPr>
        <w:t xml:space="preserve">For many of the Company’s international operations, the local currency is designated as the functional currency. Accordingly, assets and liabilities are translated into U.S. Dollars at year-end exchange rates, and revenue and expenses are translated at average exchange rates prevailing during the year. Currency translation adjustments from local functional currency countries resulting from fluctuations in exchange rates are recorded in Other comprehensive income. Remeasurement adjustments are recorded in Other income (expense), net.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Repurchase of Common Stock </w:t>
      </w:r>
      <w:r>
        <w:rPr>
          <w:rFonts w:ascii="Times New Roman;serif" w:hAnsi="Times New Roman;serif"/>
          <w:b w:val="false"/>
          <w:color w:val="000000"/>
          <w:sz w:val="20"/>
        </w:rPr>
        <w:t xml:space="preserve">The Company applies the par value method of accounting for repurchases of common stock. In March 2017, the Board approved a share repurchase program, with no expiration from the date of authorization, that provided for the repurchase of up to $300 million of the Company’s common stock (the “Repurchase Program”). In July 2018, the Board authorized an incremental $200 million of share repurchases under the Repurchase Program. On May 6, 2025, the Board amended and restated the Repurchase Program to (1) add an incremental $172 million of repurchase authority under the program, taking the total aggregate authority for future repurchases under the program to $200 million, and (2) to expand the repurchase authority to apply to repurchases of the Company’s Series A Convertible Preferred Stock, in addition to common stock. On February 12, 2026, the Board amended the Repurchase Program to add an incremental $178 million of repurchase authority under the program, taking the total aggregate repurchase authority under the program to $300 million. The Company repurchased $74 million and $56 million of common stock during the years ended December 31, 2025 and 2024, respectively, under the Repurchase Program.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Derivative Instruments</w:t>
      </w:r>
      <w:r>
        <w:rPr>
          <w:color w:val="000000"/>
        </w:rPr>
        <w:t xml:space="preserve"> </w:t>
      </w:r>
      <w:r>
        <w:rPr>
          <w:rFonts w:ascii="Times New Roman;serif" w:hAnsi="Times New Roman;serif"/>
          <w:b w:val="false"/>
          <w:color w:val="000000"/>
          <w:sz w:val="20"/>
        </w:rPr>
        <w:t>In the normal course of business, the Company enters into various financial instruments, including derivative financial instruments. The Company accounts for derivatives as either assets or liabilities in the Consolidated Balance Sheets at fair value and recognizes the resulting gains or losses as adjustments to earnings or other comprehensive income. For derivative instruments that are designated and qualify as hedging instruments, the Company formally documents the relationship between hedging instruments and hedged items, as well as the risk management objective and strategy for undertaking various hedge transactions. Hedging activities are transacted only with highly rated institutions, reducing exposure to credit risk in the event of nonperformance. Additionally, the Company completes assessments related to the risk of counterparty nonperformance on a regular basis.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for changes in fair value of a derivative instrument depends on whether it has been designated and qualifies as part of a hedging relationship, and further, on the type of hedging relationship. For those derivative instruments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designated and qualify as hedging instruments, the Company has designated the hedging instrument, based on the exposure being hedged, as a fair value hedge, a cash flow hedge or a hedge of a net investment in a foreign operation. For derivative instruments designated as fair value hedges, the effective portion of the hedge is recorded as an offset to the change in the fair value of the hedged item, and the ineffective portion of the hedge, if any, is recorded in the Consolidated Statement of Operations. For derivative instruments designated as cash flow hedges and determined to be highly effective, the gains or losses are deferred in Accumulated other comprehensive loss and recognized in the determination of income as adjustments of carrying amounts when the underlying hedged transaction is realized, canceled or otherwise terminated. When hedging certain foreign currency transactions of a long-term investment nature (net investments in foreign operations), gains and losses are recorded in the currency translation adjustment component of Accumulated other comprehensive loss. Gains and losses on foreign exchange contracts that are not used to hedge currency transactions of a long-term investment nature, or that are not designated as cash flow or fair value hedges, are recognized in Other income (expense), net as exchange rates change.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Fair Value of Assets and Liabilities</w:t>
      </w:r>
      <w:r>
        <w:rPr>
          <w:color w:val="000000"/>
        </w:rPr>
        <w:t xml:space="preserve"> </w:t>
      </w:r>
      <w:r>
        <w:rPr>
          <w:rFonts w:ascii="Times New Roman;serif" w:hAnsi="Times New Roman;serif"/>
          <w:b w:val="false"/>
          <w:color w:val="000000"/>
          <w:sz w:val="20"/>
        </w:rPr>
        <w:t xml:space="preserve">Fair value is defined as an exit price, representing an amount that would be received to sell an asset or the amount paid to transfer a liability in an orderly transaction between market participants at the measurement date. As such, fair value is a market-based measurement determined based on assumptions that market participants would use in pricing an asset or liability. As a basis for considering such assumptions, the accounting guidance prioritizes the inputs used to measure fair value into the following three-tier fair value hierarchy: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Unadjusted quoted prices in active markets for identical assets or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Unadjusted quoted prices in active markets for similar assets or liabilities, unadjusted quoted prices for identical or similar assets or liabilities in markets that are not active or inputs, other than quoted prices in active markets, that are observable either directly or indirectly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Unobservable inputs for which there is little or no market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are classified based on the lowest level of input that is significant to the fair value measurements. The Company reviews the fair value hierarchy classification on a quarterly basis. Changes to the observability of valuation inputs may result in a reclassification of levels for certain securities within the fair value hierarchy.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its financial assets and financial liabilities at fair value based on one or more of the following three valuation techniques: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approach: Prices and other relevant information generated by market transactions involving identical or comparable assets or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 approach: Amount that would be required to replace the service capacity of an asset (replacement cost).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Income approach: Techniques to convert future amounts to a single present amount based upon market expectations (including present value techniques, option pricing and excess earnings models).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review our investments to determine whether a decline in fair value, if any, below the cost basis is other than temporary. If the decline in the fair value is determined to be other than temporary, the cost basis of the security is written down to fair value and the amount of the write-down is included in the Consolidated Statement of Operations. For qualifying investments in debt or equity securities, a temporary impairment charge would be recognized in Other comprehensive income (loss).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Adoption of New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This guidance requires disclosure of specific categories in the rate reconciliation and provides additional information for reconciling items that meet a specified quantitative threshold. The guidance is effective for fiscal years beginning after December 15, 2024, with early adoption permitted. The Company has adopted ASU 2023-09 on a prospective basis and conformed to the applicable disclosure for the Annual Report on Form 10-K for the year ending December 31, 2025. Refer to Note 8, “Income Taxes” for additional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there are other new accounting pronouncements issued by the FASB and adopted by or effective for the Company, the Company does not believe any of these accounting pronouncements had a material impact on its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Issued But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 Scope Improvements.</w:t>
      </w:r>
      <w:r>
        <w:rPr>
          <w:color w:val="000000"/>
        </w:rPr>
        <w:t xml:space="preserve"> </w:t>
      </w:r>
      <w:r>
        <w:rPr>
          <w:rFonts w:ascii="Times New Roman;serif" w:hAnsi="Times New Roman;serif"/>
          <w:b w:val="false"/>
          <w:color w:val="000000"/>
          <w:sz w:val="20"/>
        </w:rPr>
        <w:t xml:space="preserve">The update improves the guidance in Topic 270, </w:t>
      </w:r>
      <w:r>
        <w:rPr>
          <w:rFonts w:ascii="Times New Roman;serif" w:hAnsi="Times New Roman;serif"/>
          <w:b w:val="false"/>
          <w:i/>
          <w:color w:val="000000"/>
          <w:sz w:val="20"/>
        </w:rPr>
        <w:t>Interim Reporting</w:t>
      </w:r>
      <w:r>
        <w:rPr>
          <w:rFonts w:ascii="Times New Roman;serif" w:hAnsi="Times New Roman;serif"/>
          <w:b w:val="false"/>
          <w:color w:val="000000"/>
          <w:sz w:val="20"/>
        </w:rPr>
        <w:t>, by improving the navigability of the required interim disclosures and clarifying when that guidance is applicable. The amendments in ASU 2025-11 are effective for interim reporting periods within annual reporting periods beginning after December 15, 2027, with early adoption permitted. The amendments can be applied either prospectively or retrospectively to any or all prior periods presented in the financial statements. The Company is currently evaluating the impact that the adoption of this guidance will have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(Topic 350): Targeted Improvements to the Accounting for Internal-Use Software.</w:t>
      </w:r>
      <w:r>
        <w:rPr>
          <w:color w:val="000000"/>
        </w:rPr>
        <w:t xml:space="preserve"> </w:t>
      </w:r>
      <w:r>
        <w:rPr>
          <w:rFonts w:ascii="Times New Roman;serif" w:hAnsi="Times New Roman;serif"/>
          <w:b w:val="false"/>
          <w:color w:val="000000"/>
          <w:sz w:val="20"/>
        </w:rPr>
        <w:t>This update revises the recognition guidance for internal-use software by eliminating the previous model based on software development stages and introducing a principles-based approach. Under the new guidance, capitalization begins when the Company has authorized and committed to funding the project, and it is probable that the software will be completed and used for its intended purpose. The ASU is effective for interim periods and fiscal years beginning after December 15, 2027. The amendment may be applied on a prospective, retrospective or modified retrospective basis. The Company is currently evaluating the provisions of the amendments and the impact on its future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(Topic 220): Disaggregation of Income Statement Expenses </w:t>
      </w:r>
      <w:r>
        <w:rPr>
          <w:rFonts w:ascii="Times New Roman;serif" w:hAnsi="Times New Roman;serif"/>
          <w:b w:val="false"/>
          <w:color w:val="000000"/>
          <w:sz w:val="20"/>
        </w:rPr>
        <w:t xml:space="preserve">and ASU 2025-01, </w:t>
      </w:r>
      <w:r>
        <w:rPr>
          <w:rFonts w:ascii="Times New Roman;serif" w:hAnsi="Times New Roman;serif"/>
          <w:b w:val="false"/>
          <w:i/>
          <w:color w:val="000000"/>
          <w:sz w:val="20"/>
        </w:rPr>
        <w:t>Income Statement - Reporting Comprehensive Income - Expense Disaggregation Disclosures (Topic 220): Clarifying the Effective Date</w:t>
      </w:r>
      <w:r>
        <w:rPr>
          <w:rFonts w:ascii="Times New Roman;serif" w:hAnsi="Times New Roman;serif"/>
          <w:b w:val="false"/>
          <w:color w:val="000000"/>
          <w:sz w:val="20"/>
        </w:rPr>
        <w:t>. This guidance requires additional disclosure of certain amounts included in the expense captions presented on the Statement of Operations as well as disclosures about selling expenses. The ASU is effective on a prospective basis, with the option for retrospective application, for annual periods beginning after December 15, 2026 and interim reporting periods within annual reporting periods beginning after December 15, 2027. Early adoption is permitted for annual financial statements that have not yet been issued.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there are other new accounting pronouncements issued by the FASB and not yet adopted by or effective for the Company, the Company does not believe any of these accounting pronouncements will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2. DISCONTINUED OPERATIONS</w:t>
      </w:r>
      <w:r>
        <w:rPr>
          <w:color w:val="7ACE05"/>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Digital Banking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30, 2024, the Company completed the Digital Banking Sale. Refer to Note 1, “Basis of Presentation and Significant Accounting Policies” for additional information. The historical results of the Digital Banking businesses have been presented as discontinued operations for all periods presented. The Company’s presentation of discontinued operations excludes general corporate overhead costs that did not meet the requirements to be presented as discontinued operations. The Company recognized a pre-tax gain of approximately $1.5 billion, which was recognized in Net income (loss) from discontinued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major categories of income (loss) from discontinued operations related to the Digital Banking Sale:</w:t>
      </w:r>
    </w:p>
    <w:tbl>
      <w:tblPr>
        <w:tblW w:w="10205" w:type="dxa"/>
        <w:jc w:val="left"/>
        <w:tblInd w:w="0" w:type="dxa"/>
        <w:tblLayout w:type="fixed"/>
        <w:tblCellMar>
          <w:top w:w="28" w:type="dxa"/>
          <w:left w:w="28" w:type="dxa"/>
          <w:bottom w:w="28" w:type="dxa"/>
          <w:right w:w="28" w:type="dxa"/>
        </w:tblCellMar>
      </w:tblPr>
      <w:tblGrid>
        <w:gridCol w:w="2562"/>
        <w:gridCol w:w="2249"/>
        <w:gridCol w:w="2245"/>
        <w:gridCol w:w="211"/>
        <w:gridCol w:w="406"/>
        <w:gridCol w:w="109"/>
        <w:gridCol w:w="109"/>
        <w:gridCol w:w="109"/>
        <w:gridCol w:w="109"/>
        <w:gridCol w:w="211"/>
        <w:gridCol w:w="616"/>
        <w:gridCol w:w="109"/>
        <w:gridCol w:w="109"/>
        <w:gridCol w:w="109"/>
        <w:gridCol w:w="109"/>
        <w:gridCol w:w="211"/>
        <w:gridCol w:w="466"/>
        <w:gridCol w:w="156"/>
      </w:tblGrid>
      <w:tr>
        <w:trPr/>
        <w:tc>
          <w:tcPr>
            <w:tcW w:w="2562"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7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gain on sale of business and income taxes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income taxes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705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related to Digital Banking</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related to cash flows from discontinued operations related to the Digital Banking Sale:</w:t>
      </w:r>
    </w:p>
    <w:tbl>
      <w:tblPr>
        <w:tblW w:w="7286" w:type="dxa"/>
        <w:jc w:val="left"/>
        <w:tblInd w:w="0" w:type="dxa"/>
        <w:tblLayout w:type="fixed"/>
        <w:tblCellMar>
          <w:top w:w="28" w:type="dxa"/>
          <w:left w:w="28" w:type="dxa"/>
          <w:bottom w:w="28" w:type="dxa"/>
          <w:right w:w="28" w:type="dxa"/>
        </w:tblCellMar>
      </w:tblPr>
      <w:tblGrid>
        <w:gridCol w:w="1524"/>
        <w:gridCol w:w="1340"/>
        <w:gridCol w:w="1350"/>
        <w:gridCol w:w="211"/>
        <w:gridCol w:w="406"/>
        <w:gridCol w:w="109"/>
        <w:gridCol w:w="109"/>
        <w:gridCol w:w="109"/>
        <w:gridCol w:w="109"/>
        <w:gridCol w:w="211"/>
        <w:gridCol w:w="541"/>
        <w:gridCol w:w="109"/>
        <w:gridCol w:w="109"/>
        <w:gridCol w:w="109"/>
        <w:gridCol w:w="109"/>
        <w:gridCol w:w="211"/>
        <w:gridCol w:w="46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Spin-Off of NCR Atleos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16, 2023, the Company completed the Spin-Off of NCR Atleos into an independent publicly traded company. Refer to Note 1, “Basis of Presentation and Significant Accounting Policies” for additional information regarding the Spin-Off. The historical results of NCR Atleos have been presented as discontinued operations. The Company’s presentation of discontinued operations excludes general corporate overhead costs that did not meet the requirements to be presented as discontinued operation. As of December 31, 2024, there were two countries that had not yet transferred to NCR Atleos. These countries transferred to NCR Atleos during 2025. As of December 31, 2025, all historical results of NCR Atleos are presented as discontinued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major categories of income (loss) from discontinued operations related to the Spin-Off of NCR Atleos. The balances for the year ended December 31, 2023 include the impacts of the Revision, as discussed in Note 1, “Basis of Presentation and Significant Accounting Policies.”</w:t>
      </w:r>
    </w:p>
    <w:tbl>
      <w:tblPr>
        <w:tblW w:w="8652" w:type="dxa"/>
        <w:jc w:val="left"/>
        <w:tblInd w:w="0" w:type="dxa"/>
        <w:tblLayout w:type="fixed"/>
        <w:tblCellMar>
          <w:top w:w="28" w:type="dxa"/>
          <w:left w:w="28" w:type="dxa"/>
          <w:bottom w:w="28" w:type="dxa"/>
          <w:right w:w="28" w:type="dxa"/>
        </w:tblCellMar>
      </w:tblPr>
      <w:tblGrid>
        <w:gridCol w:w="2098"/>
        <w:gridCol w:w="1842"/>
        <w:gridCol w:w="1850"/>
        <w:gridCol w:w="211"/>
        <w:gridCol w:w="406"/>
        <w:gridCol w:w="109"/>
        <w:gridCol w:w="109"/>
        <w:gridCol w:w="109"/>
        <w:gridCol w:w="109"/>
        <w:gridCol w:w="211"/>
        <w:gridCol w:w="331"/>
        <w:gridCol w:w="109"/>
        <w:gridCol w:w="109"/>
        <w:gridCol w:w="109"/>
        <w:gridCol w:w="109"/>
        <w:gridCol w:w="211"/>
        <w:gridCol w:w="466"/>
        <w:gridCol w:w="154"/>
      </w:tblGrid>
      <w:tr>
        <w:trPr/>
        <w:tc>
          <w:tcPr>
            <w:tcW w:w="209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income taxes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related to NCR Atleos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major classes of assets and liabilities of discontinued operations:</w:t>
      </w:r>
    </w:p>
    <w:tbl>
      <w:tblPr>
        <w:tblW w:w="5344" w:type="dxa"/>
        <w:jc w:val="left"/>
        <w:tblInd w:w="0" w:type="dxa"/>
        <w:tblLayout w:type="fixed"/>
        <w:tblCellMar>
          <w:top w:w="28" w:type="dxa"/>
          <w:left w:w="28" w:type="dxa"/>
          <w:bottom w:w="28" w:type="dxa"/>
          <w:right w:w="28" w:type="dxa"/>
        </w:tblCellMar>
      </w:tblPr>
      <w:tblGrid>
        <w:gridCol w:w="1337"/>
        <w:gridCol w:w="1174"/>
        <w:gridCol w:w="1179"/>
        <w:gridCol w:w="463"/>
        <w:gridCol w:w="794"/>
        <w:gridCol w:w="243"/>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receivable, net of allowances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and other current assets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of discontinued operations</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liabilities </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Contract liabilities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current liabilities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liabilities </w:t>
            </w:r>
          </w:p>
        </w:tc>
        <w:tc>
          <w:tcPr>
            <w:tcW w:w="12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of discontinued operations</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related to cash flows from discontinued operations related to the Spin-off of NCR Atleos:</w:t>
      </w:r>
    </w:p>
    <w:tbl>
      <w:tblPr>
        <w:tblW w:w="7181" w:type="dxa"/>
        <w:jc w:val="left"/>
        <w:tblInd w:w="0" w:type="dxa"/>
        <w:tblLayout w:type="fixed"/>
        <w:tblCellMar>
          <w:top w:w="28" w:type="dxa"/>
          <w:left w:w="28" w:type="dxa"/>
          <w:bottom w:w="28" w:type="dxa"/>
          <w:right w:w="28" w:type="dxa"/>
        </w:tblCellMar>
      </w:tblPr>
      <w:tblGrid>
        <w:gridCol w:w="1524"/>
        <w:gridCol w:w="1340"/>
        <w:gridCol w:w="1350"/>
        <w:gridCol w:w="211"/>
        <w:gridCol w:w="406"/>
        <w:gridCol w:w="109"/>
        <w:gridCol w:w="109"/>
        <w:gridCol w:w="109"/>
        <w:gridCol w:w="109"/>
        <w:gridCol w:w="211"/>
        <w:gridCol w:w="436"/>
        <w:gridCol w:w="109"/>
        <w:gridCol w:w="109"/>
        <w:gridCol w:w="109"/>
        <w:gridCol w:w="109"/>
        <w:gridCol w:w="211"/>
        <w:gridCol w:w="46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costs and insurance recoveries relating to certain environmental obligations associated with discontinued operations, including those relating to the Fox River and Kalamazoo River matters, are presented in Income (loss) from discontinued operations, net of tax, in the Consolidated Statements of Operations. Income (loss) from discontinued operations, net of tax, related to environmental matters was income from discontinued operations of $8 million for the year ended December 31, 2025 and a loss from discontinued operations of $10 million and $50 million, for the years ended December 31, 2024 and 2023, respectively. Net cash used in operating activities of discontinued operations related to environmental obligations was $37 million, $20 million and $19 million for fiscal years 2025, 2024 and 2023, respectively. Refer to Note 11, “Commitments and Contingencies”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3. BUSINESS COMBINATIONS AND DIVESTITURES</w:t>
      </w:r>
      <w:r>
        <w:rPr>
          <w:color w:val="7ACE05"/>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Divestitures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30, 2024, the Company completed the Digital Banking Sale. Refer to Note 1, “Basis of Presentation and Significant Accounting Policies” and Note 2, “Discontinued Operations”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19, 2023, the Company divested of a portion of the assets that were deemed non-strategic to its payments business, consisting primarily of merchant contracts, our front end authorization platform and certain relevant intellectual property for cash proceeds of $82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GOODWILL AND PURCHASED INTANGIBLE ASSETS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i/>
          <w:color w:val="000000"/>
          <w:sz w:val="20"/>
        </w:rPr>
        <w:t>Goodwill by Segment</w:t>
      </w:r>
      <w:r>
        <w:rPr>
          <w:color w:val="000000"/>
        </w:rPr>
        <w:t xml:space="preserve"> </w:t>
      </w:r>
      <w:r>
        <w:rPr>
          <w:rFonts w:ascii="Times New Roman;serif" w:hAnsi="Times New Roman;serif"/>
          <w:b w:val="false"/>
          <w:color w:val="000000"/>
          <w:sz w:val="20"/>
        </w:rPr>
        <w:t>The carrying amounts of goodwill by segment as of December 31, 2025 and 2024 are included in the tables below. Foreign currency fluctuations are included within other adjustments. Additionally, during 2025, the Company divested of a non-strategic business and derecognized $2 million of goodwill, reflected within other adjustments in the Restaurants segment.</w:t>
      </w:r>
    </w:p>
    <w:tbl>
      <w:tblPr>
        <w:tblW w:w="10673" w:type="dxa"/>
        <w:jc w:val="center"/>
        <w:tblInd w:w="0" w:type="dxa"/>
        <w:tblLayout w:type="fixed"/>
        <w:tblCellMar>
          <w:top w:w="28" w:type="dxa"/>
          <w:left w:w="28" w:type="dxa"/>
          <w:bottom w:w="28" w:type="dxa"/>
          <w:right w:w="28" w:type="dxa"/>
        </w:tblCellMar>
      </w:tblPr>
      <w:tblGrid>
        <w:gridCol w:w="386"/>
        <w:gridCol w:w="339"/>
        <w:gridCol w:w="341"/>
        <w:gridCol w:w="211"/>
        <w:gridCol w:w="631"/>
        <w:gridCol w:w="109"/>
        <w:gridCol w:w="318"/>
        <w:gridCol w:w="567"/>
        <w:gridCol w:w="166"/>
        <w:gridCol w:w="211"/>
        <w:gridCol w:w="631"/>
        <w:gridCol w:w="109"/>
        <w:gridCol w:w="109"/>
        <w:gridCol w:w="109"/>
        <w:gridCol w:w="109"/>
        <w:gridCol w:w="231"/>
        <w:gridCol w:w="445"/>
        <w:gridCol w:w="120"/>
        <w:gridCol w:w="109"/>
        <w:gridCol w:w="109"/>
        <w:gridCol w:w="109"/>
        <w:gridCol w:w="279"/>
        <w:gridCol w:w="537"/>
        <w:gridCol w:w="145"/>
        <w:gridCol w:w="109"/>
        <w:gridCol w:w="109"/>
        <w:gridCol w:w="109"/>
        <w:gridCol w:w="211"/>
        <w:gridCol w:w="271"/>
        <w:gridCol w:w="109"/>
        <w:gridCol w:w="109"/>
        <w:gridCol w:w="109"/>
        <w:gridCol w:w="109"/>
        <w:gridCol w:w="211"/>
        <w:gridCol w:w="631"/>
        <w:gridCol w:w="109"/>
        <w:gridCol w:w="318"/>
        <w:gridCol w:w="567"/>
        <w:gridCol w:w="166"/>
        <w:gridCol w:w="211"/>
        <w:gridCol w:w="631"/>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Impairment</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Impairment</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63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i/>
          <w:color w:val="000000"/>
          <w:sz w:val="20"/>
        </w:rPr>
        <w:t xml:space="preserve">Identifiable Intangible Assets </w:t>
      </w:r>
      <w:r>
        <w:rPr>
          <w:rFonts w:ascii="Times New Roman;serif" w:hAnsi="Times New Roman;serif"/>
          <w:b w:val="false"/>
          <w:color w:val="000000"/>
          <w:sz w:val="20"/>
        </w:rPr>
        <w:t xml:space="preserve">NCR Voyix’s purchased intangible assets, reported in Intangibles, net in the Consolidated Balance Sheets, were specifically identified when acquired, and are deemed to have finite lives. The gross carrying amount and accumulated amortization for the Company’s identifiable intangible assets were as set forth in the table below. </w:t>
      </w:r>
    </w:p>
    <w:tbl>
      <w:tblPr>
        <w:tblW w:w="10205" w:type="dxa"/>
        <w:jc w:val="center"/>
        <w:tblInd w:w="0" w:type="dxa"/>
        <w:tblLayout w:type="fixed"/>
        <w:tblCellMar>
          <w:top w:w="28" w:type="dxa"/>
          <w:left w:w="28" w:type="dxa"/>
          <w:bottom w:w="28" w:type="dxa"/>
          <w:right w:w="28" w:type="dxa"/>
        </w:tblCellMar>
      </w:tblPr>
      <w:tblGrid>
        <w:gridCol w:w="765"/>
        <w:gridCol w:w="636"/>
        <w:gridCol w:w="641"/>
        <w:gridCol w:w="366"/>
        <w:gridCol w:w="366"/>
        <w:gridCol w:w="368"/>
        <w:gridCol w:w="109"/>
        <w:gridCol w:w="109"/>
        <w:gridCol w:w="109"/>
        <w:gridCol w:w="344"/>
        <w:gridCol w:w="786"/>
        <w:gridCol w:w="178"/>
        <w:gridCol w:w="109"/>
        <w:gridCol w:w="109"/>
        <w:gridCol w:w="109"/>
        <w:gridCol w:w="406"/>
        <w:gridCol w:w="929"/>
        <w:gridCol w:w="211"/>
        <w:gridCol w:w="109"/>
        <w:gridCol w:w="109"/>
        <w:gridCol w:w="109"/>
        <w:gridCol w:w="349"/>
        <w:gridCol w:w="771"/>
        <w:gridCol w:w="180"/>
        <w:gridCol w:w="109"/>
        <w:gridCol w:w="109"/>
        <w:gridCol w:w="109"/>
        <w:gridCol w:w="396"/>
        <w:gridCol w:w="905"/>
        <w:gridCol w:w="300"/>
      </w:tblGrid>
      <w:tr>
        <w:trPr/>
        <w:tc>
          <w:tcPr>
            <w:tcW w:w="76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Amortization </w:t>
              <w:br/>
              <w:t>Period</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Identifiable intangible assets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Reseller &amp; customer relationships</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w:t>
            </w: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identifiable intangible assets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745</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related to identifiable intangible assets was $25 million, $28 million, and $41 million for the years ended December 31, 2025, 2024 and 2023,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amortization expense (estimated) for identifiable intangible assets for the following periods is:</w:t>
      </w:r>
    </w:p>
    <w:tbl>
      <w:tblPr>
        <w:tblW w:w="7910" w:type="dxa"/>
        <w:jc w:val="center"/>
        <w:tblInd w:w="0" w:type="dxa"/>
        <w:tblLayout w:type="fixed"/>
        <w:tblCellMar>
          <w:top w:w="28" w:type="dxa"/>
          <w:left w:w="28" w:type="dxa"/>
          <w:bottom w:w="28" w:type="dxa"/>
          <w:right w:w="28" w:type="dxa"/>
        </w:tblCellMar>
      </w:tblPr>
      <w:tblGrid>
        <w:gridCol w:w="690"/>
        <w:gridCol w:w="604"/>
        <w:gridCol w:w="610"/>
        <w:gridCol w:w="109"/>
        <w:gridCol w:w="109"/>
        <w:gridCol w:w="109"/>
        <w:gridCol w:w="109"/>
        <w:gridCol w:w="466"/>
        <w:gridCol w:w="211"/>
        <w:gridCol w:w="361"/>
        <w:gridCol w:w="109"/>
        <w:gridCol w:w="155"/>
        <w:gridCol w:w="155"/>
        <w:gridCol w:w="156"/>
        <w:gridCol w:w="211"/>
        <w:gridCol w:w="361"/>
        <w:gridCol w:w="109"/>
        <w:gridCol w:w="155"/>
        <w:gridCol w:w="155"/>
        <w:gridCol w:w="156"/>
        <w:gridCol w:w="211"/>
        <w:gridCol w:w="361"/>
        <w:gridCol w:w="109"/>
        <w:gridCol w:w="155"/>
        <w:gridCol w:w="155"/>
        <w:gridCol w:w="156"/>
        <w:gridCol w:w="211"/>
        <w:gridCol w:w="256"/>
        <w:gridCol w:w="109"/>
        <w:gridCol w:w="155"/>
        <w:gridCol w:w="155"/>
        <w:gridCol w:w="156"/>
        <w:gridCol w:w="211"/>
        <w:gridCol w:w="25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 (estimated)</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621" w:type="dxa"/>
            <w:gridSpan w:val="3"/>
            <w:tcBorders/>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5. SEGMENT INFORMATION AND CONCENTRATIONS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Subsequent to the Digital Banking Sale and the Spin-Off, as described in Note 1, “Basis of Presentation and Significant Accounting Policies”, the Company manages and reports the following segments: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Retail</w:t>
      </w:r>
      <w:r>
        <w:rPr>
          <w:color w:val="000000"/>
        </w:rPr>
        <w:t xml:space="preserve"> </w:t>
      </w:r>
      <w:r>
        <w:rPr>
          <w:rFonts w:ascii="Times New Roman;serif" w:hAnsi="Times New Roman;serif"/>
          <w:b w:val="false"/>
          <w:color w:val="000000"/>
          <w:sz w:val="20"/>
        </w:rPr>
        <w:t xml:space="preserve">- Our Retail segment primarily serves enterprise and mid-market retailers in the convenience, fuel &amp; retail; grocery, drug &amp; mass merchandise; and department &amp; specialty retail industries. Our retail solutions provide end-to-end connectivity to a customer’s operations, including, but not limited to the following operational activities, point-of-sale (“POS”), payments, inventory management, fraud and loss prevention, loyalty and consumer engagement. Additionally, these solutions include open application program interface (“API”) connectivity to retail software platforms and applications, hardware terminals, self-service kiosks, including self-checkout (“SCO”), payment processing and merchant acquiring solutions and barcode scanners.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Restaurants</w:t>
      </w:r>
      <w:r>
        <w:rPr>
          <w:color w:val="000000"/>
        </w:rPr>
        <w:t xml:space="preserve"> </w:t>
      </w:r>
      <w:r>
        <w:rPr>
          <w:rFonts w:ascii="Times New Roman;serif" w:hAnsi="Times New Roman;serif"/>
          <w:b w:val="false"/>
          <w:color w:val="000000"/>
          <w:sz w:val="20"/>
        </w:rPr>
        <w:t xml:space="preserve">- Our Restaurants segment is focused on serving restaurants and food service establishments including quick-service, table-service and fast casual restaurants of all sizes. Our restaurant solutions include, among others, POS hardware and software solutions, payment processing and merchant acquiring services, installation, maintenance, and managed and professional services. These solutions are designed to help streamline order and transaction processing, increase consumer engagement, increase kitchen productivity and reduce operating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and Other includes income and expenses related to corporate functions that are not specifically attributable to any of our two individual reportable segments. In addition, Corporate and Other includes certain non-strategic businesses that are considered immaterial operating segment(s), as well as commercial agreements with NCR Atleos.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segments represent components of the Company for which separate financial information is available that is utilized on a regular basis by the chief operating decision maker (“CODM”), the CEO. The CODM considers the budget-to-actual and forecast-to-actual variances for revenue and segment Adjusted EBITDA on a periodic basis in assessing segment performance and in allocating the Company’s resources. Adjusted EBITDA is defined as GAAP net income (loss) from continuing operations attributable to NCR Voyix plus interest expense, net; plus income tax expense (benefit); plus depreciation and amortization (excluding acquisition-related amortization of intangibles); plus stock-based compensation expense; plus pension 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disposal costs), strategic initiative costs and litigation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GAAP net income (loss) from continuing operations attributable to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Assets are not allocated to segments, and thus are not included in the assessment of segment performance. Consequently, we do not disclose total assets by reportable segment. The accounting policies used to determine the results of the operating segments are the same as those utilized for the consolidated financial statements as a whole. Intersegment sales and transfers are not material.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financial information for the Company’s reportable segments for the year ended December 31, 2025:</w:t>
      </w:r>
    </w:p>
    <w:tbl>
      <w:tblPr>
        <w:tblW w:w="6428" w:type="dxa"/>
        <w:jc w:val="center"/>
        <w:tblInd w:w="0" w:type="dxa"/>
        <w:tblLayout w:type="fixed"/>
        <w:tblCellMar>
          <w:top w:w="28" w:type="dxa"/>
          <w:left w:w="28" w:type="dxa"/>
          <w:bottom w:w="28" w:type="dxa"/>
          <w:right w:w="28" w:type="dxa"/>
        </w:tblCellMar>
      </w:tblPr>
      <w:tblGrid>
        <w:gridCol w:w="875"/>
        <w:gridCol w:w="769"/>
        <w:gridCol w:w="771"/>
        <w:gridCol w:w="109"/>
        <w:gridCol w:w="109"/>
        <w:gridCol w:w="109"/>
        <w:gridCol w:w="211"/>
        <w:gridCol w:w="631"/>
        <w:gridCol w:w="109"/>
        <w:gridCol w:w="109"/>
        <w:gridCol w:w="109"/>
        <w:gridCol w:w="109"/>
        <w:gridCol w:w="257"/>
        <w:gridCol w:w="586"/>
        <w:gridCol w:w="133"/>
        <w:gridCol w:w="109"/>
        <w:gridCol w:w="109"/>
        <w:gridCol w:w="109"/>
        <w:gridCol w:w="109"/>
        <w:gridCol w:w="211"/>
        <w:gridCol w:w="63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818</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segment items</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financial information for the Company’s reportable segments for the year ended December 31, 2024:</w:t>
      </w:r>
    </w:p>
    <w:tbl>
      <w:tblPr>
        <w:tblW w:w="6447" w:type="dxa"/>
        <w:jc w:val="center"/>
        <w:tblInd w:w="0" w:type="dxa"/>
        <w:tblLayout w:type="fixed"/>
        <w:tblCellMar>
          <w:top w:w="28" w:type="dxa"/>
          <w:left w:w="28" w:type="dxa"/>
          <w:bottom w:w="28" w:type="dxa"/>
          <w:right w:w="28" w:type="dxa"/>
        </w:tblCellMar>
      </w:tblPr>
      <w:tblGrid>
        <w:gridCol w:w="853"/>
        <w:gridCol w:w="750"/>
        <w:gridCol w:w="752"/>
        <w:gridCol w:w="109"/>
        <w:gridCol w:w="109"/>
        <w:gridCol w:w="109"/>
        <w:gridCol w:w="211"/>
        <w:gridCol w:w="616"/>
        <w:gridCol w:w="109"/>
        <w:gridCol w:w="109"/>
        <w:gridCol w:w="109"/>
        <w:gridCol w:w="109"/>
        <w:gridCol w:w="262"/>
        <w:gridCol w:w="578"/>
        <w:gridCol w:w="136"/>
        <w:gridCol w:w="109"/>
        <w:gridCol w:w="109"/>
        <w:gridCol w:w="109"/>
        <w:gridCol w:w="109"/>
        <w:gridCol w:w="109"/>
        <w:gridCol w:w="211"/>
        <w:gridCol w:w="61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financial information for the Company’s reportable segments for the year ended December 31, 2023:</w:t>
      </w:r>
    </w:p>
    <w:tbl>
      <w:tblPr>
        <w:tblW w:w="6447" w:type="dxa"/>
        <w:jc w:val="center"/>
        <w:tblInd w:w="0" w:type="dxa"/>
        <w:tblLayout w:type="fixed"/>
        <w:tblCellMar>
          <w:top w:w="28" w:type="dxa"/>
          <w:left w:w="28" w:type="dxa"/>
          <w:bottom w:w="28" w:type="dxa"/>
          <w:right w:w="28" w:type="dxa"/>
        </w:tblCellMar>
      </w:tblPr>
      <w:tblGrid>
        <w:gridCol w:w="853"/>
        <w:gridCol w:w="750"/>
        <w:gridCol w:w="752"/>
        <w:gridCol w:w="109"/>
        <w:gridCol w:w="109"/>
        <w:gridCol w:w="109"/>
        <w:gridCol w:w="211"/>
        <w:gridCol w:w="616"/>
        <w:gridCol w:w="109"/>
        <w:gridCol w:w="109"/>
        <w:gridCol w:w="109"/>
        <w:gridCol w:w="109"/>
        <w:gridCol w:w="262"/>
        <w:gridCol w:w="578"/>
        <w:gridCol w:w="136"/>
        <w:gridCol w:w="109"/>
        <w:gridCol w:w="109"/>
        <w:gridCol w:w="109"/>
        <w:gridCol w:w="109"/>
        <w:gridCol w:w="109"/>
        <w:gridCol w:w="211"/>
        <w:gridCol w:w="61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 xml:space="preserve">(1) Other segment items primarily includes selling, general and administrative expenses and research and development expenses.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Segment Adjusted EBITDA to Net income (loss) from continuing operations attributable to NCR Voyix:</w:t>
      </w:r>
    </w:p>
    <w:tbl>
      <w:tblPr>
        <w:tblW w:w="9714" w:type="dxa"/>
        <w:jc w:val="center"/>
        <w:tblInd w:w="0" w:type="dxa"/>
        <w:tblLayout w:type="fixed"/>
        <w:tblCellMar>
          <w:top w:w="28" w:type="dxa"/>
          <w:left w:w="28" w:type="dxa"/>
          <w:bottom w:w="28" w:type="dxa"/>
          <w:right w:w="28" w:type="dxa"/>
        </w:tblCellMar>
      </w:tblPr>
      <w:tblGrid>
        <w:gridCol w:w="2230"/>
        <w:gridCol w:w="1961"/>
        <w:gridCol w:w="1974"/>
        <w:gridCol w:w="109"/>
        <w:gridCol w:w="109"/>
        <w:gridCol w:w="109"/>
        <w:gridCol w:w="211"/>
        <w:gridCol w:w="481"/>
        <w:gridCol w:w="109"/>
        <w:gridCol w:w="109"/>
        <w:gridCol w:w="109"/>
        <w:gridCol w:w="109"/>
        <w:gridCol w:w="211"/>
        <w:gridCol w:w="541"/>
        <w:gridCol w:w="109"/>
        <w:gridCol w:w="109"/>
        <w:gridCol w:w="109"/>
        <w:gridCol w:w="109"/>
        <w:gridCol w:w="211"/>
        <w:gridCol w:w="541"/>
        <w:gridCol w:w="154"/>
      </w:tblGrid>
      <w:tr>
        <w:trPr/>
        <w:tc>
          <w:tcPr>
            <w:tcW w:w="2230"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income and expenses not allocated to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mark-to-market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Transformation and restructuring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Separation costs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Foreign currency devaluation</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Fraudulent ACH disbursements</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Cyber ransomware incident recovery costs</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initiatives</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costs</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 from continuing operations attributable to NCR Voyix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During the three months ended September 30, 2023, it was determined that the transactions underlying the unrealized gains on terminated interest rate swap and cap agreements reported in Accumulated other comprehensive income were probable of not occurring under ASC 815, </w:t>
      </w:r>
      <w:r>
        <w:rPr>
          <w:rFonts w:ascii="Times New Roman;serif" w:hAnsi="Times New Roman;serif"/>
          <w:b w:val="false"/>
          <w:i/>
          <w:color w:val="000000"/>
          <w:sz w:val="16"/>
        </w:rPr>
        <w:t>Derivatives and Hedging</w:t>
      </w:r>
      <w:r>
        <w:rPr>
          <w:rFonts w:ascii="Times New Roman;serif" w:hAnsi="Times New Roman;serif"/>
          <w:b w:val="false"/>
          <w:color w:val="000000"/>
          <w:sz w:val="16"/>
        </w:rPr>
        <w:t>. As such, $18 million of unrealized gains were recognized in Interest expense. Refer to Note 15, “Derivatives and Hedging Instruments”.</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professional fees, retention bonuses, and other costs incurred related to acquisitions, which are considered non-operational in nature.</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 xml:space="preserve">Represents integration, severance, and other exit and disposal costs, which are considered non-operational in nature. Included in transformation and restructuring costs for the year ended December 31, 2025 was a gain of $10 million related to the sale of property, plant and equipment. </w:t>
      </w:r>
    </w:p>
    <w:p>
      <w:pPr>
        <w:pStyle w:val="TextBody"/>
        <w:bidi w:val="0"/>
        <w:spacing w:lineRule="auto" w:line="288" w:before="0" w:after="0"/>
        <w:jc w:val="both"/>
        <w:rPr/>
      </w:pPr>
      <w:r>
        <w:rPr>
          <w:rFonts w:ascii="Times New Roman;serif" w:hAnsi="Times New Roman;serif"/>
          <w:b w:val="false"/>
          <w:color w:val="000000"/>
          <w:sz w:val="10"/>
        </w:rPr>
        <w:t xml:space="preserve">(4) </w:t>
      </w:r>
      <w:r>
        <w:rPr>
          <w:rFonts w:ascii="Times New Roman;serif" w:hAnsi="Times New Roman;serif"/>
          <w:b w:val="false"/>
          <w:color w:val="000000"/>
          <w:sz w:val="16"/>
        </w:rPr>
        <w:t>Represents costs incurred as a result of the Spin-Off. Professional fees to effect the Spin-Off including separation management, organizational design, and legal fees have been classified within discontinued operations through October 16, 2023, the separation date.</w:t>
      </w:r>
    </w:p>
    <w:p>
      <w:pPr>
        <w:pStyle w:val="TextBody"/>
        <w:bidi w:val="0"/>
        <w:spacing w:lineRule="auto" w:line="288" w:before="0" w:after="0"/>
        <w:jc w:val="both"/>
        <w:rPr/>
      </w:pPr>
      <w:r>
        <w:rPr>
          <w:rFonts w:ascii="Times New Roman;serif" w:hAnsi="Times New Roman;serif"/>
          <w:b w:val="false"/>
          <w:color w:val="000000"/>
          <w:sz w:val="10"/>
        </w:rPr>
        <w:t xml:space="preserve">(5) </w:t>
      </w:r>
      <w:r>
        <w:rPr>
          <w:rFonts w:ascii="Times New Roman;serif" w:hAnsi="Times New Roman;serif"/>
          <w:b w:val="false"/>
          <w:color w:val="000000"/>
          <w:sz w:val="16"/>
        </w:rPr>
        <w:t>Represents gains and losses recognized during the year due to changes in valuation of the Lebanese pound and the Egyptian pound.</w:t>
      </w:r>
    </w:p>
    <w:p>
      <w:pPr>
        <w:pStyle w:val="TextBody"/>
        <w:bidi w:val="0"/>
        <w:spacing w:lineRule="auto" w:line="288" w:before="0" w:after="0"/>
        <w:jc w:val="both"/>
        <w:rPr/>
      </w:pPr>
      <w:r>
        <w:rPr>
          <w:rFonts w:ascii="Times New Roman;serif" w:hAnsi="Times New Roman;serif"/>
          <w:b w:val="false"/>
          <w:color w:val="000000"/>
          <w:sz w:val="10"/>
        </w:rPr>
        <w:t xml:space="preserve">(6) </w:t>
      </w:r>
      <w:r>
        <w:rPr>
          <w:rFonts w:ascii="Times New Roman;serif" w:hAnsi="Times New Roman;serif"/>
          <w:b w:val="false"/>
          <w:color w:val="000000"/>
          <w:sz w:val="16"/>
        </w:rPr>
        <w:t>Represents company identified fraudulent ACH disbursements from a company bank account. Additional details regarding this item are discussed in Note 1, “Basis of Presentation and Significant Accounting Policies”.</w:t>
      </w:r>
    </w:p>
    <w:p>
      <w:pPr>
        <w:pStyle w:val="TextBody"/>
        <w:bidi w:val="0"/>
        <w:spacing w:lineRule="auto" w:line="288" w:before="0" w:after="0"/>
        <w:jc w:val="both"/>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Represents expenses to respond to, remediate and investigate the April 13, 2023 cyber ransomware incident net of insurance recoveries, which is considered a nonrecurring special item. Additional details regarding this cyber ransomware incident are discussed in Note 1, “Basis of Presentation and Significant Accounting Policies”.</w:t>
      </w:r>
    </w:p>
    <w:p>
      <w:pPr>
        <w:pStyle w:val="TextBody"/>
        <w:bidi w:val="0"/>
        <w:spacing w:lineRule="auto" w:line="288" w:before="0" w:after="0"/>
        <w:jc w:val="both"/>
        <w:rPr/>
      </w:pPr>
      <w:r>
        <w:rPr>
          <w:rFonts w:ascii="Times New Roman;serif" w:hAnsi="Times New Roman;serif"/>
          <w:b w:val="false"/>
          <w:color w:val="000000"/>
          <w:sz w:val="10"/>
        </w:rPr>
        <w:t xml:space="preserve">(8) </w:t>
      </w:r>
      <w:r>
        <w:rPr>
          <w:rFonts w:ascii="Times New Roman;serif" w:hAnsi="Times New Roman;serif"/>
          <w:b w:val="false"/>
          <w:color w:val="000000"/>
          <w:sz w:val="16"/>
        </w:rPr>
        <w:t>Represents professional fees related to strategic initiatives which are considered non-operational in nature, as well as certain costs incurred related to the Hardware Business transition.</w:t>
      </w:r>
    </w:p>
    <w:p>
      <w:pPr>
        <w:pStyle w:val="TextBody"/>
        <w:bidi w:val="0"/>
        <w:spacing w:lineRule="auto" w:line="288" w:before="0" w:after="0"/>
        <w:jc w:val="both"/>
        <w:rPr/>
      </w:pPr>
      <w:r>
        <w:rPr>
          <w:rFonts w:ascii="Times New Roman;serif" w:hAnsi="Times New Roman;serif"/>
          <w:b w:val="false"/>
          <w:color w:val="000000"/>
          <w:sz w:val="10"/>
        </w:rPr>
        <w:t xml:space="preserve">(9) </w:t>
      </w:r>
      <w:r>
        <w:rPr>
          <w:rFonts w:ascii="Times New Roman;serif" w:hAnsi="Times New Roman;serif"/>
          <w:b w:val="false"/>
          <w:color w:val="000000"/>
          <w:sz w:val="16"/>
        </w:rPr>
        <w:t>Represents costs related to a certain litigation matter, net of expected indemnity recoveries from NCR Atleos, as discussed in Note 11,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recurring revenue and all other products and services that is recognized at a point in time for the Company for the years ended December 31:</w:t>
      </w:r>
    </w:p>
    <w:tbl>
      <w:tblPr>
        <w:tblW w:w="6473" w:type="dxa"/>
        <w:jc w:val="center"/>
        <w:tblInd w:w="0" w:type="dxa"/>
        <w:tblLayout w:type="fixed"/>
        <w:tblCellMar>
          <w:top w:w="28" w:type="dxa"/>
          <w:left w:w="28" w:type="dxa"/>
          <w:bottom w:w="28" w:type="dxa"/>
          <w:right w:w="28" w:type="dxa"/>
        </w:tblCellMar>
      </w:tblPr>
      <w:tblGrid>
        <w:gridCol w:w="950"/>
        <w:gridCol w:w="834"/>
        <w:gridCol w:w="840"/>
        <w:gridCol w:w="109"/>
        <w:gridCol w:w="109"/>
        <w:gridCol w:w="109"/>
        <w:gridCol w:w="211"/>
        <w:gridCol w:w="631"/>
        <w:gridCol w:w="109"/>
        <w:gridCol w:w="109"/>
        <w:gridCol w:w="109"/>
        <w:gridCol w:w="109"/>
        <w:gridCol w:w="211"/>
        <w:gridCol w:w="616"/>
        <w:gridCol w:w="109"/>
        <w:gridCol w:w="109"/>
        <w:gridCol w:w="109"/>
        <w:gridCol w:w="109"/>
        <w:gridCol w:w="211"/>
        <w:gridCol w:w="61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Recurring revenue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products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Recurring revenue includes all revenue streams from contracts where there is a predictable revenue pattern that will occur at regular intervals with a relatively high degree of certainty. This includes hardware and software maintenance revenue, SaaS solutions revenue, payment processing revenue, and certain professional services arrangements as well as term-based software license arrangements that include customer termination rights.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is attributed to the geographic area to which the product is delivered or in which the service is provided. The following table presents revenue by geographic area for the Company for the years ended December 31:</w:t>
      </w:r>
    </w:p>
    <w:tbl>
      <w:tblPr>
        <w:tblW w:w="10190" w:type="dxa"/>
        <w:jc w:val="center"/>
        <w:tblInd w:w="0" w:type="dxa"/>
        <w:tblLayout w:type="fixed"/>
        <w:tblCellMar>
          <w:top w:w="28" w:type="dxa"/>
          <w:left w:w="28" w:type="dxa"/>
          <w:bottom w:w="28" w:type="dxa"/>
          <w:right w:w="28" w:type="dxa"/>
        </w:tblCellMar>
      </w:tblPr>
      <w:tblGrid>
        <w:gridCol w:w="1124"/>
        <w:gridCol w:w="988"/>
        <w:gridCol w:w="992"/>
        <w:gridCol w:w="109"/>
        <w:gridCol w:w="109"/>
        <w:gridCol w:w="109"/>
        <w:gridCol w:w="211"/>
        <w:gridCol w:w="631"/>
        <w:gridCol w:w="109"/>
        <w:gridCol w:w="109"/>
        <w:gridCol w:w="109"/>
        <w:gridCol w:w="109"/>
        <w:gridCol w:w="240"/>
        <w:gridCol w:w="241"/>
        <w:gridCol w:w="301"/>
        <w:gridCol w:w="109"/>
        <w:gridCol w:w="109"/>
        <w:gridCol w:w="109"/>
        <w:gridCol w:w="211"/>
        <w:gridCol w:w="616"/>
        <w:gridCol w:w="109"/>
        <w:gridCol w:w="109"/>
        <w:gridCol w:w="109"/>
        <w:gridCol w:w="109"/>
        <w:gridCol w:w="232"/>
        <w:gridCol w:w="234"/>
        <w:gridCol w:w="271"/>
        <w:gridCol w:w="109"/>
        <w:gridCol w:w="109"/>
        <w:gridCol w:w="109"/>
        <w:gridCol w:w="211"/>
        <w:gridCol w:w="616"/>
        <w:gridCol w:w="109"/>
        <w:gridCol w:w="109"/>
        <w:gridCol w:w="109"/>
        <w:gridCol w:w="109"/>
        <w:gridCol w:w="232"/>
        <w:gridCol w:w="234"/>
        <w:gridCol w:w="316"/>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Americas (excluding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Europe, Middle East and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43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property, plant and equipment by geographic area as of December 31:</w:t>
      </w:r>
    </w:p>
    <w:tbl>
      <w:tblPr>
        <w:tblW w:w="6471" w:type="dxa"/>
        <w:jc w:val="center"/>
        <w:tblInd w:w="0" w:type="dxa"/>
        <w:tblLayout w:type="fixed"/>
        <w:tblCellMar>
          <w:top w:w="28" w:type="dxa"/>
          <w:left w:w="28" w:type="dxa"/>
          <w:bottom w:w="28" w:type="dxa"/>
          <w:right w:w="28" w:type="dxa"/>
        </w:tblCellMar>
      </w:tblPr>
      <w:tblGrid>
        <w:gridCol w:w="1514"/>
        <w:gridCol w:w="1329"/>
        <w:gridCol w:w="1342"/>
        <w:gridCol w:w="109"/>
        <w:gridCol w:w="109"/>
        <w:gridCol w:w="109"/>
        <w:gridCol w:w="211"/>
        <w:gridCol w:w="481"/>
        <w:gridCol w:w="109"/>
        <w:gridCol w:w="109"/>
        <w:gridCol w:w="109"/>
        <w:gridCol w:w="109"/>
        <w:gridCol w:w="211"/>
        <w:gridCol w:w="466"/>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(excluding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Concentrations</w:t>
      </w:r>
      <w:r>
        <w:rPr>
          <w:color w:val="000000"/>
        </w:rPr>
        <w:t xml:space="preserve"> </w:t>
      </w:r>
      <w:r>
        <w:rPr>
          <w:rFonts w:ascii="Times New Roman;serif" w:hAnsi="Times New Roman;serif"/>
          <w:b w:val="false"/>
          <w:color w:val="000000"/>
          <w:sz w:val="20"/>
        </w:rPr>
        <w:t>One customer accounted for approximately 12%, 13% and 16% of our consolidated operating revenues during the years ended December 31, 2025, 2024 and 2023 respectively, and is included in our Retail segment. As of December 31, 2025, 2024 and 2023, the Company is not aware of any other significant concentration of business transacted with a particular customer that could, if suddenly eliminated, have a material adverse effect on the Company’s operations. NCR Voyix does not have a concentration of available sources of labor, services, licenses or other rights that could, if suddenly eliminated, have a material adverse effect on its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DEBT OBLIGATIONS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short-term borrowings and long-term debt:</w:t>
      </w:r>
    </w:p>
    <w:tbl>
      <w:tblPr>
        <w:tblW w:w="10205" w:type="dxa"/>
        <w:jc w:val="center"/>
        <w:tblInd w:w="0" w:type="dxa"/>
        <w:tblLayout w:type="fixed"/>
        <w:tblCellMar>
          <w:top w:w="28" w:type="dxa"/>
          <w:left w:w="28" w:type="dxa"/>
          <w:bottom w:w="28" w:type="dxa"/>
          <w:right w:w="28" w:type="dxa"/>
        </w:tblCellMar>
      </w:tblPr>
      <w:tblGrid>
        <w:gridCol w:w="597"/>
        <w:gridCol w:w="486"/>
        <w:gridCol w:w="486"/>
        <w:gridCol w:w="803"/>
        <w:gridCol w:w="603"/>
        <w:gridCol w:w="603"/>
        <w:gridCol w:w="233"/>
        <w:gridCol w:w="698"/>
        <w:gridCol w:w="120"/>
        <w:gridCol w:w="692"/>
        <w:gridCol w:w="692"/>
        <w:gridCol w:w="694"/>
        <w:gridCol w:w="109"/>
        <w:gridCol w:w="109"/>
        <w:gridCol w:w="109"/>
        <w:gridCol w:w="234"/>
        <w:gridCol w:w="685"/>
        <w:gridCol w:w="120"/>
        <w:gridCol w:w="622"/>
        <w:gridCol w:w="622"/>
        <w:gridCol w:w="888"/>
      </w:tblGrid>
      <w:tr>
        <w:trPr/>
        <w:tc>
          <w:tcPr>
            <w:tcW w:w="59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5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2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2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Interest Rate</w:t>
            </w:r>
          </w:p>
        </w:tc>
      </w:tr>
      <w:tr>
        <w:trPr/>
        <w:tc>
          <w:tcPr>
            <w:tcW w:w="357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Short-Term Borrowings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portion of Senior Secured Credit Facility</w:t>
            </w:r>
            <w:r>
              <w:rPr>
                <w:rFonts w:ascii="Times New Roman;serif" w:hAnsi="Times New Roman;serif"/>
                <w:b w:val="false"/>
                <w:color w:val="000000"/>
                <w:sz w:val="13"/>
              </w:rPr>
              <w:t>(1)</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Long-Term Debt</w:t>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Facility:</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Term loan facilities</w:t>
            </w:r>
            <w:r>
              <w:rPr>
                <w:rFonts w:ascii="Times New Roman;serif" w:hAnsi="Times New Roman;serif"/>
                <w:b w:val="false"/>
                <w:color w:val="000000"/>
                <w:sz w:val="13"/>
              </w:rPr>
              <w:t>(1)</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Revolving credit facility</w:t>
            </w:r>
            <w:r>
              <w:rPr>
                <w:rFonts w:ascii="Times New Roman;serif" w:hAnsi="Times New Roman;serif"/>
                <w:b w:val="false"/>
                <w:color w:val="000000"/>
                <w:sz w:val="13"/>
              </w:rPr>
              <w:t>(1)</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357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5.000% Senior Notes due 2028</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5.125% Senior Notes due 2029</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5.250% Senior Notes due 2030</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2132" w:type="dxa"/>
            <w:gridSpan w:val="3"/>
            <w:tcBorders/>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 xml:space="preserve">Interest rates are weighted average interest rates as of December 31, 2025 and 2024. </w:t>
      </w:r>
    </w:p>
    <w:p>
      <w:pPr>
        <w:pStyle w:val="TextBody"/>
        <w:bidi w:val="0"/>
        <w:spacing w:before="0" w:after="0"/>
        <w:ind w:left="0" w:right="0" w:hanging="270"/>
        <w:jc w:val="both"/>
        <w:rPr/>
      </w:pPr>
      <w:r>
        <w:rPr/>
      </w:r>
    </w:p>
    <w:p>
      <w:pPr>
        <w:pStyle w:val="TextBody"/>
        <w:bidi w:val="0"/>
        <w:spacing w:lineRule="auto" w:line="288" w:before="0" w:after="0"/>
        <w:jc w:val="both"/>
        <w:rPr/>
      </w:pPr>
      <w:r>
        <w:rPr>
          <w:rFonts w:ascii="Times New Roman;serif" w:hAnsi="Times New Roman;serif"/>
          <w:b w:val="false"/>
          <w:i/>
          <w:color w:val="000000"/>
          <w:sz w:val="20"/>
        </w:rPr>
        <w:t>Senior Secured Credit Facilities</w:t>
      </w:r>
      <w:r>
        <w:rPr>
          <w:color w:val="000000"/>
        </w:rPr>
        <w:t xml:space="preserve"> </w:t>
      </w:r>
      <w:r>
        <w:rPr>
          <w:rFonts w:ascii="Times New Roman;serif" w:hAnsi="Times New Roman;serif"/>
          <w:b w:val="false"/>
          <w:color w:val="000000"/>
          <w:sz w:val="20"/>
        </w:rPr>
        <w:t xml:space="preserve">On October 16, 2023, the Company entered into a senior secured credit agreement, with certain subsidiaries of the Company party thereto as foreign borrowers, the lenders party thereto and Bank of America, N.A., as administrative agent (in such capacity, the “Administrative Agent”). This credit agreement provides for senior secured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facilities in an aggregate principal amount of $700 million, comprised of (i) a five-year multicurrency revolving credit facility in the aggregate principal amount of $500 million (including (a) a letter of credit sub-facility in an aggregate principal amount of up to $75 million and (b) a sub-facility in an aggregate principal amount of up to $200 million for borrowings and letters of credit in certain agreed foreign currencies) (the “Revolving Credit Facility,” and the loans thereunder, the “Revolving Loans”) and (ii) a five-year term loan “A” facility in the aggregate principal amount of $200 million (the “Term Loan A Facility,” and the loans thereunder, the “Term A Loans” and, the Term Loan A Facility, together with the Revolving Credit Facility, the “Senior Secured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30, 2024, using a portion of the proceeds from the Digital Banking Sale, the Company repaid all loans outstanding under the Senior Secured Credit Facilities (but did not reduce the principal amount of the commitments under the Revolving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Loans bear interest based on SOFR (or an alternative reference rate for amounts denominated in a currency other than Dollars), or, at the Company’s option, in the case of amounts denominated in Dollars, at a base reference rate equal to the highest of (a) the federal funds rate plus 0.50%, (b) the rate of interest last quoted by the Administrative Agent as its “prime rate” and (c) the one-month SOFR rate plus 1.00% (the “Base Rate”), plus, as applicable, a margin ranging from 2.25% to 3.25% per annum for SOFR-based Revolving Loans and ranging from 1.25% to 2.25% per annum for Base Rate-based Revolving Loans, in each case, depending on the Company’s consolidated leverage ratio. The Revolving Credit Facility is not subject to amortization and will mature on the fifth anniversary of the Closing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obligations under the Revolving Credit Facility are guaranteed by certain of the Company’s material subsidiaries (the “Guarantors”). The obligations under the Revolving Credit Facility and the above described guarantee are secured by a first priority lien and security interest in certain equity interests owned by the Company and the Guarantors in certain of their respective domestic and foreign subsidiaries, and a first priority lien and security interest in substantially all of the assets of the Company and the Guarantors, subject to certain exclusions.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contains customary representations and warranties, affirmative covenants, and negative covenants. The negative covenants limit the Company’s and its subsidiaries’ ability to, among other things, incur indebtedness, create liens on the Company’s or its subsidiaries’ assets, engage in fundamental changes, make investments, sell or otherwise dispose of assets, engage in sale-leaseback transactions, make restricted payments, repay subordinated indebtedness, engage in certain transactions with affiliates and enter into agreements restricting the ability of the Company’s subsidiaries to make distributions to the Company or incur liens on their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also contains a financial covenant that does not permit the Company to allow its consolidated leverage ratio to exceed (i) in the case of any fiscal quarter ending on or following September 30, 2024 and prior to September 30, 2025, 4.50 to 1.00 and (ii) in the case of any fiscal quarter ending on or following September 30, 2025,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also includes provisions for events of default which are customary for similar financings. Upon the occurrence of an event of default, the lenders may, among other things, terminate the loan commitments, accelerate all loans and require cash collateral deposits in respect of outstanding letters of credit. If the Company is unable to pay or repay the amounts due, the lenders could, among other things, proceed against the collateral granted to them to secure such indebtedness.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Senior Unsecured Notes </w:t>
      </w:r>
      <w:r>
        <w:rPr>
          <w:rFonts w:ascii="Times New Roman;serif" w:hAnsi="Times New Roman;serif"/>
          <w:b w:val="false"/>
          <w:color w:val="000000"/>
          <w:sz w:val="20"/>
        </w:rPr>
        <w:t xml:space="preserve">On August 20, 2020, the Company issued $650 million aggregate principal amount of 5.000% senior unsecured notes due in 2028 (the “5.000% Notes”) and $450 million aggregate principal amount of 5.250% senior unsecured notes due in 2030 (the “5.250% Notes”). Interest is payable on the 5.000% and 5.250% Notes semi-annually in arrears on April 1 and October 1. The 5.000% and 5.250% Notes were sold at 100% of the principal amount and mature on October 1, 2028 and October 1, 2030,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Prior to October 1, 2025, with respect to the </w:t>
      </w:r>
      <w:r>
        <w:rPr>
          <w:rFonts w:ascii="Times New Roman;serif" w:hAnsi="Times New Roman;serif"/>
          <w:b w:val="false"/>
          <w:color w:val="000000"/>
          <w:sz w:val="20"/>
        </w:rPr>
        <w:t>5.250%</w:t>
      </w:r>
      <w:r>
        <w:rPr>
          <w:color w:val="000000"/>
          <w:shd w:fill="FFFFFF" w:val="clear"/>
        </w:rPr>
        <w:t xml:space="preserve"> </w:t>
      </w:r>
      <w:r>
        <w:rPr>
          <w:rFonts w:ascii="Times New Roman;serif" w:hAnsi="Times New Roman;serif"/>
          <w:b w:val="false"/>
          <w:color w:val="000000"/>
          <w:sz w:val="20"/>
          <w:shd w:fill="FFFFFF" w:val="clear"/>
        </w:rPr>
        <w:t>Notes, the Company could have redeemed some or all of such series of Notes by paying a redemption price equal to 100% of the principal amount of the Notes to be redeemed plus the Applicable Premium, as defined in the indenture governing the applicable series of notes, plus accrued and unpaid interest to, but excluding, the redemption date (subject to the right of holders of record of the Notes on the relevant record date to receive interest due on the relevant interest payment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has the option to redeem the </w:t>
      </w:r>
      <w:r>
        <w:rPr>
          <w:rFonts w:ascii="Times New Roman;serif" w:hAnsi="Times New Roman;serif"/>
          <w:b w:val="false"/>
          <w:color w:val="000000"/>
          <w:sz w:val="20"/>
        </w:rPr>
        <w:t>5.000%</w:t>
      </w:r>
      <w:r>
        <w:rPr>
          <w:color w:val="000000"/>
          <w:shd w:fill="FFFFFF" w:val="clear"/>
        </w:rPr>
        <w:t xml:space="preserve"> </w:t>
      </w:r>
      <w:r>
        <w:rPr>
          <w:rFonts w:ascii="Times New Roman;serif" w:hAnsi="Times New Roman;serif"/>
          <w:b w:val="false"/>
          <w:color w:val="000000"/>
          <w:sz w:val="20"/>
          <w:shd w:fill="FFFFFF" w:val="clear"/>
        </w:rPr>
        <w:t xml:space="preserve">Notes, in whole or in part, at any time, at a redemption price of 101.250%, and 100% during the 12-month period commencing on October 1, 2025 and thereafter, plus accrued and unpaid interest to the redemption date.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has the option to redeem the </w:t>
      </w:r>
      <w:r>
        <w:rPr>
          <w:rFonts w:ascii="Times New Roman;serif" w:hAnsi="Times New Roman;serif"/>
          <w:b w:val="false"/>
          <w:color w:val="000000"/>
          <w:sz w:val="20"/>
        </w:rPr>
        <w:t>5.250%</w:t>
      </w:r>
      <w:r>
        <w:rPr>
          <w:color w:val="000000"/>
          <w:shd w:fill="FFFFFF" w:val="clear"/>
        </w:rPr>
        <w:t xml:space="preserve"> </w:t>
      </w:r>
      <w:r>
        <w:rPr>
          <w:rFonts w:ascii="Times New Roman;serif" w:hAnsi="Times New Roman;serif"/>
          <w:b w:val="false"/>
          <w:color w:val="000000"/>
          <w:sz w:val="20"/>
          <w:shd w:fill="FFFFFF" w:val="clear"/>
        </w:rPr>
        <w:t xml:space="preserve">Notes, in whole or in part, at any time on or after October 1, 2025, at a redemption price of 102.625%, 101.750%, 100.875%, and 100% during the 12-month periods commencing on October 1, 2025, 2026, 2027 and 2028 and thereafter, respectively, plus accrued and unpaid interest to the redemption date.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April 6, 2021, the Company issued </w:t>
      </w:r>
      <w:r>
        <w:rPr>
          <w:rFonts w:ascii="Times New Roman;serif" w:hAnsi="Times New Roman;serif"/>
          <w:b w:val="false"/>
          <w:color w:val="000000"/>
          <w:sz w:val="20"/>
        </w:rPr>
        <w:t>$1.2 billion</w:t>
      </w:r>
      <w:r>
        <w:rPr>
          <w:color w:val="000000"/>
          <w:shd w:fill="FFFFFF" w:val="clear"/>
        </w:rPr>
        <w:t xml:space="preserve"> </w:t>
      </w:r>
      <w:r>
        <w:rPr>
          <w:rFonts w:ascii="Times New Roman;serif" w:hAnsi="Times New Roman;serif"/>
          <w:b w:val="false"/>
          <w:color w:val="000000"/>
          <w:sz w:val="20"/>
          <w:shd w:fill="FFFFFF" w:val="clear"/>
        </w:rPr>
        <w:t xml:space="preserve">aggregate principal amount of </w:t>
      </w:r>
      <w:r>
        <w:rPr>
          <w:rFonts w:ascii="Times New Roman;serif" w:hAnsi="Times New Roman;serif"/>
          <w:b w:val="false"/>
          <w:color w:val="000000"/>
          <w:sz w:val="20"/>
        </w:rPr>
        <w:t>5.125%</w:t>
      </w:r>
      <w:r>
        <w:rPr>
          <w:color w:val="000000"/>
          <w:shd w:fill="FFFFFF" w:val="clear"/>
        </w:rPr>
        <w:t xml:space="preserve"> </w:t>
      </w:r>
      <w:r>
        <w:rPr>
          <w:rFonts w:ascii="Times New Roman;serif" w:hAnsi="Times New Roman;serif"/>
          <w:b w:val="false"/>
          <w:color w:val="000000"/>
          <w:sz w:val="20"/>
          <w:shd w:fill="FFFFFF" w:val="clear"/>
        </w:rPr>
        <w:t>senior unsecured notes due 2029 (the “</w:t>
      </w:r>
      <w:r>
        <w:rPr>
          <w:rFonts w:ascii="Times New Roman;serif" w:hAnsi="Times New Roman;serif"/>
          <w:b w:val="false"/>
          <w:color w:val="000000"/>
          <w:sz w:val="20"/>
        </w:rPr>
        <w:t>5.125%</w:t>
      </w:r>
      <w:r>
        <w:rPr>
          <w:color w:val="000000"/>
          <w:shd w:fill="FFFFFF" w:val="clear"/>
        </w:rPr>
        <w:t xml:space="preserve"> </w:t>
      </w:r>
      <w:r>
        <w:rPr>
          <w:rFonts w:ascii="Times New Roman;serif" w:hAnsi="Times New Roman;serif"/>
          <w:b w:val="false"/>
          <w:color w:val="000000"/>
          <w:sz w:val="20"/>
          <w:shd w:fill="FFFFFF" w:val="clear"/>
        </w:rPr>
        <w:t xml:space="preserve">Notes”). </w:t>
      </w:r>
      <w:r>
        <w:rPr>
          <w:rFonts w:ascii="Times New Roman;serif" w:hAnsi="Times New Roman;serif"/>
          <w:b w:val="false"/>
          <w:color w:val="000000"/>
          <w:sz w:val="20"/>
        </w:rPr>
        <w:t>Interest is payable on the 5.125% Notes semi-annually in arrears on April 15 and October 15 of each year. The 5.125% Notes will mature on April 15, 2029.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the option to redeem the 5.125% Notes, at whole or in part, on or after April 15, 2024, at a redemption price of 102.563%, 101.281% and 100% during the 12-month periods commencing on or after April 15, 2024, 2025 and 2026 and thereafter, respectively, plus accrued and unpaid interest to the redemption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30, 2024, a portion of the proceeds from the Digital Banking Sale were used to settle the Company’s previously announced tender offers to purchase up to $1.2 billion aggregate purchase price, excluding accrued and unpaid interest, of the Company’s senior unsecured notes, subject to prioritized acceptance levels and proration. Pursuant to the terms of the tender offers and the final settlement, the Company purchased approximately $398 million aggregate principal amount of the 5.250% Notes and $797 million aggregate principal amount of the 5.125% Notes. The Company recognized a gain on extinguishment of debt of $8 million related to the redemption discount of $18 million on the settlement of the 5.250% Notes and 5.125% Notes offset by the write-off of the related deferred financing fees of $10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unsecured notes are the Company’s senior unsecured obligations and are jointly and severally unconditionally guaranteed on a senior unsecured basis by the Company’s domestic material subsidiaries, subject to certain limitations, that guarantee the Company’s Senior Secured Credit Facilities pursuant to supplemental indentures governing each applicable series of senior unsecured notes. The indentures governing the senior unsecured notes contain customary events of default, including, among other things, payment default, exchange default, failure to provide certain notices thereunder and certain provisions related to bankruptcy events. The indentures governing the senior unsecured notes also contains customary high yield affirmative and negative covenants, including negative covenants that, among other things, limit the Company and its restricted subsidiaries’ ability to incur additional indebtedness, create liens on, sell or otherwise dispose of assets, engage in certain fundamental corporate changes or changes to lines of business activities, make certain investments or material acquisitions, engage in sale-leaseback or hedging transactions, repurchase common stock, pay dividends or make similar distributions on capital stock, repay certain indebtedness, engage in certain affiliate transactions and enter into agreements that restrict their ability to create liens, pay dividends or make loan repayments. If the senior unsecured notes are assigned an “investment grade” rating by Moody’s or S&amp;P and no default has occurred or is continuing, certain covenants will be terminated.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Debt Maturities </w:t>
      </w:r>
      <w:r>
        <w:rPr>
          <w:rFonts w:ascii="Times New Roman;serif" w:hAnsi="Times New Roman;serif"/>
          <w:b w:val="false"/>
          <w:color w:val="000000"/>
          <w:sz w:val="20"/>
        </w:rPr>
        <w:t xml:space="preserve">Maturities of debt outstanding, in principal amounts, at December 31, 2025 are summarized below: </w:t>
      </w:r>
    </w:p>
    <w:tbl>
      <w:tblPr>
        <w:tblW w:w="9241" w:type="dxa"/>
        <w:jc w:val="center"/>
        <w:tblInd w:w="0" w:type="dxa"/>
        <w:tblLayout w:type="fixed"/>
        <w:tblCellMar>
          <w:top w:w="28" w:type="dxa"/>
          <w:left w:w="28" w:type="dxa"/>
          <w:bottom w:w="28" w:type="dxa"/>
          <w:right w:w="28" w:type="dxa"/>
        </w:tblCellMar>
      </w:tblPr>
      <w:tblGrid>
        <w:gridCol w:w="494"/>
        <w:gridCol w:w="434"/>
        <w:gridCol w:w="437"/>
        <w:gridCol w:w="109"/>
        <w:gridCol w:w="109"/>
        <w:gridCol w:w="109"/>
        <w:gridCol w:w="211"/>
        <w:gridCol w:w="631"/>
        <w:gridCol w:w="109"/>
        <w:gridCol w:w="109"/>
        <w:gridCol w:w="109"/>
        <w:gridCol w:w="109"/>
        <w:gridCol w:w="211"/>
        <w:gridCol w:w="406"/>
        <w:gridCol w:w="109"/>
        <w:gridCol w:w="109"/>
        <w:gridCol w:w="109"/>
        <w:gridCol w:w="109"/>
        <w:gridCol w:w="211"/>
        <w:gridCol w:w="406"/>
        <w:gridCol w:w="109"/>
        <w:gridCol w:w="109"/>
        <w:gridCol w:w="109"/>
        <w:gridCol w:w="109"/>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54"/>
        <w:gridCol w:w="490"/>
        <w:gridCol w:w="187"/>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Fair Value of Debt</w:t>
      </w:r>
      <w:r>
        <w:rPr>
          <w:color w:val="000000"/>
        </w:rPr>
        <w:t xml:space="preserve"> </w:t>
      </w:r>
      <w:r>
        <w:rPr>
          <w:rFonts w:ascii="Times New Roman;serif" w:hAnsi="Times New Roman;serif"/>
          <w:b w:val="false"/>
          <w:color w:val="000000"/>
          <w:sz w:val="20"/>
        </w:rPr>
        <w:t>The Company utilized Level 2 inputs, as defined in the fair value hierarchy, to measure the fair value of the long-term debt, which, as of December 31, 2025 and 2024 was $1.09 billion and $1.06 billion, respectively. Management</w:t>
      </w:r>
      <w:r>
        <w:rPr>
          <w:color w:val="000000"/>
          <w:shd w:fill="FFFFFF" w:val="clear"/>
        </w:rPr>
        <w:t>’</w:t>
      </w:r>
      <w:r>
        <w:rPr>
          <w:rFonts w:ascii="Times New Roman;serif" w:hAnsi="Times New Roman;serif"/>
          <w:b w:val="false"/>
          <w:color w:val="000000"/>
          <w:sz w:val="20"/>
        </w:rPr>
        <w:t>s fair value estimates were based on quoted prices for recent trades of the Company’s long-term debt, quoted prices for similar instruments, and inquiries with certain investment communities.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TRADE RECEIVABLES FACILITY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Prior to September 30, 2024, the Company maintained a trade receivables facility (the “T/R Facility”) pursuant to which a wholly-owned, bankruptcy-remote subsidiary of the Company (the “U.S. SPE”) and a wholly-owned, bankruptcy remote subsidiary of a Canadian affiliate of the Company (the “Canadian SPE,” and together with the U.S. SPE, the “SPEs”) continuously acquired all of the trade receivables originated by the Company and the Canadian affiliate (and certain other affiliates from time to time party to the T/R Facility). The SPEs in turn either sold or pledged those trade receivables to unaffiliated purchasers party to the T/R Facility (the “Purchasers”). On September 1, 2024, the Company voluntarily repaid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portion of the amounts outstanding under the T/R Facility to reduce the commitment of the Purchasers from </w:t>
      </w:r>
      <w:r>
        <w:rPr>
          <w:rFonts w:ascii="Times New Roman;serif" w:hAnsi="Times New Roman;serif"/>
          <w:b w:val="false"/>
          <w:color w:val="000000"/>
          <w:sz w:val="20"/>
        </w:rPr>
        <w:t>$300 million to $252 million and to reacquire all outstanding trade receivables related to the Digital Banking business. On September 30, 2024, the Company used a portion of the proceeds from the Digital Banking Sale to voluntarily pay all remaining amounts outstanding under the T/R Facility. In connection with the payment of such amounts, the Company terminated the T/R Facility and reacquired all of the outstanding trade receivables that had previously been sold by it (and by its affiliates then party to the T/R Facility) to the SPEs (including any outstanding trade receivables that had been further sold on to the Purchasers) and these amounts are included in Accounts receivable, net in the Company’s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the T/R Facility was terminated as of September 30, 2024, the outstanding balance sold to the Purchasers and derecognized by the U.S. SPE was zero as of December 31, 2025 and December 31, 2024. Prior to the termination of the T/R Facility, the total outstanding balance of trade receivables sold to the Purchasers could be up to $252 million (or prior to September 1, 2024, up to $300 million) at any one time, which represented the maximum purchase commitment from the Purchasers. The actual outstanding balance of trade receivables that were sold varied based on the level of activity and other factors and could be less than the maximum purchase commitment.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activity related to the termination of the T/R Facility is reflected in Net cash provided by investing activities in the Consolidated Statements of Cash Flows. Prior to the termination of the T/R Facility, continuous cash activity was reflected in Net cash provided by operating activities. The U.S. SPE incurred fees under the T/R Facility, including fees due and payable to the Purchasers. Those fees, which are immaterial, are recorded within Other income (expense), net in the Consolidated Statements of Operations. In addition, each of the SPEs had provided a full recourse guarantee in favor of the Purchasers of the full and timely payment of all trade receivables sold to them by the U.S. SPE. The guarantee was secured by all the trade receivables owned by each of the SPEs that had not been sold to the Purchasers. The reserve recognized for this recourse obligation historically was not 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8. 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income (loss) from continuing operations before income taxes consisted of the following:</w:t>
      </w:r>
    </w:p>
    <w:tbl>
      <w:tblPr>
        <w:tblW w:w="9308" w:type="dxa"/>
        <w:jc w:val="center"/>
        <w:tblInd w:w="0" w:type="dxa"/>
        <w:tblLayout w:type="fixed"/>
        <w:tblCellMar>
          <w:top w:w="28" w:type="dxa"/>
          <w:left w:w="28" w:type="dxa"/>
          <w:bottom w:w="28" w:type="dxa"/>
          <w:right w:w="28" w:type="dxa"/>
        </w:tblCellMar>
      </w:tblPr>
      <w:tblGrid>
        <w:gridCol w:w="2102"/>
        <w:gridCol w:w="1848"/>
        <w:gridCol w:w="1854"/>
        <w:gridCol w:w="109"/>
        <w:gridCol w:w="109"/>
        <w:gridCol w:w="109"/>
        <w:gridCol w:w="211"/>
        <w:gridCol w:w="436"/>
        <w:gridCol w:w="109"/>
        <w:gridCol w:w="109"/>
        <w:gridCol w:w="109"/>
        <w:gridCol w:w="109"/>
        <w:gridCol w:w="211"/>
        <w:gridCol w:w="541"/>
        <w:gridCol w:w="109"/>
        <w:gridCol w:w="109"/>
        <w:gridCol w:w="109"/>
        <w:gridCol w:w="109"/>
        <w:gridCol w:w="211"/>
        <w:gridCol w:w="541"/>
        <w:gridCol w:w="154"/>
      </w:tblGrid>
      <w:tr>
        <w:trPr/>
        <w:tc>
          <w:tcPr>
            <w:tcW w:w="2102"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income tax expense (benefit) consisted of the following:</w:t>
      </w:r>
    </w:p>
    <w:tbl>
      <w:tblPr>
        <w:tblW w:w="6219" w:type="dxa"/>
        <w:jc w:val="center"/>
        <w:tblInd w:w="0" w:type="dxa"/>
        <w:tblLayout w:type="fixed"/>
        <w:tblCellMar>
          <w:top w:w="28" w:type="dxa"/>
          <w:left w:w="28" w:type="dxa"/>
          <w:bottom w:w="28" w:type="dxa"/>
          <w:right w:w="28" w:type="dxa"/>
        </w:tblCellMar>
      </w:tblPr>
      <w:tblGrid>
        <w:gridCol w:w="1087"/>
        <w:gridCol w:w="955"/>
        <w:gridCol w:w="958"/>
        <w:gridCol w:w="109"/>
        <w:gridCol w:w="109"/>
        <w:gridCol w:w="109"/>
        <w:gridCol w:w="211"/>
        <w:gridCol w:w="436"/>
        <w:gridCol w:w="109"/>
        <w:gridCol w:w="109"/>
        <w:gridCol w:w="109"/>
        <w:gridCol w:w="109"/>
        <w:gridCol w:w="211"/>
        <w:gridCol w:w="331"/>
        <w:gridCol w:w="109"/>
        <w:gridCol w:w="109"/>
        <w:gridCol w:w="109"/>
        <w:gridCol w:w="109"/>
        <w:gridCol w:w="211"/>
        <w:gridCol w:w="46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Disclosed below is a summary of income taxes paid by jurisdiction for the year ended December 31, 2025, pursuant to the disclosure requirements of ASU 2023-09:</w:t>
      </w:r>
    </w:p>
    <w:tbl>
      <w:tblPr>
        <w:tblW w:w="4098" w:type="dxa"/>
        <w:jc w:val="left"/>
        <w:tblInd w:w="0" w:type="dxa"/>
        <w:tblLayout w:type="fixed"/>
        <w:tblCellMar>
          <w:top w:w="28" w:type="dxa"/>
          <w:left w:w="28" w:type="dxa"/>
          <w:bottom w:w="28" w:type="dxa"/>
          <w:right w:w="28" w:type="dxa"/>
        </w:tblCellMar>
      </w:tblPr>
      <w:tblGrid>
        <w:gridCol w:w="1059"/>
        <w:gridCol w:w="929"/>
        <w:gridCol w:w="937"/>
        <w:gridCol w:w="109"/>
        <w:gridCol w:w="109"/>
        <w:gridCol w:w="109"/>
        <w:gridCol w:w="211"/>
        <w:gridCol w:w="48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taxes paid by jurisdiction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there were no jurisdictions other than U.S. federal with income taxes paid that equaled or exceeded 5% of total income taxes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principal components of the difference between the effective tax rate and the U.S. federal statutory income tax rate for the year ended December 31, 2025, pursuant to the disclosure requirements of ASU 2023-09:</w:t>
      </w:r>
    </w:p>
    <w:tbl>
      <w:tblPr>
        <w:tblW w:w="8705" w:type="dxa"/>
        <w:jc w:val="left"/>
        <w:tblInd w:w="0" w:type="dxa"/>
        <w:tblLayout w:type="fixed"/>
        <w:tblCellMar>
          <w:top w:w="28" w:type="dxa"/>
          <w:left w:w="28" w:type="dxa"/>
          <w:bottom w:w="28" w:type="dxa"/>
          <w:right w:w="28" w:type="dxa"/>
        </w:tblCellMar>
      </w:tblPr>
      <w:tblGrid>
        <w:gridCol w:w="2221"/>
        <w:gridCol w:w="1953"/>
        <w:gridCol w:w="1960"/>
        <w:gridCol w:w="109"/>
        <w:gridCol w:w="109"/>
        <w:gridCol w:w="109"/>
        <w:gridCol w:w="236"/>
        <w:gridCol w:w="436"/>
        <w:gridCol w:w="124"/>
        <w:gridCol w:w="109"/>
        <w:gridCol w:w="109"/>
        <w:gridCol w:w="109"/>
        <w:gridCol w:w="315"/>
        <w:gridCol w:w="316"/>
        <w:gridCol w:w="490"/>
      </w:tblGrid>
      <w:tr>
        <w:trPr/>
        <w:tc>
          <w:tcPr>
            <w:tcW w:w="222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expense/(benefit) at the U.S. federal tax rate of 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w:t>
            </w:r>
            <w:r>
              <w:rPr>
                <w:color w:val="000000"/>
              </w:rPr>
              <w:t>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State and local income taxes, net of federal income tax effect</w:t>
            </w:r>
            <w:r>
              <w:rPr>
                <w:rFonts w:ascii="Times New Roman;serif" w:hAnsi="Times New Roman;serif"/>
                <w:b/>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income tax rate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from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(80.6)</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Gain/(loss) on disposition</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Cyprus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income tax rate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(16.1)</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from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Changes in valuation allowances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(35.5)</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(28.0)</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cross-border tax laws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CFC Tested Income (NCTI)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(80.6)</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Income/(loss) from foreign branches, disregarded entities, and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on unremitted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(22.6)</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&amp; Development (R&amp;D) tax credits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payment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(16.1)</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from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212.9</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235.0</w:t>
            </w:r>
            <w:r>
              <w:rPr>
                <w:color w:val="000000"/>
              </w:rPr>
              <w:t> </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State taxes attributable to California and New York State represented the majority (greater than 50%) of the tax effect within this category for 2025.</w:t>
      </w:r>
    </w:p>
    <w:p>
      <w:pPr>
        <w:pStyle w:val="TextBody"/>
        <w:bidi w:val="0"/>
        <w:spacing w:lineRule="auto" w:line="288" w:before="0" w:after="0"/>
        <w:jc w:val="left"/>
        <w:rPr/>
      </w:pPr>
      <w:r>
        <w:rPr>
          <w:rFonts w:ascii="Times New Roman;serif" w:hAnsi="Times New Roman;serif"/>
          <w:b w:val="false"/>
          <w:color w:val="000000"/>
          <w:sz w:val="10"/>
        </w:rPr>
        <w:t>(2)</w:t>
      </w:r>
      <w:r>
        <w:rPr>
          <w:rFonts w:ascii="Times New Roman;serif" w:hAnsi="Times New Roman;serif"/>
          <w:b w:val="false"/>
          <w:color w:val="000000"/>
          <w:sz w:val="16"/>
        </w:rPr>
        <w:t>Indicates reconciling items that include changes in tax estimates for prior periods.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tax provisions include a provision for income taxes in certain tax jurisdictions where its subsidiaries are profitable, but reflect only a portion of the tax benefits related to certain foreign subsidiaries’ tax losses due to the uncertainty of the ultimate realization of future benefits from these losses. During 2025, our tax rate was impacted by a $66 million benefit in the U.S. due to entity restructuring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principal components of the difference between the effective tax rate and the U.S. federal statutory income tax rate prior to the adoption of ASU 2023-09 for the years ended December 31:</w:t>
      </w:r>
    </w:p>
    <w:tbl>
      <w:tblPr>
        <w:tblW w:w="7738" w:type="dxa"/>
        <w:jc w:val="center"/>
        <w:tblInd w:w="0" w:type="dxa"/>
        <w:tblLayout w:type="fixed"/>
        <w:tblCellMar>
          <w:top w:w="28" w:type="dxa"/>
          <w:left w:w="28" w:type="dxa"/>
          <w:bottom w:w="28" w:type="dxa"/>
          <w:right w:w="28" w:type="dxa"/>
        </w:tblCellMar>
      </w:tblPr>
      <w:tblGrid>
        <w:gridCol w:w="1884"/>
        <w:gridCol w:w="1657"/>
        <w:gridCol w:w="1663"/>
        <w:gridCol w:w="109"/>
        <w:gridCol w:w="109"/>
        <w:gridCol w:w="109"/>
        <w:gridCol w:w="109"/>
        <w:gridCol w:w="109"/>
        <w:gridCol w:w="211"/>
        <w:gridCol w:w="436"/>
        <w:gridCol w:w="109"/>
        <w:gridCol w:w="109"/>
        <w:gridCol w:w="109"/>
        <w:gridCol w:w="109"/>
        <w:gridCol w:w="211"/>
        <w:gridCol w:w="541"/>
        <w:gridCol w:w="154"/>
      </w:tblGrid>
      <w:tr>
        <w:trPr/>
        <w:tc>
          <w:tcPr>
            <w:tcW w:w="188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at the U.S. federal tax rate of 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U.S. tax on foreign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U.S. permanent book/tax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and entertainment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surrender value received as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executive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Spin-off of NCR Atleos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Gains/losses on internal entity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(benefit)/deficit from share-based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law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liability for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estimates for prior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2024, our tax rate was impacted by a $57 million expense from recording a valuation allowance against deferred tax assets. During 2023, our tax rate was impacted by a net $226 million expense related to the Spin-Off of NCR Atleos. Also during 2023, our tax rate was impacted by a $31 million expense from recording a valuation allowance against deferred tax assets and a $17 million expense from nondeductible executive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 1, “Basis of Presentation and Significant Accounting Policies”, on October 16, 2023, in connection with the Spin-Off, the Company completed a series of legal entity restructurings including both an internal and external spin-off transaction. These transactions are subject to tax laws in the U.S. and non-U.S. jurisdictions, which resulted in the use of significant judgments by management as it pertains to the interpretation and application of tax laws in the U.S. and non-U.S. jurisdictions to determine the potential taxability of the transactions. </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did not provide additional U.S. income tax or foreign withholding taxes, if any, on undistributed earnings of certain foreign subsidiaries given the intention continues to be that those earnings are reinvested indefinitely. The amount of unrecognized deferred tax liability associated with these indefinitely reinvested earnings is approximately $27 million. The unrecognized deferred tax liability is made up of a combination of U.S. and state income taxes and foreign withholding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regularly review our deferred tax assets for recoverability and establish a valuation allowance if it is more likely than not that some portion or all of the deferred tax asset will not be realized. The determination as to whether a deferred tax asset will be realized is made on a jurisdictional basis and is based on the evaluation of positive and negative evidence. This evidence includes historical taxable income/loss, projected future taxable income, the expected timing of the reversal of existing temporary differences and the implementation of tax planning strategies.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income tax assets and liabilities included in the Consolidated Balance Sheets as of December 31 were as follows:</w:t>
      </w:r>
    </w:p>
    <w:tbl>
      <w:tblPr>
        <w:tblW w:w="5975" w:type="dxa"/>
        <w:jc w:val="left"/>
        <w:tblInd w:w="0" w:type="dxa"/>
        <w:tblLayout w:type="fixed"/>
        <w:tblCellMar>
          <w:top w:w="28" w:type="dxa"/>
          <w:left w:w="28" w:type="dxa"/>
          <w:bottom w:w="28" w:type="dxa"/>
          <w:right w:w="28" w:type="dxa"/>
        </w:tblCellMar>
      </w:tblPr>
      <w:tblGrid>
        <w:gridCol w:w="1334"/>
        <w:gridCol w:w="1173"/>
        <w:gridCol w:w="1182"/>
        <w:gridCol w:w="109"/>
        <w:gridCol w:w="109"/>
        <w:gridCol w:w="109"/>
        <w:gridCol w:w="211"/>
        <w:gridCol w:w="481"/>
        <w:gridCol w:w="109"/>
        <w:gridCol w:w="109"/>
        <w:gridCol w:w="109"/>
        <w:gridCol w:w="109"/>
        <w:gridCol w:w="211"/>
        <w:gridCol w:w="466"/>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pensions and other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balance sheet reserves and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loss and credit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Partnership 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deferred income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previously recorded valuation allowances related to certain deferred tax assets due to the uncertainty of the ultimate realization of the future benefits from those assets. The recorded valuation allowances cover deferred tax assets, including tax loss carryforwards, interest expense carryforwards and foreign tax credits in tax jurisdictions where there is uncertainty as to the ultimate realization of those tax assets. If we are unable to generate sufficient future taxable income of the proper source in the time period within which the temporary differences underlying our deferred tax assets become deductible, or before the expiration of our loss and credit carryforwards, additional valuation allowances could be required.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U.S. federal, U.S. state (tax effected), and foreign tax attribute carryforwards of approximately $673 million. The net operating loss carryforwards that are subject to expiration will expire in the years 2026 through 2045. The attributes include U.S. tax credit carryforwards of $33 million, which expire in the years 2028 through 2034.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current tax liability was $13 million and $336 million as of December 31, 2025 and December 31, 2024, respectively, presented within Other current liabilities on the Consolidated Balance Sheets. The decrease in the current tax liability is primarily due to the payment of $284 million of taxes related to the Digital Banking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changes in the balance of our gross unrecognized tax benefits were as follows for the years ended December 31:</w:t>
      </w:r>
    </w:p>
    <w:tbl>
      <w:tblPr>
        <w:tblW w:w="8333" w:type="dxa"/>
        <w:jc w:val="center"/>
        <w:tblInd w:w="0" w:type="dxa"/>
        <w:tblLayout w:type="fixed"/>
        <w:tblCellMar>
          <w:top w:w="28" w:type="dxa"/>
          <w:left w:w="28" w:type="dxa"/>
          <w:bottom w:w="28" w:type="dxa"/>
          <w:right w:w="28" w:type="dxa"/>
        </w:tblCellMar>
      </w:tblPr>
      <w:tblGrid>
        <w:gridCol w:w="1902"/>
        <w:gridCol w:w="1668"/>
        <w:gridCol w:w="1679"/>
        <w:gridCol w:w="109"/>
        <w:gridCol w:w="109"/>
        <w:gridCol w:w="109"/>
        <w:gridCol w:w="211"/>
        <w:gridCol w:w="376"/>
        <w:gridCol w:w="109"/>
        <w:gridCol w:w="109"/>
        <w:gridCol w:w="109"/>
        <w:gridCol w:w="109"/>
        <w:gridCol w:w="211"/>
        <w:gridCol w:w="361"/>
        <w:gridCol w:w="109"/>
        <w:gridCol w:w="109"/>
        <w:gridCol w:w="109"/>
        <w:gridCol w:w="109"/>
        <w:gridCol w:w="211"/>
        <w:gridCol w:w="361"/>
        <w:gridCol w:w="154"/>
      </w:tblGrid>
      <w:tr>
        <w:trPr/>
        <w:tc>
          <w:tcPr>
            <w:tcW w:w="190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unrecognized tax benefits -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tax positions from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tax positions from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tax provisions taken during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with tax authorities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Lapses of statutes of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NCR Atleos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unrecognized tax benefits -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the total amount of gross unrecognized tax benefits as of December 31, 2025, $38 million would affect the Company’s effective tax rate if realized. The Company’s liability arising from uncertain tax positions is recorded in Income tax accruals and Other current liabilities in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recognized interest and penalties associated with uncertain tax positions as part of the provision for income taxes in our Consolidated Statements of Operations of $2 million of benefit, zero, and $4 million of expense for the years ended December 31, 2025, 2024, and 2023, respectively. The gross amount of interest and penalties accrued as of December 31, 2025 and 2024 was $16 million in each year,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United States, the Company files consolidated federal and state income tax returns, with statutes of limitations generally ranging from three to five years. U.S. federal tax years remain open from 2022 forward. During 2025, the Egyptian Tax Authority concluded an examination of the 2010-2013 tax years, resulting in an assessment of $1 million. The Company released a total of $2 million in tax reserves as a result of the settlement. Years beginning on or after 2014 are still open to examination by certain foreign taxing authorities.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STOCK COMPENSATION PLANS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disclosed in Note 1, “Basis of Presentation and Significant Accounting Policies”, outstanding restricted stock units and stock options were adjusted to maintain the economic value of those awards before and after the Spin-Off. Generally, continuing NCR Voyix employees retained the number of outstanding restricted stock units held by them as of the Spin-Off and received additional NCR Voyix restricted stock units to reflect the Spin-Off, while continuing NCR Atleos employees had their outstanding restricted stock units held by them as of the Spin-Off converted solely into equivalent restricted stock units of NCR Atleos, and any outstanding restricted stock units held by them as of the Spin-Off were cancelled. Outstanding stock options at the time of the Spin-Off, regardless of the holder, were converted into stock options of both NCR Voyix and NCR Atleos. In addition, outstanding restricted stock units held by certain key equity holders as of the Spin-Off (including directors and certain former employees) were converted into restricted stock units of both NCR Voyix and NCR Atleos. The share information included below has been adjusted for the Spin-Off. The modification of the Company’s awards did not result in material stock-based compensation cost during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all share-based payments as compensation expense in its financial statements based on their fair value. As of December 31, 2025, the Company’s stock-based compensation consisted of restricted stock units, employee stock purchase plan and stock options. The Company recorded stock-based compensation expense in income (loss) from continuing operations for the years ended December 31 as follows:</w:t>
      </w:r>
    </w:p>
    <w:tbl>
      <w:tblPr>
        <w:tblW w:w="6537" w:type="dxa"/>
        <w:jc w:val="center"/>
        <w:tblInd w:w="0" w:type="dxa"/>
        <w:tblLayout w:type="fixed"/>
        <w:tblCellMar>
          <w:top w:w="28" w:type="dxa"/>
          <w:left w:w="28" w:type="dxa"/>
          <w:bottom w:w="28" w:type="dxa"/>
          <w:right w:w="28" w:type="dxa"/>
        </w:tblCellMar>
      </w:tblPr>
      <w:tblGrid>
        <w:gridCol w:w="1331"/>
        <w:gridCol w:w="1164"/>
        <w:gridCol w:w="1180"/>
        <w:gridCol w:w="211"/>
        <w:gridCol w:w="376"/>
        <w:gridCol w:w="109"/>
        <w:gridCol w:w="109"/>
        <w:gridCol w:w="109"/>
        <w:gridCol w:w="109"/>
        <w:gridCol w:w="211"/>
        <w:gridCol w:w="361"/>
        <w:gridCol w:w="109"/>
        <w:gridCol w:w="109"/>
        <w:gridCol w:w="109"/>
        <w:gridCol w:w="109"/>
        <w:gridCol w:w="211"/>
        <w:gridCol w:w="466"/>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(benefit)</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Approximately 34 million shares (i) remain available for future issuance and (ii) are issuable upon the exercise or settlement of outstanding awards under the 2017 Stock Incentive Plan (“SIP”). Details of the Company’s stock-based compensation plans are discussed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SIP provides for the grant of several different forms of stock-based compensation, including restricted stock units. Restricted stock units can have service-based and/or performance-based vesting with performance goals being established by the Compensation and Human Resource Committee of the Company’s Board of Directors. Any grant of restricted stock units is generally subject to a vesting period of 12 months to 48 months, to the extent permitted by the SIP. Performance-based grants conditionally vest upon achievement of future performance goals based on performance criteria such as the Company’s achievement of specific return on capital and/or other financial metrics (as defined in the SIP) during the performance period. Performance-based grants must be earned, based on performance, before the actual number of shares to be awarded is known. The Compensation and Human Resource Committee considers the likelihood of meeting the performance criteria based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estimates and other relevant data, and certifies performance based on its analysis of achievement against the performance criteria. A recipient of restricted stock units does not have the rights of a stockholder and is subject to restrictions on transferability and risk of forfeiture. Other terms and conditions applicable to any award of restricted stock units will be determined by the Compensation and Human Resource Committee and set forth in the agreement relating to that award.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reports restricted stock unit activity during the year ended December 31, 2025:</w:t>
      </w:r>
    </w:p>
    <w:tbl>
      <w:tblPr>
        <w:tblW w:w="8783" w:type="dxa"/>
        <w:jc w:val="center"/>
        <w:tblInd w:w="0" w:type="dxa"/>
        <w:tblLayout w:type="fixed"/>
        <w:tblCellMar>
          <w:top w:w="28" w:type="dxa"/>
          <w:left w:w="28" w:type="dxa"/>
          <w:bottom w:w="28" w:type="dxa"/>
          <w:right w:w="28" w:type="dxa"/>
        </w:tblCellMar>
      </w:tblPr>
      <w:tblGrid>
        <w:gridCol w:w="1068"/>
        <w:gridCol w:w="942"/>
        <w:gridCol w:w="945"/>
        <w:gridCol w:w="109"/>
        <w:gridCol w:w="109"/>
        <w:gridCol w:w="109"/>
        <w:gridCol w:w="434"/>
        <w:gridCol w:w="434"/>
        <w:gridCol w:w="436"/>
        <w:gridCol w:w="109"/>
        <w:gridCol w:w="109"/>
        <w:gridCol w:w="109"/>
        <w:gridCol w:w="831"/>
        <w:gridCol w:w="2428"/>
        <w:gridCol w:w="611"/>
      </w:tblGrid>
      <w:tr>
        <w:trPr/>
        <w:tc>
          <w:tcPr>
            <w:tcW w:w="106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 per Unit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shares as of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granted adjustments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0"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shares 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6,664 </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Represents grant adjustments for RSUs granted in prior periods with performance-based vesting criteria to reflect the actual number of shares issued upon final achievement of the performance vesting criteria.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is recognized in the financial statements based upon fair value. The total fair value of units vested and distributed in the form of the Company’s common stock was $49 million in 2025, $61 million in 2024, and $132 million in 2023. As of December 31, 2025, there was $47 million of unrecognized compensation cost related to unvested restricted stock unit grants. The unrecognized compensation cost is expected to be recognized over a remaining weighted-average period of 1.9 years under the endpoint method. The weighted average grant date fair value for restricted stock unit awards granted in 2024 and 2023 was $12.97 and $16.25,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composition of restricted stock unit grants in 2025:</w:t>
      </w:r>
    </w:p>
    <w:tbl>
      <w:tblPr>
        <w:tblW w:w="7461" w:type="dxa"/>
        <w:jc w:val="center"/>
        <w:tblInd w:w="0" w:type="dxa"/>
        <w:tblLayout w:type="fixed"/>
        <w:tblCellMar>
          <w:top w:w="28" w:type="dxa"/>
          <w:left w:w="28" w:type="dxa"/>
          <w:bottom w:w="28" w:type="dxa"/>
          <w:right w:w="28" w:type="dxa"/>
        </w:tblCellMar>
      </w:tblPr>
      <w:tblGrid>
        <w:gridCol w:w="824"/>
        <w:gridCol w:w="726"/>
        <w:gridCol w:w="729"/>
        <w:gridCol w:w="109"/>
        <w:gridCol w:w="109"/>
        <w:gridCol w:w="109"/>
        <w:gridCol w:w="434"/>
        <w:gridCol w:w="434"/>
        <w:gridCol w:w="436"/>
        <w:gridCol w:w="109"/>
        <w:gridCol w:w="109"/>
        <w:gridCol w:w="109"/>
        <w:gridCol w:w="692"/>
        <w:gridCol w:w="2023"/>
        <w:gridCol w:w="509"/>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3, 2025, the Company granted market-based restricted stock units vesting on March 3, 2028. The fair value of the awards was determined based on the grant date fair value and will be recognized over the requisite service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details the significant assumptions used in determining the fair value of the market-based restricted stock units granted on March 3, 2025: </w:t>
      </w:r>
    </w:p>
    <w:tbl>
      <w:tblPr>
        <w:tblW w:w="2821" w:type="dxa"/>
        <w:jc w:val="left"/>
        <w:tblInd w:w="0" w:type="dxa"/>
        <w:tblLayout w:type="fixed"/>
        <w:tblCellMar>
          <w:top w:w="28" w:type="dxa"/>
          <w:left w:w="28" w:type="dxa"/>
          <w:bottom w:w="28" w:type="dxa"/>
          <w:right w:w="28" w:type="dxa"/>
        </w:tblCellMar>
      </w:tblPr>
      <w:tblGrid>
        <w:gridCol w:w="668"/>
        <w:gridCol w:w="587"/>
        <w:gridCol w:w="589"/>
        <w:gridCol w:w="315"/>
        <w:gridCol w:w="316"/>
        <w:gridCol w:w="34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48.34</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8, 2024, the Company granted market-based restricted stock units vesting on November 8, 2027. The number of awards that vest are subject to the satisfaction of performance-based vesting conditions tied to the Company’s common stock price. The performance-based vesting conditions require that at any time during the 3-year performance period prior to November 8, 2027, the twenty-trading day trailing average price for the Company’s common stock must equal or exceed a stock price threshold of $22.00 for twenty consecutive trading days. In addition, should the twenty-trading day trailing average price for the Company’s common stock equal or exceed $24.00 at any time during the performance period for twenty consecutive trading days, the payout will be 125% and should the twenty-trading day trailing average price for the Company’s common stock equal or exceed $26.00 at any time during the performance period for twenty consecutive trading days, the payout will be 150%. Payouts for stock prices between prices provided herein shall be calculated applying linear interpolation.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awards was determined based on the grant date fair value and will be recognized over the requisite service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details the significant assumptions used in determining the fair value of the market-based restricted stock units granted on November 8, 2024: </w:t>
      </w:r>
    </w:p>
    <w:tbl>
      <w:tblPr>
        <w:tblW w:w="2821" w:type="dxa"/>
        <w:jc w:val="left"/>
        <w:tblInd w:w="0" w:type="dxa"/>
        <w:tblLayout w:type="fixed"/>
        <w:tblCellMar>
          <w:top w:w="28" w:type="dxa"/>
          <w:left w:w="28" w:type="dxa"/>
          <w:bottom w:w="28" w:type="dxa"/>
          <w:right w:w="28" w:type="dxa"/>
        </w:tblCellMar>
      </w:tblPr>
      <w:tblGrid>
        <w:gridCol w:w="668"/>
        <w:gridCol w:w="587"/>
        <w:gridCol w:w="589"/>
        <w:gridCol w:w="315"/>
        <w:gridCol w:w="316"/>
        <w:gridCol w:w="34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46.53</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15, 2024, the Company granted market-based restricted stock units vesting on March 15, 2027. The fair value of the awards was determined based on the grant date fair value and will be recognized over the requisite service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details the significant assumptions used in determining the fair value of the market-based restricted stock units granted on March 15, 2024: </w:t>
      </w:r>
    </w:p>
    <w:tbl>
      <w:tblPr>
        <w:tblW w:w="2821" w:type="dxa"/>
        <w:jc w:val="left"/>
        <w:tblInd w:w="0" w:type="dxa"/>
        <w:tblLayout w:type="fixed"/>
        <w:tblCellMar>
          <w:top w:w="28" w:type="dxa"/>
          <w:left w:w="28" w:type="dxa"/>
          <w:bottom w:w="28" w:type="dxa"/>
          <w:right w:w="28" w:type="dxa"/>
        </w:tblCellMar>
      </w:tblPr>
      <w:tblGrid>
        <w:gridCol w:w="668"/>
        <w:gridCol w:w="587"/>
        <w:gridCol w:w="589"/>
        <w:gridCol w:w="315"/>
        <w:gridCol w:w="316"/>
        <w:gridCol w:w="34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60.37</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13, 2023, the Company granted market-based restricted stock units vesting on December 31, 2025. The number of awards that vest are subject to the compound annual growth rate (“CAGR”) of the Company’s stock price from January 1, 2023 to December 31, 2025 (the “performance period”), subject to an alternative level of achievement based on the Company’s relative total shareholder return ranking among a comparison group. The fair value of the awards was determined to be $35.04 per share based on using a Monte-Carlo simulation model and was recognized over the requisite service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50% of these market-based restricted stock units included an accelerated vesting provision if a Qualified Transaction, as defined in the award agreement, took place during the performance period (with a minimum vesting period of one year from the grant date). Upon the occurrence of a Qualified Transaction, the number of shares that would vest based on the Company’s 20-day volume-weighted average closing stock price immediately preceding the transaction date. The Spin-Off resulted in a Qualified Transaction and as such, these market-based restricted stock units were subject to accelerated vesting as defined in the award agreement.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details the significant assumptions used in determining the fair value of the market-based restricted stock units granted on February 13, 2023: </w:t>
      </w:r>
    </w:p>
    <w:tbl>
      <w:tblPr>
        <w:tblW w:w="2821" w:type="dxa"/>
        <w:jc w:val="left"/>
        <w:tblInd w:w="0" w:type="dxa"/>
        <w:tblLayout w:type="fixed"/>
        <w:tblCellMar>
          <w:top w:w="28" w:type="dxa"/>
          <w:left w:w="28" w:type="dxa"/>
          <w:bottom w:w="28" w:type="dxa"/>
          <w:right w:w="28" w:type="dxa"/>
        </w:tblCellMar>
      </w:tblPr>
      <w:tblGrid>
        <w:gridCol w:w="668"/>
        <w:gridCol w:w="587"/>
        <w:gridCol w:w="589"/>
        <w:gridCol w:w="315"/>
        <w:gridCol w:w="316"/>
        <w:gridCol w:w="34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55.90</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25, 2022, the Company granted market-based restricted stock units vesting on December 31, 2024. The number of awards that vest are subject to the performance of the Company’s stock price from the date of grant to December 31, 2024. The fair value of the awards was determined to be $57.67 per share based on using a Monte-Carlo simulation model and was recognized over the requisite service period. The table below details the assumptions used in determining the fair value of the market-based restricted stock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2821" w:type="dxa"/>
        <w:jc w:val="left"/>
        <w:tblInd w:w="0" w:type="dxa"/>
        <w:tblLayout w:type="fixed"/>
        <w:tblCellMar>
          <w:top w:w="28" w:type="dxa"/>
          <w:left w:w="28" w:type="dxa"/>
          <w:bottom w:w="28" w:type="dxa"/>
          <w:right w:w="28" w:type="dxa"/>
        </w:tblCellMar>
      </w:tblPr>
      <w:tblGrid>
        <w:gridCol w:w="668"/>
        <w:gridCol w:w="587"/>
        <w:gridCol w:w="589"/>
        <w:gridCol w:w="315"/>
        <w:gridCol w:w="316"/>
        <w:gridCol w:w="34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59.26</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Expected volatility for the market-based restricted stock units is calculated as the historical volatility of the Company’s stock over a period of three years, as management believes this is the best representation of prospective trends. The risk-free interest rate was determined based on a three year U.S. Treasury yield curve in effect at the time of the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21, 2022, the Company granted market-based restricted stock units vesting on December 31, 2025. The number of awards that vest are subject to the compound annual growth rate (“CAGR”) of the Company’s stock price from January 1, 2023 to December 31, 2025 (the “performance period”), subject to an alternative level of achievement based on the Company’s relative total shareholder return ranking among a comparison group. The fair value of the awards was determined to be $29.66 per share based on using a Monte-Carlo simulation model and was recognized over the requisite service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50% of these market-based restricted stock units included an accelerated vesting provision if a Qualified Transaction, as defined in the award agreement, took place during the performance period (with a minimum vesting period of one year from the grant date). Upon the occurrence of a Qualified Transaction, the number of shares that would vest based on the Company’s 20-day volume-weighted average closing stock price immediately preceding the transaction date. The Spin-Off resulted in a Qualified Transaction and as such, these market-based restricted stock units were subject to accelerated vesting as defined in the award agreement.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details the significant assumptions used in determining the fair value of the market-based restricted stock units granted on December 21, 2022: </w:t>
      </w:r>
    </w:p>
    <w:tbl>
      <w:tblPr>
        <w:tblW w:w="2821" w:type="dxa"/>
        <w:jc w:val="left"/>
        <w:tblInd w:w="0" w:type="dxa"/>
        <w:tblLayout w:type="fixed"/>
        <w:tblCellMar>
          <w:top w:w="28" w:type="dxa"/>
          <w:left w:w="28" w:type="dxa"/>
          <w:bottom w:w="28" w:type="dxa"/>
          <w:right w:w="28" w:type="dxa"/>
        </w:tblCellMar>
      </w:tblPr>
      <w:tblGrid>
        <w:gridCol w:w="668"/>
        <w:gridCol w:w="587"/>
        <w:gridCol w:w="589"/>
        <w:gridCol w:w="315"/>
        <w:gridCol w:w="316"/>
        <w:gridCol w:w="34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64.93</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SIP also provides for the grant of stock options to purchase shares of the Company’s common stock. The Compensation and Human Resource Committee has discretion to determine the material terms and conditions of option awards under the SIP, provided that (i) the exercise price must be no less than the fair market value of the Company’s common stock (defined as the closing price) on the date of grant, (ii) the term must be no longer than ten years, and (iii) in no event shall the normal vesting schedule provide for vesting in less than one year. Other terms and conditions of an award of stock options will be determined by the Compensation and Human Resource Committee as set forth in the applicable stock option award. The Compensation and Human Resource Committee has authority to administer the SIP, except that the Committee on Directors and Governance of the Company’s Board of Directors will administer the SIP with respect to non-employee members of the Board of Directors. New shares of the Company’s common stock are issued as a result of stock option exercises.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December 31, 2024, the Company did not grant any stock options.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for the year ended December 31, 2025:</w:t>
      </w:r>
    </w:p>
    <w:tbl>
      <w:tblPr>
        <w:tblW w:w="10205" w:type="dxa"/>
        <w:jc w:val="center"/>
        <w:tblInd w:w="0" w:type="dxa"/>
        <w:tblLayout w:type="fixed"/>
        <w:tblCellMar>
          <w:top w:w="28" w:type="dxa"/>
          <w:left w:w="28" w:type="dxa"/>
          <w:bottom w:w="28" w:type="dxa"/>
          <w:right w:w="28" w:type="dxa"/>
        </w:tblCellMar>
      </w:tblPr>
      <w:tblGrid>
        <w:gridCol w:w="940"/>
        <w:gridCol w:w="708"/>
        <w:gridCol w:w="691"/>
        <w:gridCol w:w="109"/>
        <w:gridCol w:w="109"/>
        <w:gridCol w:w="109"/>
        <w:gridCol w:w="470"/>
        <w:gridCol w:w="332"/>
        <w:gridCol w:w="333"/>
        <w:gridCol w:w="109"/>
        <w:gridCol w:w="109"/>
        <w:gridCol w:w="109"/>
        <w:gridCol w:w="408"/>
        <w:gridCol w:w="1191"/>
        <w:gridCol w:w="210"/>
        <w:gridCol w:w="109"/>
        <w:gridCol w:w="109"/>
        <w:gridCol w:w="109"/>
        <w:gridCol w:w="752"/>
        <w:gridCol w:w="752"/>
        <w:gridCol w:w="755"/>
        <w:gridCol w:w="109"/>
        <w:gridCol w:w="109"/>
        <w:gridCol w:w="109"/>
        <w:gridCol w:w="323"/>
        <w:gridCol w:w="786"/>
        <w:gridCol w:w="246"/>
      </w:tblGrid>
      <w:tr>
        <w:trPr/>
        <w:tc>
          <w:tcPr>
            <w:tcW w:w="9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Under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Intrinsic Value </w:t>
              <w:br/>
              <w:t>(in millions)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Fully vested and expected to vest 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3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2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was no unrecognized compensation cost related to unvested stock option grants.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intrinsic value of all options exercised was zero in 2025, $1 million in 2024, and $1 million in 2023. Cash received from option exercises under all share-based payment arrangements was zero in 2025, $4 million in 2024, and $2 million in 2023. There was no tax benefit realized from stock options exercised in 2025, 2024, or 2023.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Employee Stock Purchase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amended Employee Stock Purchase Plan (“ESPP”) provides employees a 15% discount on stock purchases using a three-month look-back feature where the discount is applied to the stock price that represents the lower of the Company’s closing stock price on either the first day or the last day of each calendar quarter. Participants can contribute between 1% and 10% of their compensation. The amended ESPP was approved by the Company’s stockholders in 2016 and became effective January 1, 2017.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Employees purchased approximately 1.1 million shares in both 2025 and 2024, and 0.9 million shares in 2023, for approximately $10 million, $11 million and $19 million, respectively. A total of 4 million shares were originally authorized to be issued under the ESPP before its amendment. Under the amended ESPP, 10 million shares were newly authorized to be issued, plus any shares remaining unissued under the prior ESPP after the last 2016 purchase date. Approximately 2.4 million authorized shares remain unissued under our amended ESPP as of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10. EMPLOYEE BENEFIT PLANS</w:t>
      </w:r>
      <w:r>
        <w:rPr>
          <w:color w:val="7ACE05"/>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Pension and Postemployment Plans</w:t>
      </w:r>
      <w:r>
        <w:rPr>
          <w:color w:val="000000"/>
        </w:rPr>
        <w:t xml:space="preserve"> </w:t>
      </w:r>
      <w:r>
        <w:rPr>
          <w:rFonts w:ascii="Times New Roman;serif" w:hAnsi="Times New Roman;serif"/>
          <w:b w:val="false"/>
          <w:color w:val="000000"/>
          <w:sz w:val="20"/>
        </w:rPr>
        <w:t>The Company sponsors defined benefit pension plans. Following the Spin-Off, NCR Atleos assumed the U.S. and 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NCR Atleos U.S. pension plan to the extent NCR Atleos contributes more than $40 million on an annual basis beginning with the plan year ending December 31, 2024. The contribution threshold was met by NCR Atleos during the year ended December 31, 2024, resulting in a required contribution from NCR Voyix of less than $1 million. The contribution threshold is expected to be met by NCR Atleos for the year ended December 31, 2025, and the expected contribution from NCR Voyix is approximately $1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Internationally, the defined benefit plans are based primarily upon compensation and years of service. Certain international plans also no longer offer additional benefits and are closed to new participants. The Company’s funding policy is to contribute annually no less than the minimum required by applicable laws and regulations. Assets of the Company’s defined benefit plans are primarily invested in common and commingled trusts.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funded status of each applicable plan on the Consolidated Balance Sheets. Each overfunded plan is recognized as an asset and each underfunded plan is recognized as a liability. For pension plans, changes in the fair value of plan assets and net actuarial gains or losses are recognized upon remeasurement, which is at least annually in the fourth quarter of each year. For postemployment plans, changes to the funded status are recognized as a component of other comprehensive loss in stockholders’ equity.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Non-U.S. employees are typically covered under government-sponsored programs, and the Company generally does not provide postretirement benefits other than pensions to non-U.S. retirees. The Company generally funds these benefits on a pay-as-you-go basis.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offers various postemployment benefits to involuntarily terminated and certain inactive employees after employment but before retirement. These benefits are paid in accordance with the Company’s established postemployment benefit practices and policies. Postemployment benefits include mainly severance as well as continuation of healthcare benefits and life insurance coverage while on disability. The Company provides appropriate accruals for these postemployment benefits. These postemployment benefits are funded on a pay-as-you-go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Pension Plans </w:t>
      </w:r>
      <w:r>
        <w:rPr>
          <w:rFonts w:ascii="Times New Roman;serif" w:hAnsi="Times New Roman;serif"/>
          <w:b w:val="false"/>
          <w:color w:val="000000"/>
          <w:sz w:val="20"/>
        </w:rPr>
        <w:t xml:space="preserve">Reconciliation of the beginning and ending balances of the benefit obligations for the Company’s pension plans are as follows: </w:t>
      </w:r>
    </w:p>
    <w:tbl>
      <w:tblPr>
        <w:tblW w:w="8661" w:type="dxa"/>
        <w:jc w:val="center"/>
        <w:tblInd w:w="0" w:type="dxa"/>
        <w:tblLayout w:type="fixed"/>
        <w:tblCellMar>
          <w:top w:w="28" w:type="dxa"/>
          <w:left w:w="28" w:type="dxa"/>
          <w:bottom w:w="28" w:type="dxa"/>
          <w:right w:w="28" w:type="dxa"/>
        </w:tblCellMar>
      </w:tblPr>
      <w:tblGrid>
        <w:gridCol w:w="1538"/>
        <w:gridCol w:w="1349"/>
        <w:gridCol w:w="1357"/>
        <w:gridCol w:w="109"/>
        <w:gridCol w:w="109"/>
        <w:gridCol w:w="109"/>
        <w:gridCol w:w="109"/>
        <w:gridCol w:w="109"/>
        <w:gridCol w:w="243"/>
        <w:gridCol w:w="243"/>
        <w:gridCol w:w="470"/>
        <w:gridCol w:w="1076"/>
        <w:gridCol w:w="246"/>
        <w:gridCol w:w="109"/>
        <w:gridCol w:w="109"/>
        <w:gridCol w:w="109"/>
        <w:gridCol w:w="211"/>
        <w:gridCol w:w="466"/>
        <w:gridCol w:w="109"/>
        <w:gridCol w:w="109"/>
        <w:gridCol w:w="109"/>
        <w:gridCol w:w="109"/>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Pension Benefits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as of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as of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 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2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the fair value of the plan assets of the Company’s pension plans are as follows:</w:t>
      </w:r>
    </w:p>
    <w:tbl>
      <w:tblPr>
        <w:tblW w:w="7897" w:type="dxa"/>
        <w:jc w:val="center"/>
        <w:tblInd w:w="0" w:type="dxa"/>
        <w:tblLayout w:type="fixed"/>
        <w:tblCellMar>
          <w:top w:w="28" w:type="dxa"/>
          <w:left w:w="28" w:type="dxa"/>
          <w:bottom w:w="28" w:type="dxa"/>
          <w:right w:w="28" w:type="dxa"/>
        </w:tblCellMar>
      </w:tblPr>
      <w:tblGrid>
        <w:gridCol w:w="1298"/>
        <w:gridCol w:w="1142"/>
        <w:gridCol w:w="1145"/>
        <w:gridCol w:w="109"/>
        <w:gridCol w:w="109"/>
        <w:gridCol w:w="109"/>
        <w:gridCol w:w="109"/>
        <w:gridCol w:w="109"/>
        <w:gridCol w:w="271"/>
        <w:gridCol w:w="271"/>
        <w:gridCol w:w="526"/>
        <w:gridCol w:w="937"/>
        <w:gridCol w:w="273"/>
        <w:gridCol w:w="109"/>
        <w:gridCol w:w="109"/>
        <w:gridCol w:w="109"/>
        <w:gridCol w:w="211"/>
        <w:gridCol w:w="361"/>
        <w:gridCol w:w="109"/>
        <w:gridCol w:w="109"/>
        <w:gridCol w:w="109"/>
        <w:gridCol w:w="109"/>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Pension Benefits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as of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funded status and the reconciliation of the funded status to amounts recognized in the Consolidated Balance Sheets and in Accumulated other comprehensive loss as of December 31:</w:t>
      </w:r>
    </w:p>
    <w:tbl>
      <w:tblPr>
        <w:tblW w:w="9307" w:type="dxa"/>
        <w:jc w:val="center"/>
        <w:tblInd w:w="0" w:type="dxa"/>
        <w:tblLayout w:type="fixed"/>
        <w:tblCellMar>
          <w:top w:w="28" w:type="dxa"/>
          <w:left w:w="28" w:type="dxa"/>
          <w:bottom w:w="28" w:type="dxa"/>
          <w:right w:w="28" w:type="dxa"/>
        </w:tblCellMar>
      </w:tblPr>
      <w:tblGrid>
        <w:gridCol w:w="1745"/>
        <w:gridCol w:w="1533"/>
        <w:gridCol w:w="1537"/>
        <w:gridCol w:w="109"/>
        <w:gridCol w:w="109"/>
        <w:gridCol w:w="109"/>
        <w:gridCol w:w="109"/>
        <w:gridCol w:w="109"/>
        <w:gridCol w:w="271"/>
        <w:gridCol w:w="271"/>
        <w:gridCol w:w="526"/>
        <w:gridCol w:w="937"/>
        <w:gridCol w:w="273"/>
        <w:gridCol w:w="109"/>
        <w:gridCol w:w="109"/>
        <w:gridCol w:w="109"/>
        <w:gridCol w:w="211"/>
        <w:gridCol w:w="541"/>
        <w:gridCol w:w="109"/>
        <w:gridCol w:w="109"/>
        <w:gridCol w:w="109"/>
        <w:gridCol w:w="109"/>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Pension Benefits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recognized in the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pension plans with accumulated benefit obligations in excess of plan assets, the projected benefit obligation and accumulated benefit obligation were $145 million as of December 31, 2025, and $142 million and $141 million, respectively, as of December 31, 2024. The fair value of assets was zero as of December 31, 2025 and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periodic benefit (income) cost of the pension plans for the years ended December 31 was as follows:</w:t>
      </w:r>
    </w:p>
    <w:tbl>
      <w:tblPr>
        <w:tblW w:w="8060" w:type="dxa"/>
        <w:jc w:val="center"/>
        <w:tblInd w:w="0" w:type="dxa"/>
        <w:tblLayout w:type="fixed"/>
        <w:tblCellMar>
          <w:top w:w="28" w:type="dxa"/>
          <w:left w:w="28" w:type="dxa"/>
          <w:bottom w:w="28" w:type="dxa"/>
          <w:right w:w="28" w:type="dxa"/>
        </w:tblCellMar>
      </w:tblPr>
      <w:tblGrid>
        <w:gridCol w:w="1042"/>
        <w:gridCol w:w="916"/>
        <w:gridCol w:w="921"/>
        <w:gridCol w:w="109"/>
        <w:gridCol w:w="109"/>
        <w:gridCol w:w="176"/>
        <w:gridCol w:w="176"/>
        <w:gridCol w:w="176"/>
        <w:gridCol w:w="176"/>
        <w:gridCol w:w="176"/>
        <w:gridCol w:w="176"/>
        <w:gridCol w:w="341"/>
        <w:gridCol w:w="705"/>
        <w:gridCol w:w="176"/>
        <w:gridCol w:w="109"/>
        <w:gridCol w:w="109"/>
        <w:gridCol w:w="109"/>
        <w:gridCol w:w="211"/>
        <w:gridCol w:w="331"/>
        <w:gridCol w:w="109"/>
        <w:gridCol w:w="109"/>
        <w:gridCol w:w="109"/>
        <w:gridCol w:w="109"/>
        <w:gridCol w:w="211"/>
        <w:gridCol w:w="361"/>
        <w:gridCol w:w="109"/>
        <w:gridCol w:w="109"/>
        <w:gridCol w:w="109"/>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Pension Benefits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707" w:type="dxa"/>
            <w:gridSpan w:val="12"/>
            <w:tcBorders/>
          </w:tcPr>
          <w:p>
            <w:pPr>
              <w:pStyle w:val="TableContents"/>
              <w:bidi w:val="0"/>
              <w:spacing w:before="0" w:after="283"/>
              <w:jc w:val="left"/>
              <w:rPr>
                <w:sz w:val="4"/>
                <w:szCs w:val="4"/>
              </w:rPr>
            </w:pPr>
            <w:r>
              <w:rPr>
                <w:sz w:val="4"/>
                <w:szCs w:val="4"/>
              </w:rPr>
            </w:r>
          </w:p>
        </w:tc>
      </w:tr>
      <w:tr>
        <w:trPr/>
        <w:tc>
          <w:tcPr>
            <w:tcW w:w="287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actuarial gain in 2025 and 2024 were primarily due to plan experience gains as well as increases in discount rates and favorable returns on plan assets. The net actuarial loss in 2023 was primarily due to plan experience losses as well as a decrease in discount rates, partially offset by favorable returns on plan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 average rates and assumptions used to determine benefit obligations as of December 31 were as follows:</w:t>
      </w:r>
    </w:p>
    <w:tbl>
      <w:tblPr>
        <w:tblW w:w="6901" w:type="dxa"/>
        <w:jc w:val="left"/>
        <w:tblInd w:w="0" w:type="dxa"/>
        <w:tblLayout w:type="fixed"/>
        <w:tblCellMar>
          <w:top w:w="28" w:type="dxa"/>
          <w:left w:w="28" w:type="dxa"/>
          <w:bottom w:w="28" w:type="dxa"/>
          <w:right w:w="28" w:type="dxa"/>
        </w:tblCellMar>
      </w:tblPr>
      <w:tblGrid>
        <w:gridCol w:w="938"/>
        <w:gridCol w:w="823"/>
        <w:gridCol w:w="833"/>
        <w:gridCol w:w="109"/>
        <w:gridCol w:w="109"/>
        <w:gridCol w:w="109"/>
        <w:gridCol w:w="109"/>
        <w:gridCol w:w="109"/>
        <w:gridCol w:w="335"/>
        <w:gridCol w:w="335"/>
        <w:gridCol w:w="335"/>
        <w:gridCol w:w="335"/>
        <w:gridCol w:w="937"/>
        <w:gridCol w:w="109"/>
        <w:gridCol w:w="109"/>
        <w:gridCol w:w="109"/>
        <w:gridCol w:w="203"/>
        <w:gridCol w:w="203"/>
        <w:gridCol w:w="271"/>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Pension Benefits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 average rates and assumptions used to determine net periodic benefit (income) cost for the years ended December 31 were as follows:</w:t>
      </w:r>
    </w:p>
    <w:tbl>
      <w:tblPr>
        <w:tblW w:w="8168" w:type="dxa"/>
        <w:jc w:val="center"/>
        <w:tblInd w:w="0" w:type="dxa"/>
        <w:tblLayout w:type="fixed"/>
        <w:tblCellMar>
          <w:top w:w="28" w:type="dxa"/>
          <w:left w:w="28" w:type="dxa"/>
          <w:bottom w:w="28" w:type="dxa"/>
          <w:right w:w="28" w:type="dxa"/>
        </w:tblCellMar>
      </w:tblPr>
      <w:tblGrid>
        <w:gridCol w:w="940"/>
        <w:gridCol w:w="825"/>
        <w:gridCol w:w="830"/>
        <w:gridCol w:w="109"/>
        <w:gridCol w:w="109"/>
        <w:gridCol w:w="109"/>
        <w:gridCol w:w="109"/>
        <w:gridCol w:w="109"/>
        <w:gridCol w:w="263"/>
        <w:gridCol w:w="263"/>
        <w:gridCol w:w="263"/>
        <w:gridCol w:w="263"/>
        <w:gridCol w:w="263"/>
        <w:gridCol w:w="263"/>
        <w:gridCol w:w="743"/>
        <w:gridCol w:w="109"/>
        <w:gridCol w:w="109"/>
        <w:gridCol w:w="109"/>
        <w:gridCol w:w="203"/>
        <w:gridCol w:w="203"/>
        <w:gridCol w:w="271"/>
        <w:gridCol w:w="109"/>
        <w:gridCol w:w="109"/>
        <w:gridCol w:w="109"/>
        <w:gridCol w:w="203"/>
        <w:gridCol w:w="203"/>
        <w:gridCol w:w="271"/>
        <w:gridCol w:w="109"/>
        <w:gridCol w:w="109"/>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Pension Benefits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703" w:type="dxa"/>
            <w:gridSpan w:val="1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 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weighted-average cash balance interest crediting rate for the Company’s cash balance defined benefit plans was 2.1% and 1.5% for the years ended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discount rate used to determine the International plans benefit obligations as of December 31, 2025 were derived by examining interest rate levels and trends within each country, particularly yields on high-quality, long-term corporate bonds, relative to our future expected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employs a building block approach as its primary approach in determining the long-term expected rate of return assumptions for plan assets. Historical market returns are studied and long-term relationships between equities and fixed income are preserved consistent with the widely accepted capital market principle that assets with higher volatilities generate higher returns over the long run. Current market factors, such as inflation and interest rates are evaluated before long-term capital market assumptions are determined. The expected long-term portfolio return is established for each plan via a building block approach with proper rebalancing consideration. The result is then adjusted to reflect additional expected return from active management net of plan expenses. Historical plan returns, the expectations of other capital market participants, and peer data may be used to review and assess the results for reasonableness and appropriateness.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Plan Assets </w:t>
      </w:r>
      <w:r>
        <w:rPr>
          <w:rFonts w:ascii="Times New Roman;serif" w:hAnsi="Times New Roman;serif"/>
          <w:b w:val="false"/>
          <w:color w:val="000000"/>
          <w:sz w:val="20"/>
        </w:rPr>
        <w:t>The weighted average asset allocations as of December 31, 2025 and 2024 by asset category are as follows:</w:t>
      </w:r>
    </w:p>
    <w:tbl>
      <w:tblPr>
        <w:tblW w:w="10205" w:type="dxa"/>
        <w:jc w:val="center"/>
        <w:tblInd w:w="0" w:type="dxa"/>
        <w:tblLayout w:type="fixed"/>
        <w:tblCellMar>
          <w:top w:w="28" w:type="dxa"/>
          <w:left w:w="28" w:type="dxa"/>
          <w:bottom w:w="28" w:type="dxa"/>
          <w:right w:w="28" w:type="dxa"/>
        </w:tblCellMar>
      </w:tblPr>
      <w:tblGrid>
        <w:gridCol w:w="901"/>
        <w:gridCol w:w="792"/>
        <w:gridCol w:w="796"/>
        <w:gridCol w:w="109"/>
        <w:gridCol w:w="109"/>
        <w:gridCol w:w="109"/>
        <w:gridCol w:w="109"/>
        <w:gridCol w:w="109"/>
        <w:gridCol w:w="223"/>
        <w:gridCol w:w="223"/>
        <w:gridCol w:w="514"/>
        <w:gridCol w:w="548"/>
        <w:gridCol w:w="536"/>
        <w:gridCol w:w="510"/>
        <w:gridCol w:w="1441"/>
        <w:gridCol w:w="155"/>
        <w:gridCol w:w="155"/>
        <w:gridCol w:w="156"/>
        <w:gridCol w:w="389"/>
        <w:gridCol w:w="379"/>
        <w:gridCol w:w="951"/>
        <w:gridCol w:w="109"/>
        <w:gridCol w:w="109"/>
        <w:gridCol w:w="109"/>
        <w:gridCol w:w="191"/>
        <w:gridCol w:w="191"/>
        <w:gridCol w:w="282"/>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5"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Pension Fund</w:t>
            </w:r>
          </w:p>
        </w:tc>
        <w:tc>
          <w:tcPr>
            <w:tcW w:w="3176" w:type="dxa"/>
            <w:gridSpan w:val="12"/>
            <w:tcBorders/>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54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 Allocation of Plan Assets as of December 31</w:t>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Asset Allocation</w:t>
            </w:r>
          </w:p>
        </w:tc>
        <w:tc>
          <w:tcPr>
            <w:tcW w:w="991" w:type="dxa"/>
            <w:gridSpan w:val="6"/>
            <w:tcBorders/>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7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and other investments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1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securities</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equity securities and equities held in commingled trusts.</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debt securities and debt held in commingled trusts.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plan assets as of December 31, 2025 and 2024 by asset category is as follows:</w:t>
      </w:r>
    </w:p>
    <w:tbl>
      <w:tblPr>
        <w:tblW w:w="10205" w:type="dxa"/>
        <w:jc w:val="center"/>
        <w:tblInd w:w="0" w:type="dxa"/>
        <w:tblLayout w:type="fixed"/>
        <w:tblCellMar>
          <w:top w:w="28" w:type="dxa"/>
          <w:left w:w="28" w:type="dxa"/>
          <w:bottom w:w="28" w:type="dxa"/>
          <w:right w:w="28" w:type="dxa"/>
        </w:tblCellMar>
      </w:tblPr>
      <w:tblGrid>
        <w:gridCol w:w="619"/>
        <w:gridCol w:w="486"/>
        <w:gridCol w:w="492"/>
        <w:gridCol w:w="170"/>
        <w:gridCol w:w="170"/>
        <w:gridCol w:w="171"/>
        <w:gridCol w:w="109"/>
        <w:gridCol w:w="109"/>
        <w:gridCol w:w="109"/>
        <w:gridCol w:w="109"/>
        <w:gridCol w:w="109"/>
        <w:gridCol w:w="109"/>
        <w:gridCol w:w="412"/>
        <w:gridCol w:w="729"/>
        <w:gridCol w:w="230"/>
        <w:gridCol w:w="506"/>
        <w:gridCol w:w="1053"/>
        <w:gridCol w:w="285"/>
        <w:gridCol w:w="453"/>
        <w:gridCol w:w="941"/>
        <w:gridCol w:w="255"/>
        <w:gridCol w:w="407"/>
        <w:gridCol w:w="842"/>
        <w:gridCol w:w="227"/>
        <w:gridCol w:w="307"/>
        <w:gridCol w:w="543"/>
        <w:gridCol w:w="253"/>
      </w:tblGrid>
      <w:tr>
        <w:trPr/>
        <w:tc>
          <w:tcPr>
            <w:tcW w:w="61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6072" w:type="dxa"/>
            <w:gridSpan w:val="12"/>
            <w:tcBorders/>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December 31, 2025</w:t>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Not Subject to Leveling </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Equity securities and other investments: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and commingled trusts - Equities</w:t>
            </w:r>
          </w:p>
        </w:tc>
        <w:tc>
          <w:tcPr>
            <w:tcW w:w="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Fixed income securities: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and commingled trusts - Bonds</w:t>
            </w:r>
          </w:p>
        </w:tc>
        <w:tc>
          <w:tcPr>
            <w:tcW w:w="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w:t>
            </w: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w:t>
            </w:r>
            <w:r>
              <w:rPr>
                <w:color w:val="000000"/>
              </w:rPr>
              <w:t>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19"/>
        <w:gridCol w:w="486"/>
        <w:gridCol w:w="492"/>
        <w:gridCol w:w="170"/>
        <w:gridCol w:w="170"/>
        <w:gridCol w:w="171"/>
        <w:gridCol w:w="109"/>
        <w:gridCol w:w="109"/>
        <w:gridCol w:w="109"/>
        <w:gridCol w:w="109"/>
        <w:gridCol w:w="109"/>
        <w:gridCol w:w="109"/>
        <w:gridCol w:w="412"/>
        <w:gridCol w:w="729"/>
        <w:gridCol w:w="230"/>
        <w:gridCol w:w="506"/>
        <w:gridCol w:w="1053"/>
        <w:gridCol w:w="285"/>
        <w:gridCol w:w="453"/>
        <w:gridCol w:w="941"/>
        <w:gridCol w:w="255"/>
        <w:gridCol w:w="407"/>
        <w:gridCol w:w="842"/>
        <w:gridCol w:w="227"/>
        <w:gridCol w:w="307"/>
        <w:gridCol w:w="543"/>
        <w:gridCol w:w="253"/>
      </w:tblGrid>
      <w:tr>
        <w:trPr/>
        <w:tc>
          <w:tcPr>
            <w:tcW w:w="61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6072" w:type="dxa"/>
            <w:gridSpan w:val="12"/>
            <w:tcBorders/>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December 31, 2024</w:t>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Not Subject to Leveling </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Equity securities and other investments: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and commingled trusts - Equities</w:t>
            </w:r>
          </w:p>
        </w:tc>
        <w:tc>
          <w:tcPr>
            <w:tcW w:w="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Fixed income securities: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and commingled trusts - Bonds</w:t>
            </w:r>
          </w:p>
        </w:tc>
        <w:tc>
          <w:tcPr>
            <w:tcW w:w="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w:t>
            </w: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w:t>
            </w:r>
            <w:r>
              <w:rPr>
                <w:color w:val="000000"/>
              </w:rPr>
              <w:t>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Notes: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1.Common/collective trusts and registered investment companies (RICs) such as mutual funds are valued using a Net Asset Value (NAV) provided by the manager of each fund. The NAV is based on the underlying net assets owned by the fund, divided by the number of shares or units outstanding. The fair value of the underlying securities within the fund, which are generally traded on an active market, are valued at the closing price reported on the active market on which those individual securities are traded. For investments not traded on an active market, or for which a quoted price is not publicly available, a variety of unobservable valuation methodologies, including discounted cash flow, market multiple and cost valuation approaches, are employed by the fund manager or independent third party to value investments.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Investment Strategy</w:t>
      </w:r>
      <w:r>
        <w:rPr>
          <w:color w:val="000000"/>
        </w:rPr>
        <w:t xml:space="preserve"> </w:t>
      </w:r>
      <w:r>
        <w:rPr>
          <w:rFonts w:ascii="Times New Roman;serif" w:hAnsi="Times New Roman;serif"/>
          <w:b w:val="false"/>
          <w:color w:val="000000"/>
          <w:sz w:val="20"/>
        </w:rPr>
        <w:t>The Company has historically employed a total return investment approach, whereby a mix of fixed-income, equities and real estate investments are used to maximize the long-term return of plan assets subject to a prudent level of risk. The risk tolerance is established for each plan through a careful consideration of plan liabilities, plan funded status and corporate financial condition. When considering assets for investment, the Company considers the expected rate of return and the risk of return, among others, of each potential investment. Investment risk is measured and monitored on an ongoing basis through regular performance reporting, investment manager reviews, actuarial liability measurements and periodic investment strategy reviews.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Postemployment Benefits </w:t>
      </w:r>
      <w:r>
        <w:rPr>
          <w:rFonts w:ascii="Times New Roman;serif" w:hAnsi="Times New Roman;serif"/>
          <w:b w:val="false"/>
          <w:color w:val="000000"/>
          <w:sz w:val="20"/>
        </w:rPr>
        <w:t>Reconciliation of the beginning and ending balances of the benefit obligation for the Company’s postemployment plan was:</w:t>
      </w:r>
    </w:p>
    <w:tbl>
      <w:tblPr>
        <w:tblW w:w="5438" w:type="dxa"/>
        <w:jc w:val="left"/>
        <w:tblInd w:w="0" w:type="dxa"/>
        <w:tblLayout w:type="fixed"/>
        <w:tblCellMar>
          <w:top w:w="28" w:type="dxa"/>
          <w:left w:w="28" w:type="dxa"/>
          <w:bottom w:w="28" w:type="dxa"/>
          <w:right w:w="28" w:type="dxa"/>
        </w:tblCellMar>
      </w:tblPr>
      <w:tblGrid>
        <w:gridCol w:w="1141"/>
        <w:gridCol w:w="1001"/>
        <w:gridCol w:w="1007"/>
        <w:gridCol w:w="109"/>
        <w:gridCol w:w="109"/>
        <w:gridCol w:w="109"/>
        <w:gridCol w:w="237"/>
        <w:gridCol w:w="422"/>
        <w:gridCol w:w="122"/>
        <w:gridCol w:w="122"/>
        <w:gridCol w:w="122"/>
        <w:gridCol w:w="122"/>
        <w:gridCol w:w="237"/>
        <w:gridCol w:w="405"/>
        <w:gridCol w:w="173"/>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Postemployment Benefits</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as of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as of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funded status and the reconciliation of the unfunded status to amounts recognized in the Consolidated Balance Sheets and in Accumulated other comprehensive loss at December 31:</w:t>
      </w:r>
    </w:p>
    <w:tbl>
      <w:tblPr>
        <w:tblW w:w="7674" w:type="dxa"/>
        <w:jc w:val="left"/>
        <w:tblInd w:w="0" w:type="dxa"/>
        <w:tblLayout w:type="fixed"/>
        <w:tblCellMar>
          <w:top w:w="28" w:type="dxa"/>
          <w:left w:w="28" w:type="dxa"/>
          <w:bottom w:w="28" w:type="dxa"/>
          <w:right w:w="28" w:type="dxa"/>
        </w:tblCellMar>
      </w:tblPr>
      <w:tblGrid>
        <w:gridCol w:w="1950"/>
        <w:gridCol w:w="1709"/>
        <w:gridCol w:w="1726"/>
        <w:gridCol w:w="109"/>
        <w:gridCol w:w="109"/>
        <w:gridCol w:w="109"/>
        <w:gridCol w:w="237"/>
        <w:gridCol w:w="422"/>
        <w:gridCol w:w="122"/>
        <w:gridCol w:w="122"/>
        <w:gridCol w:w="122"/>
        <w:gridCol w:w="122"/>
        <w:gridCol w:w="237"/>
        <w:gridCol w:w="405"/>
        <w:gridCol w:w="173"/>
      </w:tblGrid>
      <w:tr>
        <w:trPr/>
        <w:tc>
          <w:tcPr>
            <w:tcW w:w="195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Postemployment Benefits</w:t>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recognized in the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recognized in 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periodic benefit cost of the postemployment plan for the years ended December 31 was:</w:t>
      </w:r>
    </w:p>
    <w:tbl>
      <w:tblPr>
        <w:tblW w:w="4902" w:type="dxa"/>
        <w:jc w:val="center"/>
        <w:tblInd w:w="0" w:type="dxa"/>
        <w:tblLayout w:type="fixed"/>
        <w:tblCellMar>
          <w:top w:w="28" w:type="dxa"/>
          <w:left w:w="28" w:type="dxa"/>
          <w:bottom w:w="28" w:type="dxa"/>
          <w:right w:w="28" w:type="dxa"/>
        </w:tblCellMar>
      </w:tblPr>
      <w:tblGrid>
        <w:gridCol w:w="851"/>
        <w:gridCol w:w="630"/>
        <w:gridCol w:w="634"/>
        <w:gridCol w:w="211"/>
        <w:gridCol w:w="376"/>
        <w:gridCol w:w="109"/>
        <w:gridCol w:w="109"/>
        <w:gridCol w:w="109"/>
        <w:gridCol w:w="109"/>
        <w:gridCol w:w="211"/>
        <w:gridCol w:w="376"/>
        <w:gridCol w:w="109"/>
        <w:gridCol w:w="109"/>
        <w:gridCol w:w="109"/>
        <w:gridCol w:w="109"/>
        <w:gridCol w:w="211"/>
        <w:gridCol w:w="376"/>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Postemployment Benefits</w:t>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Prior service benefit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Actuarial gain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 average assumptions utilized in accounting for postemployment benefit obligations as of December 31 and for postemployment benefit costs for the years ended December 31 were:</w:t>
      </w:r>
    </w:p>
    <w:tbl>
      <w:tblPr>
        <w:tblW w:w="8985" w:type="dxa"/>
        <w:jc w:val="center"/>
        <w:tblInd w:w="0" w:type="dxa"/>
        <w:tblLayout w:type="fixed"/>
        <w:tblCellMar>
          <w:top w:w="28" w:type="dxa"/>
          <w:left w:w="28" w:type="dxa"/>
          <w:bottom w:w="28" w:type="dxa"/>
          <w:right w:w="28" w:type="dxa"/>
        </w:tblCellMar>
      </w:tblPr>
      <w:tblGrid>
        <w:gridCol w:w="984"/>
        <w:gridCol w:w="862"/>
        <w:gridCol w:w="868"/>
        <w:gridCol w:w="109"/>
        <w:gridCol w:w="109"/>
        <w:gridCol w:w="109"/>
        <w:gridCol w:w="224"/>
        <w:gridCol w:w="224"/>
        <w:gridCol w:w="619"/>
        <w:gridCol w:w="224"/>
        <w:gridCol w:w="224"/>
        <w:gridCol w:w="224"/>
        <w:gridCol w:w="224"/>
        <w:gridCol w:w="224"/>
        <w:gridCol w:w="557"/>
        <w:gridCol w:w="109"/>
        <w:gridCol w:w="109"/>
        <w:gridCol w:w="109"/>
        <w:gridCol w:w="210"/>
        <w:gridCol w:w="211"/>
        <w:gridCol w:w="320"/>
        <w:gridCol w:w="116"/>
        <w:gridCol w:w="116"/>
        <w:gridCol w:w="116"/>
        <w:gridCol w:w="203"/>
        <w:gridCol w:w="203"/>
        <w:gridCol w:w="288"/>
        <w:gridCol w:w="116"/>
        <w:gridCol w:w="116"/>
        <w:gridCol w:w="116"/>
        <w:gridCol w:w="203"/>
        <w:gridCol w:w="203"/>
        <w:gridCol w:w="336"/>
      </w:tblGrid>
      <w:tr>
        <w:trPr/>
        <w:tc>
          <w:tcPr>
            <w:tcW w:w="98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Postemployment Benefit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Postemployment Benefit Costs</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for severance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Salary increase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Involuntary turnover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 Related to Employee Benefit Plans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Cash Contributions</w:t>
      </w:r>
      <w:r>
        <w:rPr>
          <w:color w:val="000000"/>
        </w:rPr>
        <w:t xml:space="preserve"> </w:t>
      </w:r>
      <w:r>
        <w:rPr>
          <w:rFonts w:ascii="Times New Roman;serif" w:hAnsi="Times New Roman;serif"/>
          <w:b w:val="false"/>
          <w:color w:val="000000"/>
          <w:sz w:val="20"/>
        </w:rPr>
        <w:t>The Company plans to contribute approximately $14 million to the international pension plans in 2026. The Company also plans to make contributions of approximately $19 million to the postemployment plan in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Estimated Future Benefit Payments</w:t>
      </w:r>
      <w:r>
        <w:rPr>
          <w:color w:val="000000"/>
        </w:rPr>
        <w:t xml:space="preserve"> </w:t>
      </w:r>
      <w:r>
        <w:rPr>
          <w:rFonts w:ascii="Times New Roman;serif" w:hAnsi="Times New Roman;serif"/>
          <w:b w:val="false"/>
          <w:color w:val="000000"/>
          <w:sz w:val="20"/>
        </w:rPr>
        <w:t>The Company expects to make the following benefit payments reflecting past and future service from its pension and postemployment plans:</w:t>
      </w:r>
    </w:p>
    <w:tbl>
      <w:tblPr>
        <w:tblW w:w="6572" w:type="dxa"/>
        <w:jc w:val="left"/>
        <w:tblInd w:w="0" w:type="dxa"/>
        <w:tblLayout w:type="fixed"/>
        <w:tblCellMar>
          <w:top w:w="28" w:type="dxa"/>
          <w:left w:w="28" w:type="dxa"/>
          <w:bottom w:w="28" w:type="dxa"/>
          <w:right w:w="28" w:type="dxa"/>
        </w:tblCellMar>
      </w:tblPr>
      <w:tblGrid>
        <w:gridCol w:w="369"/>
        <w:gridCol w:w="325"/>
        <w:gridCol w:w="326"/>
        <w:gridCol w:w="109"/>
        <w:gridCol w:w="109"/>
        <w:gridCol w:w="109"/>
        <w:gridCol w:w="109"/>
        <w:gridCol w:w="109"/>
        <w:gridCol w:w="706"/>
        <w:gridCol w:w="1208"/>
        <w:gridCol w:w="365"/>
        <w:gridCol w:w="109"/>
        <w:gridCol w:w="109"/>
        <w:gridCol w:w="109"/>
        <w:gridCol w:w="109"/>
        <w:gridCol w:w="109"/>
        <w:gridCol w:w="109"/>
        <w:gridCol w:w="109"/>
        <w:gridCol w:w="570"/>
        <w:gridCol w:w="976"/>
        <w:gridCol w:w="419"/>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Postemployment Benefits</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Savings Plans</w:t>
      </w:r>
      <w:r>
        <w:rPr>
          <w:color w:val="000000"/>
        </w:rPr>
        <w:t xml:space="preserve"> </w:t>
      </w:r>
      <w:r>
        <w:rPr>
          <w:rFonts w:ascii="Times New Roman;serif" w:hAnsi="Times New Roman;serif"/>
          <w:b w:val="false"/>
          <w:color w:val="000000"/>
          <w:sz w:val="20"/>
        </w:rPr>
        <w:t>U.S. employees and many international employees participate in defined contribution savings plans. These plans generally provide either a specified percent of pay or a matching contribution on participating employees’ voluntary elections. The Company’s matching contributions typically are subject to a maximum percentage or level of compensation. Employee contributions can be made pre-tax, after-tax or a combination thereof. The expense under the U.S. plan was approximately $17 million in 2025, $21 million in 2024, and $22 million in 2023. The expense under international and subsidiary savings plans was $15 million in 2025, $14 million in 2024, and $11 million in 2023.</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Amounts to be Recognized </w:t>
      </w:r>
      <w:r>
        <w:rPr>
          <w:rFonts w:ascii="Times New Roman;serif" w:hAnsi="Times New Roman;serif"/>
          <w:b w:val="false"/>
          <w:color w:val="000000"/>
          <w:sz w:val="20"/>
        </w:rPr>
        <w:t>The amounts in Accumulated other comprehensive loss that are expected to be recognized as components of net periodic benefit cost (income) during 2026 are less than $1 million.</w:t>
      </w:r>
    </w:p>
    <w:tbl>
      <w:tblPr>
        <w:tblW w:w="23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11. COMMITMENTS AND CONTINGENCIES</w:t>
      </w:r>
      <w:r>
        <w:rPr>
          <w:color w:val="7ACE05"/>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is subject to various proceedings, lawsuits, claims and other matters, including, for example, those that relate to the environment and health and safety, labor and employment, employee benefits, import/export compliance, patents or other intellectual property, data privacy and security, product liability, commercial disputes and regulatory compliance, among others. Additionally, the Company is subject to diverse and complex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including those relating to corporate governance, public disclosure and reporting, environmental safety and the discharge of materials into the environment, product safety, import and export compliance, data privacy and security, antitrust and competition, government contracting, anti-corruption, and labor and human resources, which are rapidly changing and subject to many possible changes in the future. Compliance with these laws and regulations, as well as changes in accounting standards, taxation requirements, and federal securities laws among others, may create a substantial burden on, and substantially increase costs to the Company or could have an impact on the Company’s future operating results. The Company has reflected all liabilities when a loss is considered probable and reasonably estimable in the Consolidated Financial Statements. We do not believe there is a reasonable possibility that losses exceeding amounts already recognized have been incurred, but there can be no assurances that the amounts required to satisfy alleged liabilities from such matters will not impact future operating results. Other than as stated below, the Company does not currently expect to incur material costs related to such matters. However, there can be no assurances that the actual amounts required to satisfy alleged liabilities from various lawsuits, claims, legal proceedings and other matters, including, but not limited to the Kalamazoo River environmental matter and other matters discussed above and below, and to comply with applicable laws and regulations, will not exceed the amounts reflected in the Company’s Consolidated Financial Statements or will not have a material adverse effect on our consolidated results of operations, capital expenditures, competitive position, financial condition or cash 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Other Litigation </w:t>
      </w:r>
      <w:r>
        <w:rPr>
          <w:rFonts w:ascii="Times New Roman;serif" w:hAnsi="Times New Roman;serif"/>
          <w:b w:val="false"/>
          <w:color w:val="000000"/>
          <w:sz w:val="20"/>
        </w:rPr>
        <w:t>In November 2015, several participants and beneficiaries in five “nonqualified” deferred compensation retirement plans sponsored by the Company (collectively, the “Plans”) filed a putative class action lawsuit against the Company and other named defendants. The plaintiffs alleged, among other things, that the Company breached the terms of the Plan agreements when, upon termination of the Plans, the Company paid lump sum payments based on mortality tables and actuarial calculations. In September 2017, the court certified a class.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6, 2024, the court entered summary judgment in favor of the plaintiffs, finding that the Company breached the terms of the Plans when it paid the lump sums in lieu of actuarially equivalent replacement life annuities and ordered that the Company provide class members the amount reflecting the difference between the lump sums they received and the cost of the replacement life annuities. The court further ordered the parties to brief as to what the appropriate relief should have been based on the benefits due to each Plan participant (the “Requested Relief Order”). On April 16, 2024, the Company filed its position on the Requested Relief Order.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10, 2024, the Court ruled against the Company’s position to the Requested Relief Order, entered a final judgment against the Company, and ordered the Company to calculate the “benefits due” to the Plan participants, including pre-judgment interest, based on the sum that would have been sufficient to allow each participant to purchase a replacement annuity using discount rates prescribed by the Pension Benefit Guaranty Corporation in effect as of the February 25, 2013 termination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 2024, the Company filed a notice of appeal and a $45 million supersedeas bond to stay execution pending appeal. The appellate court heard oral arguments on August 12, 2025, and on August 26, 2025, the appellate court affirmed the decision of the district court. The Company’s petition for rehearing en banc was denied. In February 2026, the matter was remanded back to the district court for further proceedings to finalize the amount owed to plaintiffs. Any award issued following remand to the district court is subject to an indemnity obligation by NCR Atleos to contribute 50% of any award. The Company also intends to seek reimbursement of any final award from its insurance carriers to the extent of its coverage under applicable fiduciary liability insurance policies. As of December 31, 2025, the Company has recorded an accrual of $45 million, as well as a receivable from NCR Atleos for $22 million, in connection with this matter.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Environmental Matters</w:t>
      </w:r>
      <w:r>
        <w:rPr>
          <w:color w:val="000000"/>
        </w:rPr>
        <w:t xml:space="preserve"> </w:t>
      </w:r>
      <w:r>
        <w:rPr>
          <w:rFonts w:ascii="Times New Roman;serif" w:hAnsi="Times New Roman;serif"/>
          <w:b w:val="false"/>
          <w:color w:val="000000"/>
          <w:sz w:val="20"/>
        </w:rPr>
        <w:t>The Company’s facilities and operations are subject to a wide range of environmental protection laws, and the Company has investigatory and remedial activities underway at a number of facilities that it currently owns or operates, or formerly owned or operated, to comply, or to determine compliance, with such laws. Also, the Company has been identified, either by a government agency or by a private party seeking contribution to site clean-up costs, as a potentially responsible party (“PRP”) at a number of sites pursuant to various state and federal laws, including the Federal Water Pollution Control Act, the Comprehensive Environmental Response, Compensation and Liability Act (“CERCLA”) and comparable state statutes. Following the Spin-Off, the Company retains the responsibility to manage the identified environmental liabilities and remediations, subject however to an indemnity obligation by NCR Atleos to contribute 50% of the costs of certain environmental liabilities after an annual $15 million funding threshold is met. Other than the Kalamazoo River matter discussed below, we currently do not anticipate material expenses and liabilities from these environmental matters.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Fox River</w:t>
      </w:r>
      <w:r>
        <w:rPr>
          <w:color w:val="000000"/>
        </w:rPr>
        <w:t xml:space="preserve"> </w:t>
      </w:r>
      <w:r>
        <w:rPr>
          <w:rFonts w:ascii="Times New Roman;serif" w:hAnsi="Times New Roman;serif"/>
          <w:b w:val="false"/>
          <w:color w:val="000000"/>
          <w:sz w:val="20"/>
        </w:rPr>
        <w:t xml:space="preserve">The Company was one of eight entities that was formally notified by governmental and other entities that it was a PRP for environmental claims (under CERCLA and other statutes) arising out of the presence of polychlorinated biphenyls (“PCBs”) in sediments in the lower Fox River and in the Bay of Green Bay in Wisconsin. The Company was identified as a PRP because of alleged PCB discharges from two carbonless copy paper manufacturing facilities it previously owned,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were located along the Fox River, and carbonless copy paper “broke” the Company allegedly sold to other mills as raw material. In 2017, the Company entered into a Consent Decree with the federal and state governments for the clean-up of the Fox River, which was approved on August 22, 2017 by the federal district court in Wisconsin presiding over this matter. The Consent Decree resolved the Company’s disputes with the enforcement agencies as well as the other PRPs.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litigation relating to the contribution and enforcement of remediation obligations on the Fox River has been concluded. On October 3, 2022, the Environmental Protection Agency issued the Company a Certificate of Completion certifying that all of the Company’s remedial obligations under the Consent Decree have been completed.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cost of the Fox River remediation has been shared with three parties (Appvion, Inc. having fully satisfied its obligations in 2016 and is now bankrupt), B.A.T. Industries p.l.c. (“BAT”) as co-obligor, and AT&amp;T Corp. (“AT&amp;T”) and Nokia (as the successor to Lucent Technologies and Alcatel-Lucent USA) as indemnitors. Under a 1998 Cost Sharing Agreement and subsequent 2005 arbitration award (collectively, the “Cost Sharing Agreement”), from 2008 through 2014, BAT paid 60% of the cost of the Fox River clean-up and natural resource damages. Pursuant to a September 30, 2014 Funding Agreement (the “Funding Agreement”), BAT funded 50% of the Company’s Fox River remediation costs from October 1, 2014 forward; the Funding Agreement also provides the Company contractual avenues for a future payment of, via direct and third-party sources, (1) the difference between BAT’s 60% obligation under the Cost Sharing Agreement on the one hand and their ongoing (since September 2014) 50% payments under the Funding Agreement on the other, as well as (2) the difference between the amount the Company received under the Funding Agreement and the amount owed to it under the Cost Sharing Agreement for the period from April 2012 through September 2014 (collectively, the “Funding Agreement Receivable”). Pursuant to a June 12, 2015 Letter Agreement, the Company’s contractual avenue for direct payment by BAT was effectively stayed pending completion of other unrelated lawsuits by BAT against third-parties. As of December 31, 2025 and 2024, the Funding Agreement Receivable was approximately $54 million and was included in Other assets in the Consolidated Balance Sheets. The timing of collection of sums related to the receivable is uncertain and is subject and pursuant to the terms of the Funding Agreement and related agreements. This receivable is not taken into account in calculating the Company’s Fox River remaining reserve.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under a 1996 Divestiture Agreement, the Company, AT&amp;T and Nokia have mutual several (not joint) responsibility for indemnifying each other for certain environmental matters, including the Fox River and the Kalamazoo River discussed below, after defined dollar expenditures are met. AT&amp;T and Nokia have been reimbursing the Company for certain portions of the amounts paid by the Company for the Fox River matter over the defined threshold for Fox River subject to certain offsets for insurance recoveries and net tax benefits (the “Divestiture Agreement Offsets”), if any. The Divestiture Agreement governs certain aspects of AT&amp;T’s divestiture of the Company and of what was then known as Lucent Technologies. Those companies have generally made the payments requested of them by the Company on an ongoing basis. The Company, AT&amp;T and Nokia are currently discussing a final reconciliation of the Divestiture Agreement Offsets, but the timing for a final reconciliation is uncertain.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final reconciliation of the Funding Agreement Receivable and the Divestiture Agreement Offsets could result in additional expenditures and liabilities for the Company that could be material. As of December 31, 2025, we have no remaining liability for remedial obligations for the Fox River matter. As of December 31, 2025 and 2024, the liability subject to final reconciliation with indemnitors under the Divestiture Agreement was approximately $23 million,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Kalamazoo River</w:t>
      </w:r>
      <w:r>
        <w:rPr>
          <w:color w:val="000000"/>
        </w:rPr>
        <w:t xml:space="preserve"> </w:t>
      </w:r>
      <w:r>
        <w:rPr>
          <w:rFonts w:ascii="Times New Roman;serif" w:hAnsi="Times New Roman;serif"/>
          <w:b w:val="false"/>
          <w:color w:val="000000"/>
          <w:sz w:val="20"/>
        </w:rPr>
        <w:t xml:space="preserve">In November 2010, The United States Environmental Protection Agency (“USEPA”) issued a “general notice letter” to the Company with respect to the Allied Paper, Inc./Portage Creek/Kalamazoo River Superfund Site (“Kalamazoo River site”) in Michigan. USEPA asserted that the site is contaminated by various substances, primarily PCBs, as a result of discharges by various paper mills located along the river. USEPA did not claim that the Company made direct discharges into the Kalamazoo River, and the Company never had facilities at or near the Kalamazoo River site, but USEPA indicated that “NCR may be liable under Section 107 of CERCLA ... as an arranger, who by contract or agreement, arranged for the disposal, treatment and/or transportation of hazardous substances at the Site.” USEPA stated that it “may issue special notice letters to [NCR] and other PRPs for future RI/FS [remedial investigation / feasibility studies] and RD/RA [remedial design / remedial action] negotiations.”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2010, the Company, along with two other defendants, was sued in federal court by three Georgia-Pacific (“GP”) affiliate corporations in a private-party contribution and cost recovery action for alleged pollution at the Kalamazoo River site. On September 26, 2013, the court issued a decision that held the Company was liable as an “arranger” as of at least March 1969. (PCB-containing carbonless copy paper was produced from approximately 1954 to April 1971, and the majority of contamination at the Kalamazoo River site had occurred prior to 1969). In a ruling following a second trial on the allocation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liability issued on March 29, 2018, the court fixed the past cost amount at approximately $50 million (plus interest to be determined) and the Company and GP were each assigned a 40% share of those costs, and the other two companies were assigned 15% and 5% as their allocations. The court entered final judgment in the case on June 19, 2018, in which it indicated that it would not allocate future costs, but would enter a declaratory judgment that the four companies together had responsibility for future costs, in amounts and shares to be determined.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2018, the Company appealed to the United States Court of Appeals for the Sixth Circuit both the 2013 court decision and the 2018 court decision on various legal grounds. The Company filed a bond to stay execution of the judgment pending appeal and execution of the judgment was stayed until the Company filed its dismissal of the appeal on December 31, 2020 pursuant to the Consent Decree noted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pendency of the Sixth Circuit stay, the Company negotiated a settlement of the Kalamazoo River matter with the USEPA and other government agencies having oversight over the river.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5, 2019, the Company entered into a Consent Decree with the USEPA and other government agencies having oversight over the Kalamazoo River and the District Court having jurisdiction over this matter approved the Consent Decree later that month. The Consent Decree requires the Company to pay GP a 40% share of past costs, to pay the USEPA and state agencies their past and future administrative costs, and take responsibility for the remediation of a portion, but not all, of the Kalamazoo River. The Consent Decree further required the Company to dismiss the pending Sixth Circuit appeal. The Consent Decree provides the Company protection from other potentially responsible parties, including GP, seeking contribution for their costs associated with the clean-up anywhere on the Kalamazoo River, thereby resolving the allocation of future costs left unresolved by prior litigation.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it has meritorious claims against BAT under the Cost Sharing Agreement, discussed above, for the Kalamazoo River remediation expenses as a so-called “future site.” To date, BAT disputes that the Kalamazoo River is a “future site.” In February 2023, the Company filed an action against BAT in the Southern District of New York seeking a declaration that the Kalamazoo River is indeed a “future site” under the Cost Sharing Agreement. In June 2023, BAT filed an answer asserting counterclaims in the proceedings. On September 14, 2024, the Court entered an opinion stating that the Kalamazoo River is a “future site” within the meaning of the Cost Sharing Agreement. The case remains pending with respect to BAT’s remaining counterclaims and affirmative defenses. In December 2022, the contractual threshold set forth in the 1996 Divestiture Agreement for the Kalamazoo River matter was met and as a result the Company also has indemnity or reimbursement claims against AT&amp;T and Nokia. AT&amp;T and Nokia are currently disputing the calculation of that threshold (not the indemnity obligation), and AT&amp;T has withheld certain of its indemnification payments in connection with the dispute. In February 2026, the Company filed an action for preliminary injunction against AT&amp;T in the Southern District of New York seeking an order to compel AT&amp;T’s compliance with the payment obligations under the 1996 Divestiture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2023, the USEPA issued a conditional approval for a work plan to remediate one area of the Kalamazoo River (referred to by USEPA as Area 4) for which the Company has remediation responsibility. The conditional approval provided the Company with sufficient information to estimate the cost of the first phase of remediation for this area of the river and necessitated an increase in the Kalamazoo reserve. Subsequently, USEPA provided further clarification about the conditions with respect to completing the second phase of the work plan that could substantially increase the costs of remediation. The Company does not believe the scope of work for this second phase is its responsibility under the Consent Decree or the National Contingency Plan. In March 2024, the Company filed a Notice of Dispute with the USEPA objecting to the scope of work for Area 4 as being inconsistent with the National Contingency Plan and contrary to the requirements of the Consent Decree. In June 2024, the Company reached a tentative agreement with the USEPA that will satisfactorily address the Company’s cost concerns and in October 2024, the Company submitted a work plan to the USEPA for approval. In connection with the submittal of the work plan, an updated engineering estimate was developed, which necessitated an increase in the Kalamazoo reserve. On August 18, 2025, the USEPA approved the work plan “with modifications” and the Company responded to those modifications as requested by the USEPA. On November 3, 2025, the EPA reviewed the Company’s responses to the modifications and gave final approval to the work plan. In January 2026, a second updated engineering estimate was completed to address scope adjustments of the approved work plan and current market and river conditions. This updated engineering estimate necessitated another increase to the Kalamazoo reserve.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total reserve for the Kalamazoo River was $111 million and $148 million, respectively. The reserve is reported on a basis that is net of expected contributions from the Company’s co-obligors and indemnitors, subject to when the applicable threshold is reached. While the Company believes its co-obligors’ and indemnitors’ obligations are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previously reported, the reserve may be adjusted from time to time to reflect changes in our estimates of remediation costs and recoverability from co-obligors and indemnitors with respect to the Kalamazoo River.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many aspects of the costs of remediation will not be determined for several years (and thus the high end of a range of possible costs for many areas of the site cannot be quantified at this time), the Company has made what it considers to be reasonable estimates of the low end of a range for such costs where remedies are identified, and/or estimates of the costs of investigations and studies for areas of the Kalamazoo River where remedies have not yet been determined, and the reserve is informed by those estimates. The extent of the Company’s potential liability remains subject to many uncertainties, notwithstanding the Consent Decree noted above, particularly in as much as remedy decisions and cost estimates will not be generated until future time periods and as most of the work to be performed will take place through the 2030s. Under other assumptions and estimates for possible costs of remediation, which the Company does not at this point consider to be reasonably estimable or verifiable, it is possible that the reserve the Company has taken to discontinued operations with respect to the Kalamazoo River could more than approximately double the reflected reserve.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Ebina</w:t>
      </w:r>
      <w:r>
        <w:rPr>
          <w:color w:val="000000"/>
        </w:rPr>
        <w:t xml:space="preserve"> </w:t>
      </w:r>
      <w:r>
        <w:rPr>
          <w:rFonts w:ascii="Times New Roman;serif" w:hAnsi="Times New Roman;serif"/>
          <w:b w:val="false"/>
          <w:color w:val="000000"/>
          <w:sz w:val="20"/>
        </w:rPr>
        <w:t xml:space="preserve">The Company has completed all regulatory compliance activities in connection with certain environmental contaminants generated in its past operations in Japan. The Company once had quantities of PCB and other wastes primarily from its former plant at Oiso, Japan, including capsulated undiluted solutions manufactured in the past, capacitors, light ballasts and PCB-affected soil from the Oiso plant that was excavated and placed in steel drums. These wastes were stored in a facility at Ebina, Japan in accordance with Japanese regulations governing such materials.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reserve as of both December 31, 2025 and 2024 was zero. The Japan environmental waste issue is treated as a compliance matter and not as litigation or enforcement, and the Company has received no threats of litigation or enforcement. NCR Atleos does not have any indemnification obligations to the Company in connection with the Ebina matter, and this remediation was completed during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Environmental-Related Insurance Recoveries</w:t>
      </w:r>
      <w:r>
        <w:rPr>
          <w:color w:val="000000"/>
        </w:rPr>
        <w:t xml:space="preserve"> </w:t>
      </w:r>
      <w:r>
        <w:rPr>
          <w:rFonts w:ascii="Times New Roman;serif" w:hAnsi="Times New Roman;serif"/>
          <w:b w:val="false"/>
          <w:color w:val="000000"/>
          <w:sz w:val="20"/>
        </w:rPr>
        <w:t>In connection with the Fox River, Kalamazoo River and other environmental sites, through December 31, 2025, the Company has received a combined gross total of approximately $212 million in settlements reached with various of its insurance carriers. Some of the settlements cover not only the Fox River but also other environmental sites; some are limited to either the Fox River or the Kalamazoo River site. Some of the settlements are directed to defense costs and some are directed to indemnity; some settlements cover both defense costs and indemnity. The Company does not anticipate that further material insurance recoveries specific to Kalamazoo River remediation costs will be available in the future.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Environmental Remediation Estimates</w:t>
      </w:r>
      <w:r>
        <w:rPr>
          <w:color w:val="000000"/>
        </w:rPr>
        <w:t xml:space="preserve"> </w:t>
      </w:r>
      <w:r>
        <w:rPr>
          <w:rFonts w:ascii="Times New Roman;serif" w:hAnsi="Times New Roman;serif"/>
          <w:b w:val="false"/>
          <w:color w:val="000000"/>
          <w:sz w:val="20"/>
        </w:rPr>
        <w:t>It is difficult to estimate the future financial impact of environmental laws, including potential liabilities. The Company records environmental provisions when it is probable that a liability has been incurred and the amount or range of the liability is reasonably estimable; in accordance with accounting guidance, where liabilities are not expected to be quantifiable or estimable for a period of years, the estimated costs of investigating those liabilities are recorded as a component of the reserve for that particular site. Provisions for estimated losses from environmental restoration and remediation are, depending on the site, based generally on internal and third-party environmental studies, estimates as to the number and participation level of other PRPs, the extent of contamination, estimated amounts for attorney and other fees, and the nature of required clean-up and restoration actions. Reserves are adjusted as further information develops or circumstances change. Management expects that the amounts reserved from time to time will be paid out over the period of investigation, negotiation, remediation and restoration for the applicable sites. The amounts recorded for environmental matters in the Company’s Consolidated Financial Statements are the estimated gross undiscounted amounts of such liabilities, without deductions for indemnity insurance, third-party indemnity claims or recoveries from other PRPs, except in the event certain criteria supporting the probability of receipt of payment from such third parties is met. For the Fox River and Kalamazoo River sites, as described above, assets relating to the AT&amp;T and Nokia indemnities and the BAT obligations recorded as payments are supported by contractual agreements, public filings, payment history, or other factors.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Guarantees and Product Warranties</w:t>
      </w:r>
      <w:r>
        <w:rPr>
          <w:color w:val="000000"/>
        </w:rPr>
        <w:t xml:space="preserve"> </w:t>
      </w:r>
      <w:r>
        <w:rPr>
          <w:rFonts w:ascii="Times New Roman;serif" w:hAnsi="Times New Roman;serif"/>
          <w:b w:val="false"/>
          <w:color w:val="000000"/>
          <w:sz w:val="20"/>
        </w:rPr>
        <w:t>In the ordinary course of business, the Company may issue performance guarantees on behalf of its subsidiaries to certain of its customers and other parties. Some of those guarantees may be backed by standby letters of credit, surety bonds, or similar instruments. In general, under the guarantees, the Company would be obligated to perform, or cause performance, over the term of the underlying contract in the event of an unexcused, uncured breach by its subsidiary, or some other specified triggering event, in each case as defined by the applicable guarantee. The Company believes the likelihood of having to perform under any such guarantee is remote. As of December 31, 2025 and 2024, the Company had no material obligations related to such guarantees, and therefore its Consolidated Financial Statements do not have any associated liability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provides its customers a standard manufacturer’s warranty and records, at the time of the sale, a corresponding estimated liability for potential warranty costs. Estimated future obligations due to warranty claims are based upon historical factors, such as labor rates, average repair time, travel time, number of service calls per machine and cost of replacement parts. When a sale is consummated, the total customer revenue is recognized, provided that all revenue recognition criteria are otherwise satisfied, and the associated warranty liability is recorded using pre-established warranty percentages for the respective product classes. Warranty reserve liabilities are presented in Other current liabilities and Other liabilities in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product design or quality corrections are accomplished through modification programs. When identified, associated costs of labor and parts for such programs are estimated and accrued as part of the warranty reserve.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Company provides its customers with certain indemnification rights, subject to certain limitations and exceptions. In some cases, the Company agrees to defend and indemnify its customers from third-party lawsuits alleging patent or other infringement of Company solutions based on its customers’ use of them. On limited occasions the Company will undertake to indemnify a customer for business, rather than contractual, reasons. From time to time, the Company also enters into agreements in connection with its acquisition and divestiture activities that include indemnification obligations by the Company. The fair value of these indemnification obligations is not readily determinable due to the conditional nature of the Company’s potential obligations, certain limitations to liability and indemnity exclusions that appear in certain of the Company’s agreements, and the specific facts and circumstances involved with each particular agreement. Historically, the Company has not recorded a liability in connection with these indemnifications. From time to time the Company has provided indemnification under these circumstances, none of which has resulted in material liabilities, and the Company expects these indemnities will continue to arise in the future.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Purchase Commitments</w:t>
      </w:r>
      <w:r>
        <w:rPr>
          <w:color w:val="000000"/>
        </w:rPr>
        <w:t> </w:t>
      </w:r>
      <w:r>
        <w:rPr>
          <w:rFonts w:ascii="Times New Roman;serif" w:hAnsi="Times New Roman;serif"/>
          <w:b w:val="false"/>
          <w:color w:val="000000"/>
          <w:sz w:val="20"/>
        </w:rPr>
        <w:t xml:space="preserve">The Company has purchase commitments for materials, supplies, services, and property, plant and equipment as part of the normal course of business.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12. LEASING</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lease balances as of December 31:</w:t>
      </w:r>
    </w:p>
    <w:tbl>
      <w:tblPr>
        <w:tblW w:w="10205" w:type="dxa"/>
        <w:jc w:val="center"/>
        <w:tblInd w:w="0" w:type="dxa"/>
        <w:tblLayout w:type="fixed"/>
        <w:tblCellMar>
          <w:top w:w="28" w:type="dxa"/>
          <w:left w:w="28" w:type="dxa"/>
          <w:bottom w:w="28" w:type="dxa"/>
          <w:right w:w="28" w:type="dxa"/>
        </w:tblCellMar>
      </w:tblPr>
      <w:tblGrid>
        <w:gridCol w:w="1511"/>
        <w:gridCol w:w="1284"/>
        <w:gridCol w:w="1296"/>
        <w:gridCol w:w="953"/>
        <w:gridCol w:w="953"/>
        <w:gridCol w:w="956"/>
        <w:gridCol w:w="109"/>
        <w:gridCol w:w="109"/>
        <w:gridCol w:w="109"/>
        <w:gridCol w:w="363"/>
        <w:gridCol w:w="831"/>
        <w:gridCol w:w="189"/>
        <w:gridCol w:w="370"/>
        <w:gridCol w:w="819"/>
        <w:gridCol w:w="193"/>
        <w:gridCol w:w="160"/>
      </w:tblGrid>
      <w:tr>
        <w:trPr/>
        <w:tc>
          <w:tcPr>
            <w:tcW w:w="151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in the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assets</w:t>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 assets</w:t>
            </w:r>
          </w:p>
        </w:tc>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Amortization of Finance lease assets</w:t>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assets</w:t>
            </w:r>
          </w:p>
        </w:tc>
        <w:tc>
          <w:tcPr>
            <w:tcW w:w="2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liabilities</w:t>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 liabilities</w:t>
            </w:r>
          </w:p>
        </w:tc>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2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liabilities</w:t>
            </w:r>
          </w:p>
        </w:tc>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 liabilities</w:t>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lease costs for operating and finance leases:</w:t>
      </w:r>
    </w:p>
    <w:tbl>
      <w:tblPr>
        <w:tblW w:w="10205" w:type="dxa"/>
        <w:jc w:val="center"/>
        <w:tblInd w:w="0" w:type="dxa"/>
        <w:tblLayout w:type="fixed"/>
        <w:tblCellMar>
          <w:top w:w="28" w:type="dxa"/>
          <w:left w:w="28" w:type="dxa"/>
          <w:bottom w:w="28" w:type="dxa"/>
          <w:right w:w="28" w:type="dxa"/>
        </w:tblCellMar>
      </w:tblPr>
      <w:tblGrid>
        <w:gridCol w:w="964"/>
        <w:gridCol w:w="847"/>
        <w:gridCol w:w="827"/>
        <w:gridCol w:w="758"/>
        <w:gridCol w:w="1353"/>
        <w:gridCol w:w="394"/>
        <w:gridCol w:w="773"/>
        <w:gridCol w:w="1326"/>
        <w:gridCol w:w="406"/>
        <w:gridCol w:w="647"/>
        <w:gridCol w:w="1429"/>
        <w:gridCol w:w="481"/>
      </w:tblGrid>
      <w:tr>
        <w:trPr/>
        <w:tc>
          <w:tcPr>
            <w:tcW w:w="9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2025</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2024</w:t>
            </w:r>
          </w:p>
        </w:tc>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2023</w:t>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leased assets</w:t>
            </w:r>
          </w:p>
        </w:tc>
        <w:tc>
          <w:tcPr>
            <w:tcW w:w="2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on lease liabilities</w:t>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2557" w:type="dxa"/>
            <w:gridSpan w:val="3"/>
            <w:tcBorders/>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2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cost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cash flow information:</w:t>
      </w:r>
    </w:p>
    <w:tbl>
      <w:tblPr>
        <w:tblW w:w="10205" w:type="dxa"/>
        <w:jc w:val="center"/>
        <w:tblInd w:w="0" w:type="dxa"/>
        <w:tblLayout w:type="fixed"/>
        <w:tblCellMar>
          <w:top w:w="28" w:type="dxa"/>
          <w:left w:w="28" w:type="dxa"/>
          <w:bottom w:w="28" w:type="dxa"/>
          <w:right w:w="28" w:type="dxa"/>
        </w:tblCellMar>
      </w:tblPr>
      <w:tblGrid>
        <w:gridCol w:w="1537"/>
        <w:gridCol w:w="1240"/>
        <w:gridCol w:w="1250"/>
        <w:gridCol w:w="631"/>
        <w:gridCol w:w="1081"/>
        <w:gridCol w:w="331"/>
        <w:gridCol w:w="631"/>
        <w:gridCol w:w="1081"/>
        <w:gridCol w:w="331"/>
        <w:gridCol w:w="606"/>
        <w:gridCol w:w="1038"/>
        <w:gridCol w:w="448"/>
      </w:tblGrid>
      <w:tr>
        <w:trPr/>
        <w:tc>
          <w:tcPr>
            <w:tcW w:w="153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2025</w:t>
            </w:r>
          </w:p>
        </w:tc>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2024</w:t>
            </w:r>
          </w:p>
        </w:tc>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2023</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2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flows from operating leases</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cash flows from finance leases</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cash flows from finance leases</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in Exchange for Lease Obligations</w:t>
            </w:r>
          </w:p>
        </w:tc>
        <w:tc>
          <w:tcPr>
            <w:tcW w:w="2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undiscounted cash flows for each of the first five years and total of the remaining years to the finance lease liabilities and operating lease liabilities recorded on the Consolidated Balance Sheet as of December 31, 2025:</w:t>
      </w:r>
    </w:p>
    <w:tbl>
      <w:tblPr>
        <w:tblW w:w="6187" w:type="dxa"/>
        <w:jc w:val="center"/>
        <w:tblInd w:w="0" w:type="dxa"/>
        <w:tblLayout w:type="fixed"/>
        <w:tblCellMar>
          <w:top w:w="28" w:type="dxa"/>
          <w:left w:w="28" w:type="dxa"/>
          <w:bottom w:w="28" w:type="dxa"/>
          <w:right w:w="28" w:type="dxa"/>
        </w:tblCellMar>
      </w:tblPr>
      <w:tblGrid>
        <w:gridCol w:w="1062"/>
        <w:gridCol w:w="932"/>
        <w:gridCol w:w="945"/>
        <w:gridCol w:w="109"/>
        <w:gridCol w:w="109"/>
        <w:gridCol w:w="109"/>
        <w:gridCol w:w="454"/>
        <w:gridCol w:w="454"/>
        <w:gridCol w:w="456"/>
        <w:gridCol w:w="109"/>
        <w:gridCol w:w="109"/>
        <w:gridCol w:w="109"/>
        <w:gridCol w:w="360"/>
        <w:gridCol w:w="360"/>
        <w:gridCol w:w="510"/>
      </w:tblGrid>
      <w:tr>
        <w:trPr/>
        <w:tc>
          <w:tcPr>
            <w:tcW w:w="106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all material operating leases had commenced.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weighted average remaining lease term and interest rates: </w:t>
      </w:r>
    </w:p>
    <w:tbl>
      <w:tblPr>
        <w:tblW w:w="6196" w:type="dxa"/>
        <w:jc w:val="center"/>
        <w:tblInd w:w="0" w:type="dxa"/>
        <w:tblLayout w:type="fixed"/>
        <w:tblCellMar>
          <w:top w:w="28" w:type="dxa"/>
          <w:left w:w="28" w:type="dxa"/>
          <w:bottom w:w="28" w:type="dxa"/>
          <w:right w:w="28" w:type="dxa"/>
        </w:tblCellMar>
      </w:tblPr>
      <w:tblGrid>
        <w:gridCol w:w="984"/>
        <w:gridCol w:w="863"/>
        <w:gridCol w:w="868"/>
        <w:gridCol w:w="109"/>
        <w:gridCol w:w="109"/>
        <w:gridCol w:w="109"/>
        <w:gridCol w:w="334"/>
        <w:gridCol w:w="334"/>
        <w:gridCol w:w="832"/>
        <w:gridCol w:w="334"/>
        <w:gridCol w:w="334"/>
        <w:gridCol w:w="832"/>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years</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years</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13. SERIES A PREFERRED STOCK</w:t>
      </w:r>
      <w:r>
        <w:rPr>
          <w:color w:val="7ACE05"/>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4, 2015, the Company issued 820,000 shares of Series A Convertible Preferred Stock to certain entities affiliated with the Blackstone Group L.P. (collectively, “Blackstone”) for an aggregate purchase price of $820 million, or $1,000 per share, pursuant to an Investment Agreement between the Company and Blackstone, dated November 11, 2015. In connection with the issuance of the Series A Convertible Preferred Stock, the Company incurred direct and incremental expenses of $26 million, including financial advisory fees, closing costs, legal expenses and other offering-related expenses. These direct and incremental expenses originally reduced the Series A Convertible Preferred Stock and were accreted through retained earnings as a deemed dividend from the date of issuance through the first possible known redemption date, March 16,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2017, in connection with the early release of the lock-up included in the Investment Agreement, Blackstone offered for sale 342,000 shares of Series A Convertible Preferred Stock in an underwritten public offering. In addition, Blackstone converted 90,000 shares of Series A Convertible Preferred Stock into shares of our common stock and we repurchased those shares of common stock for $48.47 per share. The underwritten offering and the stock repurchase were consummated on March 17, 2017.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18, 2019, the Company entered into an agreement to repurchase and convert the outstanding 512,221 shares of Series A Convertible Preferred Stock owned by Blackstone. The Company repurchased 237,673 shares of Series A Convertible Preferred Stock for total cash consideration of $302 million. The remaining shares of Blackstone’s Series A Convertible Preferred Stock, including accrued dividends, were converted to approximately 9.2 million shares of common stock at a conversion price of $30.00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repurchase of Series A Convertible Preferred Stock, the excess of the fair value of consideration transferred over the carrying value was approximately $67 million, and has been included as a deemed dividend in adjusting the income from common stockholders in calculating earnings per share. In this analysis, we determined the fair value of the consideration transferred was not in excess of the fair value of the redeemed Series A Convertible Preferred Stock. As a result, there was no inducement provided to Blackstone for the conversion of the remaining preferred shares into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6, 2020, the Company entered into a definitive agreement to repurchase 67,000 shares of Series A Convertible Preferred Stock from two affiliated shareholders for a total cash consideration of $72 million. The transaction closed on October 7, 2020. On October 12, 2020, the Company entered into a definitive agreement to repurchase 65,365 shares of Series A Convertible Preferred Stock owned by two affiliated shareholders for a total cash consideration of $72 million. The transaction closed on October 13, 2020. The excess of the fair value of consideration transferred over the carrying value was approximately $12 million, and has been included as a deemed dividend in adjusting the income from common stockholders in calculating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November 12, 2025, NCR Voyix entered into a definitive agreement to repurchase 68,566 shares of Series A Convertible Preferred Stock from one shareholder for a total cash consideration of $74 million. The transaction closed on November 17, 2025. The excess of the fair value of consideration transferred over the carrying value was approximately $5 million and has been included as a deemed dividend in adjusting the income from common stockholders in calculating earnings per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Dividend Rights </w:t>
      </w:r>
      <w:r>
        <w:rPr>
          <w:rFonts w:ascii="Times New Roman;serif" w:hAnsi="Times New Roman;serif"/>
          <w:b w:val="false"/>
          <w:color w:val="000000"/>
          <w:sz w:val="20"/>
        </w:rPr>
        <w:t xml:space="preserve">The Series A Convertible Preferred Stock ranks senior to the shares of the Company’s common stock, with respect to dividend rights and rights on the distribution of assets on any voluntary or involuntary liquidation, dissolution or winding up of the affairs of the Company. The Series A Convertible Preferred Stock has a liquidation preference of $1,000 per share. Holders of Series A Convertible Preferred Stock are entitled to a cumulative dividend at the rate of 5.5% per annum, which was payable quarterly in arrears. Beginning in the first quarter of 2020, dividends are payable in cash or in-kind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option of the Company. If the Company does not declare and pay a dividend, the dividend rate will increase to 8.0% per annum until all accrued but unpaid dividends have been paid in full. During the years ended December 31, 2025, 2024 and 2023, the Company did not pay dividends-in-kind associated with the Series A Convertible Preferred Stock. Cash dividends of </w:t>
      </w:r>
      <w:r>
        <w:rPr>
          <w:rFonts w:ascii="Times New Roman;serif" w:hAnsi="Times New Roman;serif"/>
          <w:b w:val="false"/>
          <w:color w:val="000000"/>
          <w:sz w:val="20"/>
          <w:shd w:fill="FFFFFF" w:val="clear"/>
        </w:rPr>
        <w:t>$15 million</w:t>
      </w:r>
      <w:r>
        <w:rPr>
          <w:color w:val="000000"/>
        </w:rPr>
        <w:t xml:space="preserve"> </w:t>
      </w:r>
      <w:r>
        <w:rPr>
          <w:rFonts w:ascii="Times New Roman;serif" w:hAnsi="Times New Roman;serif"/>
          <w:b w:val="false"/>
          <w:color w:val="000000"/>
          <w:sz w:val="20"/>
        </w:rPr>
        <w:t>were declared during the years ended December 31, 2025, 2024 and 2023.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Conversion Features </w:t>
      </w:r>
      <w:r>
        <w:rPr>
          <w:rFonts w:ascii="Times New Roman;serif" w:hAnsi="Times New Roman;serif"/>
          <w:b w:val="false"/>
          <w:color w:val="000000"/>
          <w:sz w:val="20"/>
        </w:rPr>
        <w:t>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 shares of common stock per share of Series A Convertible Preferred Stock, effective immediately after the close of business on October 17, 2023. As of December 31, 2025 and 2024, the maximum number of common shares that could be required to be issued upon conversion of the outstanding shares of Series A Convertible Preferred Stock was 11.9 million and 15.9 million shares, respectively. The conversion rate is subject to the following customary anti-dilution and other adjustments: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issuance of common stock as a dividend or the subdivision, combination, or reclassification of common stock into a greater or lesser number of shares of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dividend, distribution or other issuance of rights, options or warrants to holders of Common Stock entitling them to subscribe for or purchase shares of common stock at a price per share that is less than the volume-weighted average price per share of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completion of a tender offer or exchange offer of shares of common stock at a premium to the volume-weighted average price per share of common stock and certain other above-market purchases of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issuance of a dividend or similar distribution in-kind, which can include shares of any class of capital stock, evidences of the Company’s indebtedness, assets or other property or securities, to holders of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transaction in which a subsidiary of the Company ceases to be a subsidiary of the Company as a result of the distribution of the equity interests of the subsidiary to the holders of the Company’s common stock;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payment of a cash dividend to the holders of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outstanding shares of Series A Convertible Preferred Stock are convertible at the option of the Company if the volume-weighted average price of the common stock exceeds $54.00 for at least 30 trading days in any period of 45 consecutive trading days. The $54.00 may be adjusted pursuant to the anti-dilution provisions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A Convertible Preferred Stock, and the associated dividends for the first sixteen payments, did not generate a beneficial conversion feature (“BCF”) upon issuance as the fair value of the Company’s common stock was greater than the conversion price. The Company will determine and, if required, measure a BCF based on the fair value of our stock price on the date dividends are declared subsequent to the sixteenth dividend. If a BCF is recognized, a reduction to retained earnings and the Series A Convertible Preferred Stock will be recorded, and then subsequently accreted through the first redemption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Additionally, the Company determined that the nature of the Series A Convertible Preferred Stock was more akin to an equity instrument and that the economic characteristics and risks of the embedded conversion options were clearly and closely related to the Series A Convertible Preferred Stock. As such, the conversion options were not required to be bifurcated from the host under ASC 815, </w:t>
      </w:r>
      <w:r>
        <w:rPr>
          <w:rFonts w:ascii="Times New Roman;serif" w:hAnsi="Times New Roman;serif"/>
          <w:b w:val="false"/>
          <w:i/>
          <w:color w:val="000000"/>
          <w:sz w:val="20"/>
        </w:rPr>
        <w:t>Derivatives and Hedging.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Redemption Rights</w:t>
      </w:r>
      <w:r>
        <w:rPr>
          <w:color w:val="000000"/>
        </w:rPr>
        <w:t xml:space="preserve"> </w:t>
      </w:r>
      <w:r>
        <w:rPr>
          <w:rFonts w:ascii="Times New Roman;serif" w:hAnsi="Times New Roman;serif"/>
          <w:b w:val="false"/>
          <w:color w:val="000000"/>
          <w:sz w:val="20"/>
        </w:rPr>
        <w:t>On any date during the three months commencing on and immediately following March 16, 2024 and the three months commencing on and immediately following every third anniversary of March 16, 2024, holders of Series A Convertible Preferred Stock have the right to require the Company to repurchase all or any portion of the Series A Convertible Preferred Stock at 100% of the liquidation preference thereof plus all accrued but unpaid dividends. Upon certain change of control events involving the Company, holders of Series A Convertible Preferred Stock can require the Company to repurchase, subject to certain exceptions, all or any portion of the Series A Convertible Preferred Stock at the greater of (1) an amount in cash equal to 100% of the liquidation preference thereof plus all accrued but unpaid dividends and (2) the consideration the holders would have received if they had converted their shares of Series A Convertible Preferred Stock into common stock immediately prior to the change of control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the right, upon certain change of control events involving the Company, to redeem the Series A Convertible Preferred Stock at the greater of (1) an amount in cash equal to the sum of the liquidation preference of the Series A Convertible Preferred Stock, all accrued but unpaid dividends and the present value, discounted at a rate of 10%, of any remaining scheduled dividends through the fifth anniversary of the first dividend payment date, assuming the Company chose to pay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dividends in cash (the “make-whole provision”) and (2) the consideration the holders would have received if they had converted their shares of Series A Convertible Preferred Stock into common stock immediately prior to the change of control event.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Since the redemption of the Series A Convertible Preferred Stock is contingently or optionally redeemable and therefore not certain to occur, the Series A Convertible Preferred Stock is not required to be classified as a liability under ASC 480, </w:t>
      </w:r>
      <w:r>
        <w:rPr>
          <w:rFonts w:ascii="Times New Roman;serif" w:hAnsi="Times New Roman;serif"/>
          <w:b w:val="false"/>
          <w:i/>
          <w:color w:val="000000"/>
          <w:sz w:val="20"/>
        </w:rPr>
        <w:t>Distinguishing Liabilities from Equity</w:t>
      </w:r>
      <w:r>
        <w:rPr>
          <w:rFonts w:ascii="Times New Roman;serif" w:hAnsi="Times New Roman;serif"/>
          <w:b w:val="false"/>
          <w:color w:val="000000"/>
          <w:sz w:val="20"/>
        </w:rPr>
        <w:t>. As the Series A Convertible Preferred Stock is redeemable in certain circumstances at the option of the holder and is redeemable in certain circumstances upon the occurrence of an event that is not solely within our control, we have classified the Series A Convertible Preferred Stock in mezzanine equity in the Consolidated Balance Sheets.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noted above, the Company determined that the nature of the Series A Convertible Preferred Stock was more akin to an equity instrument. However, the Company determined that the economic characteristics and risks of the embedded put options, call option and make-whole provision were not clearly and closely related to the Series A Convertible Preferred Stock. Therefore, the Company assessed the put and call options further, and determined they did not meet the definition of a derivative under ASC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Under the same analysis, the Company determined the make-whole provision did meet the definition of a derivative, but that the value of the derivative was minimal due to the expectations surrounding the scenarios under which the call option and make-whole provision would be exercised.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Voting Rights</w:t>
      </w:r>
      <w:r>
        <w:rPr>
          <w:color w:val="000000"/>
        </w:rPr>
        <w:t xml:space="preserve"> </w:t>
      </w:r>
      <w:r>
        <w:rPr>
          <w:rFonts w:ascii="Times New Roman;serif" w:hAnsi="Times New Roman;serif"/>
          <w:b w:val="false"/>
          <w:color w:val="000000"/>
          <w:sz w:val="20"/>
        </w:rPr>
        <w:t>Holders of Series A Convertible Preferred Stock are entitled to vote with the holders of the common stock on an as-converted basis. Holders of Series A Convertible Preferred Stock are entitled to a separate class vote with respect to amendments to the Company’s organizational documents that have an adverse effect on the Series A Convertible Preferred Stock and issuances by the Company of securities that are senior to, or equal in priority with, the Series A Convertible Preferred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EARNINGS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(“EPS”) is calculated by dividing net income or loss attributable to NCR Voyix, less any dividends (declared or cumulative undeclared), deemed dividends, accretion or decretion, redemption or induced conversion on our Series A Convertible Preferred Stock, by the weighted average number of shares outstanding during the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computing diluted EPS, we evaluate and reflect the maximum potential dilution, for each issue or series of issues of potential common shares in sequence from the most dilutive to the least dilutive. We adjust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or recorded upon a redemption or induced conversion. We adjust the denominator used in the basic EPS computation, subject to anti-dilution requirements, to include the dilution from potential shares resulting from the issuance of the Series A Convertible Preferred Stock, restricted stock units, and stock options.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holders of Series A Convertible Preferred Stock, unvested restricted stock units and stock options do not have non-forfeitable rights to common stock dividends or common stock dividend equivalents. Accordingly, the Series A Convertible Preferred Stock, unvested restricted stock units and stock options do not qualify as participating securities. See Note 9, “Stock Compensation Plans”, for share information on NCR Voyix’s stock compensation plans.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basic earnings (loss) per share are as follows:</w:t>
      </w:r>
    </w:p>
    <w:tbl>
      <w:tblPr>
        <w:tblW w:w="10205" w:type="dxa"/>
        <w:jc w:val="left"/>
        <w:tblInd w:w="0" w:type="dxa"/>
        <w:tblLayout w:type="fixed"/>
        <w:tblCellMar>
          <w:top w:w="28" w:type="dxa"/>
          <w:left w:w="28" w:type="dxa"/>
          <w:bottom w:w="28" w:type="dxa"/>
          <w:right w:w="28" w:type="dxa"/>
        </w:tblCellMar>
      </w:tblPr>
      <w:tblGrid>
        <w:gridCol w:w="2539"/>
        <w:gridCol w:w="2156"/>
        <w:gridCol w:w="2172"/>
        <w:gridCol w:w="211"/>
        <w:gridCol w:w="526"/>
        <w:gridCol w:w="109"/>
        <w:gridCol w:w="109"/>
        <w:gridCol w:w="109"/>
        <w:gridCol w:w="109"/>
        <w:gridCol w:w="211"/>
        <w:gridCol w:w="575"/>
        <w:gridCol w:w="109"/>
        <w:gridCol w:w="109"/>
        <w:gridCol w:w="109"/>
        <w:gridCol w:w="109"/>
        <w:gridCol w:w="211"/>
        <w:gridCol w:w="575"/>
        <w:gridCol w:w="157"/>
      </w:tblGrid>
      <w:tr>
        <w:trPr/>
        <w:tc>
          <w:tcPr>
            <w:tcW w:w="253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33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867" w:type="dxa"/>
            <w:gridSpan w:val="3"/>
            <w:vMerge w:val="continue"/>
            <w:tcBorders/>
            <w:tcMar>
              <w:top w:w="0" w:type="dxa"/>
              <w:left w:w="0" w:type="dxa"/>
              <w:bottom w:w="0" w:type="dxa"/>
              <w:right w:w="0" w:type="dxa"/>
            </w:tcMar>
            <w:vAlign w:val="center"/>
          </w:tcPr>
          <w:p>
            <w:pPr>
              <w:pStyle w:val="Normal"/>
              <w:bidi w:val="0"/>
              <w:jc w:val="left"/>
              <w:rPr/>
            </w:pPr>
            <w:r>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convertible preferred stock dividends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from continuing operations attributable to NCR Voyix common stockholders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NCR Voyix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(loss) per share:</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From discontinued operations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basic earnings per share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diluted earnings (loss) per share are as follows:</w:t>
      </w:r>
    </w:p>
    <w:tbl>
      <w:tblPr>
        <w:tblW w:w="10205" w:type="dxa"/>
        <w:jc w:val="center"/>
        <w:tblInd w:w="0" w:type="dxa"/>
        <w:tblLayout w:type="fixed"/>
        <w:tblCellMar>
          <w:top w:w="28" w:type="dxa"/>
          <w:left w:w="28" w:type="dxa"/>
          <w:bottom w:w="28" w:type="dxa"/>
          <w:right w:w="28" w:type="dxa"/>
        </w:tblCellMar>
      </w:tblPr>
      <w:tblGrid>
        <w:gridCol w:w="2539"/>
        <w:gridCol w:w="2156"/>
        <w:gridCol w:w="2172"/>
        <w:gridCol w:w="211"/>
        <w:gridCol w:w="526"/>
        <w:gridCol w:w="109"/>
        <w:gridCol w:w="109"/>
        <w:gridCol w:w="109"/>
        <w:gridCol w:w="109"/>
        <w:gridCol w:w="211"/>
        <w:gridCol w:w="575"/>
        <w:gridCol w:w="109"/>
        <w:gridCol w:w="109"/>
        <w:gridCol w:w="109"/>
        <w:gridCol w:w="109"/>
        <w:gridCol w:w="211"/>
        <w:gridCol w:w="575"/>
        <w:gridCol w:w="157"/>
      </w:tblGrid>
      <w:tr>
        <w:trPr/>
        <w:tc>
          <w:tcPr>
            <w:tcW w:w="253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33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867" w:type="dxa"/>
            <w:gridSpan w:val="3"/>
            <w:vMerge w:val="continue"/>
            <w:tcBorders/>
            <w:tcMar>
              <w:top w:w="0" w:type="dxa"/>
              <w:left w:w="0" w:type="dxa"/>
              <w:bottom w:w="0" w:type="dxa"/>
              <w:right w:w="0" w:type="dxa"/>
            </w:tcMar>
            <w:vAlign w:val="center"/>
          </w:tcPr>
          <w:p>
            <w:pPr>
              <w:pStyle w:val="Normal"/>
              <w:bidi w:val="0"/>
              <w:jc w:val="left"/>
              <w:rPr/>
            </w:pPr>
            <w:r>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convertible preferred stock dividends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from continuing operations attributable to NCR Voyix common stockholders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NCR Voyix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stock options and restricted stock units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diluted shares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(loss) per share:</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From discontinued operations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diluted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2025, the weighted average outstanding shares of common stock were not adjusted by 15.3 million for the as-if converted Series A Convertible Preferred Stock because the effect would be anti-dilutive. Additionally, for 2025, weighted average restricted stock units and stock options of 5.4 million were excluded from the diluted share count because their effect would have been anti-dilutive. Refer to Note 13, “Series A Convertible Preferred Stock”, for additional discussion related to the transaction impacting the Series A Convertible Preferred Stock.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2024, due to the net loss from continuing operations attributable to NCR Voyix common stockholders, potential common shares that would cause dilution, such as Series A Convertible Preferred Stock, restricted stock units and stock options,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excluded from the diluted share count because their effect would have been anti-dilutive. The weighted average outstanding shares of common stock were not adjusted by 15.9 million for the as-if converted Series A Convertible Preferred Stock because the effect would be anti-dilutive. Additionally, for 2024, weighted average restricted stock units and stock options of 10.1 million were excluded from the diluted share count because their effect would have been anti-dilutive.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2023, due to the net loss from continuing operations attributable to NCR Voyix common stockholders, potential common shares that would cause dilution, such as Series A Convertible Preferred Stock, restricted stock units and stock options, were excluded from the diluted share count because their effect would have been anti-dilutive. The weighted average outstanding shares of common stock were not adjusted by 10.6 million for the as-if converted Series A Convertible Preferred Stock because the effect would have been anti-dilutive. Additionally, for 2023, weighted average restricted stock units and stock options of 12.1 million were excluded from the diluted share count because their effect would have been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15. DERIVATIVES AND HEDGING INSTRUMENTS</w:t>
      </w:r>
      <w:r>
        <w:rPr>
          <w:color w:val="7ACE05"/>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certain risks arising from both our business operations and economic conditions. We principally manage exposures to a wide variety of business and operational risk through management of core business activities.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Interest Rate Risk </w:t>
      </w:r>
      <w:r>
        <w:rPr>
          <w:rFonts w:ascii="Times New Roman;serif" w:hAnsi="Times New Roman;serif"/>
          <w:b w:val="false"/>
          <w:color w:val="000000"/>
          <w:sz w:val="20"/>
        </w:rPr>
        <w:t xml:space="preserve">We manage interest rate risk by managing the amount, sources and duration of debt funding. The Company has historically used interest rate cap agreements or interest rate swap contracts (“Interest Rate Derivatives”) to manage differences in the amount, timing and duration of known or expected cash payments related to its floating rate-debt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designates Interest Rate Derivative contracts as cash flow hedges of forecasted transactions when they are determined to be highly effective at inception. Payments and receipts related to Interest Rate Derivatives are included in cash flows from operating activities in the Consolidated Statements of Cash Flows.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Foreign Currency Exchange Risk</w:t>
      </w:r>
      <w:r>
        <w:rPr>
          <w:color w:val="000000"/>
        </w:rPr>
        <w:t xml:space="preserve"> </w:t>
      </w:r>
      <w:r>
        <w:rPr>
          <w:rFonts w:ascii="Times New Roman;serif" w:hAnsi="Times New Roman;serif"/>
          <w:b w:val="false"/>
          <w:color w:val="000000"/>
          <w:sz w:val="20"/>
        </w:rPr>
        <w:t>A portion of our operations and revenue occur outside the United States and, as such, the Company has exposure to approximately 25 functional currencies. Our results can be significantly impacted, both positively and negatively, by changes in foreign currency exchange rates. The Company seeks to mitigate such impact by hedging its foreign currency transaction exposure using foreign currency forward and option contracts. We do not enter into hedges for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our risk management strategy included hedging, on behalf of certain subsidiaries, a portion of our forecasted, non-functional currency denominated cash flows for a period of up to 15 months. If the hedge was designated as a highly effective cash flow hedge, the gains or losses were deferred into accumulated other comprehensive income (“AOCI”). The gains or losses from derivative contracts that were designated as highly effective cash flow hedges related to inventory purchases were recorded in cost of products when the inventory is sold to an unrelated third party. Otherwise, they were recorded in earnings when the exchange rates change. As of December 31, 2025 and 2024, the balance in AOCI related to foreign exchange derivative transactions was zero.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accounting guidance for derivatives and hedging requires companies to recognize all derivative instruments as either assets or liabilities at fair value in the Consolidated Balance Sheets. The Company designates foreign exchange contracts as cash flow hedges of forecasted transactions when they are determined to be highly effective at inception.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September 30, 2023, it was determined that the transactions underlying the unrealized gains on terminated interest rate swap agreement for the previous credit facility reported in Accumulated other comprehensive income were probable of not occurring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As such, $18 million of unrealized gains were recognized in Interest Expense in the Consolidated Statements of Operations for the year ended </w:t>
      </w:r>
      <w:r>
        <w:rPr>
          <w:rFonts w:ascii="Times New Roman;serif" w:hAnsi="Times New Roman;serif"/>
          <w:b w:val="false"/>
          <w:color w:val="000000"/>
          <w:sz w:val="20"/>
        </w:rPr>
        <w:t>December 31, 2023.</w:t>
      </w:r>
      <w:r>
        <w:rPr>
          <w:color w:val="000000"/>
          <w:shd w:fill="FFFFFF" w:val="clear"/>
        </w:rPr>
        <w:t xml:space="preserve"> </w:t>
      </w:r>
      <w:r>
        <w:rPr>
          <w:rFonts w:ascii="Times New Roman;serif" w:hAnsi="Times New Roman;serif"/>
          <w:b w:val="false"/>
          <w:color w:val="000000"/>
          <w:sz w:val="20"/>
        </w:rPr>
        <w:t xml:space="preserve">As of December 31, 2025 and December 31, 2024, the balance in AOCI related to Interest Rate Derivatives was zero.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on the location and amounts of derivative fair values in the Consolidated Balance Sheets:</w:t>
      </w:r>
    </w:p>
    <w:tbl>
      <w:tblPr>
        <w:tblW w:w="10205" w:type="dxa"/>
        <w:jc w:val="left"/>
        <w:tblInd w:w="0" w:type="dxa"/>
        <w:tblLayout w:type="fixed"/>
        <w:tblCellMar>
          <w:top w:w="28" w:type="dxa"/>
          <w:left w:w="28" w:type="dxa"/>
          <w:bottom w:w="28" w:type="dxa"/>
          <w:right w:w="28" w:type="dxa"/>
        </w:tblCellMar>
      </w:tblPr>
      <w:tblGrid>
        <w:gridCol w:w="883"/>
        <w:gridCol w:w="775"/>
        <w:gridCol w:w="782"/>
        <w:gridCol w:w="554"/>
        <w:gridCol w:w="554"/>
        <w:gridCol w:w="556"/>
        <w:gridCol w:w="109"/>
        <w:gridCol w:w="109"/>
        <w:gridCol w:w="109"/>
        <w:gridCol w:w="223"/>
        <w:gridCol w:w="397"/>
        <w:gridCol w:w="116"/>
        <w:gridCol w:w="109"/>
        <w:gridCol w:w="109"/>
        <w:gridCol w:w="109"/>
        <w:gridCol w:w="211"/>
        <w:gridCol w:w="406"/>
        <w:gridCol w:w="109"/>
        <w:gridCol w:w="109"/>
        <w:gridCol w:w="109"/>
        <w:gridCol w:w="109"/>
        <w:gridCol w:w="475"/>
        <w:gridCol w:w="475"/>
        <w:gridCol w:w="477"/>
        <w:gridCol w:w="109"/>
        <w:gridCol w:w="109"/>
        <w:gridCol w:w="109"/>
        <w:gridCol w:w="211"/>
        <w:gridCol w:w="481"/>
        <w:gridCol w:w="109"/>
        <w:gridCol w:w="109"/>
        <w:gridCol w:w="109"/>
        <w:gridCol w:w="109"/>
        <w:gridCol w:w="211"/>
        <w:gridCol w:w="406"/>
        <w:gridCol w:w="159"/>
      </w:tblGrid>
      <w:tr>
        <w:trPr/>
        <w:tc>
          <w:tcPr>
            <w:tcW w:w="88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Values of Derivative Instruments</w:t>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Balance Sheet</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Balance Sheet</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not designated as hedging instruments</w:t>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6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Values of Derivative Instruments</w:t>
            </w:r>
          </w:p>
        </w:tc>
      </w:tr>
      <w:tr>
        <w:trPr/>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6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Balance Sheet</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Balance Sheet</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not designated as hedging instruments</w:t>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6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effects of derivative instruments on the Consolidated Statements of Operations for the years ended December 31, 2025, 2024, and 2023 were as follows:</w:t>
      </w:r>
    </w:p>
    <w:tbl>
      <w:tblPr>
        <w:tblW w:w="10205" w:type="dxa"/>
        <w:jc w:val="left"/>
        <w:tblInd w:w="0" w:type="dxa"/>
        <w:tblLayout w:type="fixed"/>
        <w:tblCellMar>
          <w:top w:w="28" w:type="dxa"/>
          <w:left w:w="28" w:type="dxa"/>
          <w:bottom w:w="28" w:type="dxa"/>
          <w:right w:w="28" w:type="dxa"/>
        </w:tblCellMar>
      </w:tblPr>
      <w:tblGrid>
        <w:gridCol w:w="674"/>
        <w:gridCol w:w="592"/>
        <w:gridCol w:w="597"/>
        <w:gridCol w:w="866"/>
        <w:gridCol w:w="866"/>
        <w:gridCol w:w="869"/>
        <w:gridCol w:w="109"/>
        <w:gridCol w:w="109"/>
        <w:gridCol w:w="109"/>
        <w:gridCol w:w="651"/>
        <w:gridCol w:w="581"/>
        <w:gridCol w:w="247"/>
        <w:gridCol w:w="154"/>
        <w:gridCol w:w="154"/>
        <w:gridCol w:w="154"/>
        <w:gridCol w:w="602"/>
        <w:gridCol w:w="650"/>
        <w:gridCol w:w="227"/>
        <w:gridCol w:w="154"/>
        <w:gridCol w:w="154"/>
        <w:gridCol w:w="154"/>
        <w:gridCol w:w="587"/>
        <w:gridCol w:w="627"/>
        <w:gridCol w:w="318"/>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the Consolidated Statements of Operations</w:t>
            </w:r>
          </w:p>
        </w:tc>
      </w:tr>
      <w:tr>
        <w:trPr/>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(Loss) Recognized in the Consolidated Statements of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2023</w:t>
            </w:r>
          </w:p>
        </w:tc>
      </w:tr>
      <w:tr>
        <w:trPr/>
        <w:tc>
          <w:tcPr>
            <w:tcW w:w="1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vAlign w:val="center"/>
          </w:tcPr>
          <w:p>
            <w:pPr>
              <w:pStyle w:val="TableContents"/>
              <w:bidi w:val="0"/>
              <w:spacing w:before="0" w:after="283"/>
              <w:jc w:val="left"/>
              <w:rPr>
                <w:sz w:val="4"/>
                <w:szCs w:val="4"/>
              </w:rPr>
            </w:pPr>
            <w:r>
              <w:rPr>
                <w:sz w:val="4"/>
                <w:szCs w:val="4"/>
              </w:rPr>
            </w:r>
          </w:p>
        </w:tc>
        <w:tc>
          <w:tcPr>
            <w:tcW w:w="2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bl>
    <w:tbl>
      <w:tblPr>
        <w:tblW w:w="43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Company is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Consolidated Balance Sheets. Exposure to credit risk is managed through credit approvals, credit limits, selecting major international financial institutions as counterparties to hedging transactions and monitoring procedures. The Company’s business often involves large transactions with customers, and if one or more of those customers were to default on its obligations under applicable contractual arrangements, the Company could be exposed to potentially significant losses. However, management believes that the reserves for potential losses are adequate. As of December 31, 2025 and 2024, the Company did not have any major concentration of credit risk related to financial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16. ACCUMULATED OTHER COMPREHENSIVE INCOME</w:t>
      </w:r>
      <w:r>
        <w:rPr>
          <w:color w:val="7ACE05"/>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Changes in Accumulated Other Comprehensive Income (</w:t>
      </w:r>
      <w:r>
        <w:rPr>
          <w:color w:val="000000"/>
        </w:rPr>
        <w:t>“</w:t>
      </w:r>
      <w:r>
        <w:rPr>
          <w:rFonts w:ascii="Times New Roman;serif" w:hAnsi="Times New Roman;serif"/>
          <w:b w:val="false"/>
          <w:color w:val="000000"/>
          <w:sz w:val="20"/>
        </w:rPr>
        <w:t>AOCI”</w:t>
      </w:r>
      <w:r>
        <w:rPr>
          <w:rFonts w:ascii="Times New Roman;serif" w:hAnsi="Times New Roman;serif"/>
          <w:b/>
          <w:color w:val="000000"/>
          <w:sz w:val="20"/>
        </w:rPr>
        <w:t>) by Component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AOCI for the years ended December 31 are as follows:</w:t>
      </w:r>
    </w:p>
    <w:tbl>
      <w:tblPr>
        <w:tblW w:w="10205" w:type="dxa"/>
        <w:jc w:val="center"/>
        <w:tblInd w:w="0" w:type="dxa"/>
        <w:tblLayout w:type="fixed"/>
        <w:tblCellMar>
          <w:top w:w="28" w:type="dxa"/>
          <w:left w:w="28" w:type="dxa"/>
          <w:bottom w:w="28" w:type="dxa"/>
          <w:right w:w="28" w:type="dxa"/>
        </w:tblCellMar>
      </w:tblPr>
      <w:tblGrid>
        <w:gridCol w:w="1230"/>
        <w:gridCol w:w="831"/>
        <w:gridCol w:w="837"/>
        <w:gridCol w:w="446"/>
        <w:gridCol w:w="1019"/>
        <w:gridCol w:w="230"/>
        <w:gridCol w:w="109"/>
        <w:gridCol w:w="109"/>
        <w:gridCol w:w="109"/>
        <w:gridCol w:w="567"/>
        <w:gridCol w:w="728"/>
        <w:gridCol w:w="296"/>
        <w:gridCol w:w="109"/>
        <w:gridCol w:w="109"/>
        <w:gridCol w:w="109"/>
        <w:gridCol w:w="569"/>
        <w:gridCol w:w="1299"/>
        <w:gridCol w:w="294"/>
        <w:gridCol w:w="109"/>
        <w:gridCol w:w="109"/>
        <w:gridCol w:w="109"/>
        <w:gridCol w:w="211"/>
        <w:gridCol w:w="506"/>
        <w:gridCol w:w="161"/>
      </w:tblGrid>
      <w:tr>
        <w:trPr/>
        <w:tc>
          <w:tcPr>
            <w:tcW w:w="123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Changes in Employee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Changes in Fair Value of Effective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(404)</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4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4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Spin-Off of NCR Atleos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(424)</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4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4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Spin-Off of NCR Atleos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(468)</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4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4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Spin-Off of NCR Atleos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(445)</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Reclassifications Out of AOCI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reclassifications out of AOCI for the year ended December 31, 2025. The reclassifications out of AOCI for the years ended December 31 2024 and 2023 are as follows: </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92"/>
        <w:gridCol w:w="433"/>
        <w:gridCol w:w="433"/>
        <w:gridCol w:w="1052"/>
        <w:gridCol w:w="718"/>
        <w:gridCol w:w="666"/>
        <w:gridCol w:w="424"/>
        <w:gridCol w:w="818"/>
        <w:gridCol w:w="221"/>
        <w:gridCol w:w="109"/>
        <w:gridCol w:w="109"/>
        <w:gridCol w:w="109"/>
        <w:gridCol w:w="534"/>
        <w:gridCol w:w="1029"/>
        <w:gridCol w:w="277"/>
        <w:gridCol w:w="109"/>
        <w:gridCol w:w="109"/>
        <w:gridCol w:w="109"/>
        <w:gridCol w:w="391"/>
        <w:gridCol w:w="752"/>
        <w:gridCol w:w="204"/>
        <w:gridCol w:w="109"/>
        <w:gridCol w:w="109"/>
        <w:gridCol w:w="109"/>
        <w:gridCol w:w="211"/>
        <w:gridCol w:w="406"/>
        <w:gridCol w:w="163"/>
      </w:tblGrid>
      <w:tr>
        <w:trPr/>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2024</w:t>
            </w:r>
          </w:p>
        </w:tc>
      </w:tr>
      <w:tr>
        <w:trPr/>
        <w:tc>
          <w:tcPr>
            <w:tcW w:w="37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Actuarial Losses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of Prior Service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Affected line in Consolidated Statement of Operations:</w:t>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4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reclassifications, net of tax</w:t>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91"/>
        <w:gridCol w:w="432"/>
        <w:gridCol w:w="432"/>
        <w:gridCol w:w="1052"/>
        <w:gridCol w:w="717"/>
        <w:gridCol w:w="664"/>
        <w:gridCol w:w="423"/>
        <w:gridCol w:w="817"/>
        <w:gridCol w:w="221"/>
        <w:gridCol w:w="109"/>
        <w:gridCol w:w="109"/>
        <w:gridCol w:w="109"/>
        <w:gridCol w:w="534"/>
        <w:gridCol w:w="1027"/>
        <w:gridCol w:w="277"/>
        <w:gridCol w:w="109"/>
        <w:gridCol w:w="109"/>
        <w:gridCol w:w="109"/>
        <w:gridCol w:w="376"/>
        <w:gridCol w:w="775"/>
        <w:gridCol w:w="194"/>
        <w:gridCol w:w="109"/>
        <w:gridCol w:w="109"/>
        <w:gridCol w:w="109"/>
        <w:gridCol w:w="211"/>
        <w:gridCol w:w="418"/>
        <w:gridCol w:w="163"/>
      </w:tblGrid>
      <w:tr>
        <w:trPr/>
        <w:tc>
          <w:tcPr>
            <w:tcW w:w="4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2023</w:t>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Actuarial Losses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of Prior Service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8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Affected line in Consolidated Statement of Operations:</w:t>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reclassifications, net of tax</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17. SUPPLEMENTAL FINANCIAL INFORMATION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Other income (expense), net are summarized as follows for the years ended December 31:</w:t>
      </w:r>
    </w:p>
    <w:tbl>
      <w:tblPr>
        <w:tblW w:w="8228" w:type="dxa"/>
        <w:jc w:val="left"/>
        <w:tblInd w:w="0" w:type="dxa"/>
        <w:tblLayout w:type="fixed"/>
        <w:tblCellMar>
          <w:top w:w="28" w:type="dxa"/>
          <w:left w:w="28" w:type="dxa"/>
          <w:bottom w:w="28" w:type="dxa"/>
          <w:right w:w="28" w:type="dxa"/>
        </w:tblCellMar>
      </w:tblPr>
      <w:tblGrid>
        <w:gridCol w:w="1846"/>
        <w:gridCol w:w="1618"/>
        <w:gridCol w:w="1635"/>
        <w:gridCol w:w="109"/>
        <w:gridCol w:w="109"/>
        <w:gridCol w:w="109"/>
        <w:gridCol w:w="211"/>
        <w:gridCol w:w="271"/>
        <w:gridCol w:w="109"/>
        <w:gridCol w:w="109"/>
        <w:gridCol w:w="109"/>
        <w:gridCol w:w="109"/>
        <w:gridCol w:w="211"/>
        <w:gridCol w:w="436"/>
        <w:gridCol w:w="109"/>
        <w:gridCol w:w="109"/>
        <w:gridCol w:w="109"/>
        <w:gridCol w:w="109"/>
        <w:gridCol w:w="211"/>
        <w:gridCol w:w="436"/>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fluctuations and 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Employee benefit plans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For the year ended December 31, 2025, the actuarial gain related to the remeasurement of our pension plan assets and liabilities was $13 million. For the year ended December 31, 2024, the actuarial gain related to the remeasurement of our pension plan assets and liabilities was $12 million. For the year ended December 31, 2023, the actuarial loss related to the remeasurement of our pension plan assets and liabilities was $7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inventory are summarized as follows:</w:t>
      </w:r>
    </w:p>
    <w:tbl>
      <w:tblPr>
        <w:tblW w:w="6252" w:type="dxa"/>
        <w:jc w:val="center"/>
        <w:tblInd w:w="0" w:type="dxa"/>
        <w:tblLayout w:type="fixed"/>
        <w:tblCellMar>
          <w:top w:w="28" w:type="dxa"/>
          <w:left w:w="28" w:type="dxa"/>
          <w:bottom w:w="28" w:type="dxa"/>
          <w:right w:w="28" w:type="dxa"/>
        </w:tblCellMar>
      </w:tblPr>
      <w:tblGrid>
        <w:gridCol w:w="1042"/>
        <w:gridCol w:w="914"/>
        <w:gridCol w:w="924"/>
        <w:gridCol w:w="394"/>
        <w:gridCol w:w="901"/>
        <w:gridCol w:w="205"/>
        <w:gridCol w:w="109"/>
        <w:gridCol w:w="109"/>
        <w:gridCol w:w="109"/>
        <w:gridCol w:w="392"/>
        <w:gridCol w:w="866"/>
        <w:gridCol w:w="287"/>
      </w:tblGrid>
      <w:tr>
        <w:trPr/>
        <w:tc>
          <w:tcPr>
            <w:tcW w:w="10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 and raw materials</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parts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property, plant and equipment, net are summarized as follows:</w:t>
      </w:r>
    </w:p>
    <w:tbl>
      <w:tblPr>
        <w:tblW w:w="6911" w:type="dxa"/>
        <w:jc w:val="center"/>
        <w:tblInd w:w="0" w:type="dxa"/>
        <w:tblLayout w:type="fixed"/>
        <w:tblCellMar>
          <w:top w:w="28" w:type="dxa"/>
          <w:left w:w="28" w:type="dxa"/>
          <w:bottom w:w="28" w:type="dxa"/>
          <w:right w:w="28" w:type="dxa"/>
        </w:tblCellMar>
      </w:tblPr>
      <w:tblGrid>
        <w:gridCol w:w="1282"/>
        <w:gridCol w:w="1121"/>
        <w:gridCol w:w="1136"/>
        <w:gridCol w:w="394"/>
        <w:gridCol w:w="901"/>
        <w:gridCol w:w="205"/>
        <w:gridCol w:w="109"/>
        <w:gridCol w:w="109"/>
        <w:gridCol w:w="109"/>
        <w:gridCol w:w="392"/>
        <w:gridCol w:w="866"/>
        <w:gridCol w:w="287"/>
      </w:tblGrid>
      <w:tr>
        <w:trPr/>
        <w:tc>
          <w:tcPr>
            <w:tcW w:w="128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other equipment</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807</w:t>
            </w: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property, plant and equipment, net</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disclosure controls and procedures (as defined in Rules 13a-15(e) and 15d-15(e) of the Securities Exchange Act of 1934, as amended (the Exchange Act)). The Company’s management carried out an evaluation, under the supervision and with the participation of its Chief Executive and Chief Financial Officers, of the effectiveness of the design and operation of the Company’s disclosure controls and procedures as of December 31, 2025. Based on this evaluation, the Company’s Chief Executive and Chief Financial Officers have concluded that the Company’s disclosure controls and procedures were effective as of December 31, 2025 to provide reasonable assurance that the information required to be disclosed by the Company in reports that it files or submits under the Exchange Act is (i) recorded, processed, summarized and reported within the time periods specified in the SEC rules and forms and (ii) accumulated and communicated to management, including the Company’s Chief Executive and Chief Financial Officers,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Management assessed, under the supervision and with the participation of the Company’s Chief Executive and Chief Financial Officers, the effectiveness of the Company’s internal control over financial reporting as of December 31, 2025. In making this assessment, management used the criteria set forth by the Committee of Sponsoring Organizations of the Treadway Commission (COSO) in the 2013 </w:t>
      </w:r>
      <w:r>
        <w:rPr>
          <w:rFonts w:ascii="Times New Roman;serif" w:hAnsi="Times New Roman;serif"/>
          <w:b w:val="false"/>
          <w:i/>
          <w:color w:val="000000"/>
          <w:sz w:val="20"/>
        </w:rPr>
        <w:t>Internal Control-Integrated Framework</w:t>
      </w:r>
      <w:r>
        <w:rPr>
          <w:rFonts w:ascii="Times New Roman;serif" w:hAnsi="Times New Roman;serif"/>
          <w:b w:val="false"/>
          <w:color w:val="000000"/>
          <w:sz w:val="20"/>
        </w:rPr>
        <w:t xml:space="preserve">. Based on this assessment, management, including the Company’s Chief Executive and Chief Financial Officers, concluded that the Company’s internal control over financial reporting was effective as of December 31, 2025 based on those criteria.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PricewaterhouseCoopers LLP, our independent registered public accounting firm, has audited the effectiveness of our internal control over financial reporting as of December 31, 2025 as stated in their report which appears in Item 8 of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that occurred during the three months ended December 31, 2025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Adoption or Termination of 10b5-1 Trading Plans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December 31, 2024, no director or officer of the Company adopted or terminated a “Rule 10b5-1 trading arrangement” or “non-Rule 10b5-1 trading arrangement,” as each term is defined in Item 408(a) of the SEC’s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set forth below, the information required by this Item 10 is incorporated herein by reference to the Company’s Proxy Statement for the 2026 Annual Meeting of Stockholders to be filed with the SEC within 120 days after the end of our fiscal 2025 year (“2026 Proxy Statement”).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Code of Conduct that sets the standard for ethics and compliance for all of our directors and employees, including our principal executive officer, our principal financial officer and our principal accounting officer. Our Code of Conduct is available on the Corporate Governance page at our website at http://www.ncrvoyix.com/company/corporate-governance/code-of-conduct under the heading “Code of Conduct.” We intend to satisfy the disclosure requirement under Item 5.05 of Form 8-K regarding an amendment to, or a waiver from, a provision of our Code of Conduct by posting such information on our website at the address and location set forth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adopted an insider trading policy and program applicable to the Company’s directors, officers and employees, as well as the Company itself, that the Company believes is reasonably designed to promote compliance with insider trading laws, rules and regulations and the New York Stock Exchange listing standards. The foregoing summary of the Company’s insider trading policy does not purport to be complete and is qualified in its entirety by reference to the full text thereof attached hereto as Exhibit 19.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incorporate by reference in this Item 11 the information relating to executive and director compensation and the report of the Compensation Committee contained under the headings “Compensation Discussion &amp; Analysis” and “Board and Corporate Governance - Director Compensation” from our 2026 Proxy Statement.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incorporate by reference the information required by this Item 12 under the headings “Security Ownership of Certain Beneficial Owners and Management” and “Equity Compensation Plan Information Table” from our 2026 Proxy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We incorporate by reference in this Item 13 the information regarding certain relationships and related transactions between us and our affiliates and the independence of our directors contained under the headings “Additional Information - Relationships and Related Party Transactions” and “Board and Corporate Governance - Board Independence” from our 2026 Proxy Statement.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We incorporate by reference in this Item 14 the information regarding principal accounting fees and services contained under the heading “Proposal Three: Ratification of Reappointment of Auditors” from our 2026 Proxy Statement.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(a)(1) </w:t>
      </w:r>
      <w:r>
        <w:rPr>
          <w:rFonts w:ascii="Times New Roman;serif" w:hAnsi="Times New Roman;serif"/>
          <w:b w:val="false"/>
          <w:i/>
          <w:color w:val="000000"/>
          <w:sz w:val="20"/>
        </w:rPr>
        <w:t>Financial Statements</w:t>
      </w:r>
      <w:r>
        <w:rPr>
          <w:rFonts w:ascii="Times New Roman;serif" w:hAnsi="Times New Roman;serif"/>
          <w:b w:val="false"/>
          <w:color w:val="000000"/>
          <w:sz w:val="20"/>
        </w:rPr>
        <w:t xml:space="preserve">: The following is an index of the consolidated financial statements of the Company and the Report of Independent Registered Public Accounting Firm filed as part of this Form 10-K: </w:t>
      </w:r>
    </w:p>
    <w:tbl>
      <w:tblPr>
        <w:tblW w:w="10205" w:type="dxa"/>
        <w:jc w:val="center"/>
        <w:tblInd w:w="0" w:type="dxa"/>
        <w:tblLayout w:type="fixed"/>
        <w:tblCellMar>
          <w:top w:w="28" w:type="dxa"/>
          <w:left w:w="28" w:type="dxa"/>
          <w:bottom w:w="28" w:type="dxa"/>
          <w:right w:w="28" w:type="dxa"/>
        </w:tblCellMar>
      </w:tblPr>
      <w:tblGrid>
        <w:gridCol w:w="3126"/>
        <w:gridCol w:w="2718"/>
        <w:gridCol w:w="2734"/>
        <w:gridCol w:w="473"/>
        <w:gridCol w:w="473"/>
        <w:gridCol w:w="681"/>
      </w:tblGrid>
      <w:tr>
        <w:trPr/>
        <w:tc>
          <w:tcPr>
            <w:tcW w:w="3126"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of Form 10-K</w:t>
            </w:r>
          </w:p>
        </w:tc>
      </w:tr>
      <w:tr>
        <w:trPr/>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45">
              <w:r>
                <w:rPr>
                  <w:rStyle w:val="InternetLink"/>
                  <w:rFonts w:ascii="Times New Roman;serif" w:hAnsi="Times New Roman;serif"/>
                  <w:b w:val="false"/>
                  <w:color w:val="0000FF"/>
                  <w:sz w:val="20"/>
                  <w:u w:val="single"/>
                </w:rPr>
                <w:t>Report of Independent Registered Public Accounting Firm</w:t>
              </w:r>
            </w:hyperlink>
          </w:p>
        </w:tc>
        <w:tc>
          <w:tcPr>
            <w:tcW w:w="16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aba24cf4eb4a47831af3d9eaa2f62a_145">
              <w:r>
                <w:rPr>
                  <w:rStyle w:val="InternetLink"/>
                  <w:rFonts w:ascii="Times New Roman;serif" w:hAnsi="Times New Roman;serif"/>
                  <w:b w:val="false"/>
                  <w:color w:val="0000FF"/>
                  <w:sz w:val="20"/>
                  <w:u w:val="single"/>
                </w:rPr>
                <w:t>55</w:t>
              </w:r>
            </w:hyperlink>
          </w:p>
        </w:tc>
      </w:tr>
      <w:tr>
        <w:trPr/>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48">
              <w:r>
                <w:rPr>
                  <w:rStyle w:val="InternetLink"/>
                  <w:rFonts w:ascii="Times New Roman;serif" w:hAnsi="Times New Roman;serif"/>
                  <w:b w:val="false"/>
                  <w:color w:val="0000FF"/>
                  <w:sz w:val="20"/>
                  <w:u w:val="single"/>
                </w:rPr>
                <w:t>Consolidated Statements of Operations for the years ended December 31, 2025, 2024 and 2023</w:t>
              </w:r>
            </w:hyperlink>
          </w:p>
        </w:tc>
        <w:tc>
          <w:tcPr>
            <w:tcW w:w="16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aba24cf4eb4a47831af3d9eaa2f62a_148">
              <w:r>
                <w:rPr>
                  <w:rStyle w:val="InternetLink"/>
                  <w:rFonts w:ascii="Times New Roman;serif" w:hAnsi="Times New Roman;serif"/>
                  <w:b w:val="false"/>
                  <w:color w:val="0000FF"/>
                  <w:sz w:val="20"/>
                  <w:u w:val="single"/>
                </w:rPr>
                <w:t>57</w:t>
              </w:r>
            </w:hyperlink>
          </w:p>
        </w:tc>
      </w:tr>
      <w:tr>
        <w:trPr/>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51">
              <w:r>
                <w:rPr>
                  <w:rStyle w:val="InternetLink"/>
                  <w:rFonts w:ascii="Times New Roman;serif" w:hAnsi="Times New Roman;serif"/>
                  <w:b w:val="false"/>
                  <w:color w:val="0000FF"/>
                  <w:sz w:val="20"/>
                  <w:u w:val="single"/>
                </w:rPr>
                <w:t>Consolidated Statements of Comprehensive Income (Loss) for the years ended December 31, 2025, 2024 and 2023</w:t>
              </w:r>
            </w:hyperlink>
          </w:p>
        </w:tc>
        <w:tc>
          <w:tcPr>
            <w:tcW w:w="16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aba24cf4eb4a47831af3d9eaa2f62a_151">
              <w:r>
                <w:rPr>
                  <w:rStyle w:val="InternetLink"/>
                  <w:rFonts w:ascii="Times New Roman;serif" w:hAnsi="Times New Roman;serif"/>
                  <w:b w:val="false"/>
                  <w:color w:val="0000FF"/>
                  <w:sz w:val="20"/>
                  <w:u w:val="single"/>
                </w:rPr>
                <w:t>58</w:t>
              </w:r>
            </w:hyperlink>
          </w:p>
        </w:tc>
      </w:tr>
      <w:tr>
        <w:trPr/>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54">
              <w:r>
                <w:rPr>
                  <w:rStyle w:val="InternetLink"/>
                  <w:rFonts w:ascii="Times New Roman;serif" w:hAnsi="Times New Roman;serif"/>
                  <w:b w:val="false"/>
                  <w:color w:val="0000FF"/>
                  <w:sz w:val="20"/>
                  <w:u w:val="single"/>
                </w:rPr>
                <w:t>Consolidated Balance Sheets as of December 31, 2025 and 2024</w:t>
              </w:r>
            </w:hyperlink>
          </w:p>
        </w:tc>
        <w:tc>
          <w:tcPr>
            <w:tcW w:w="16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aba24cf4eb4a47831af3d9eaa2f62a_154">
              <w:r>
                <w:rPr>
                  <w:rStyle w:val="InternetLink"/>
                  <w:rFonts w:ascii="Times New Roman;serif" w:hAnsi="Times New Roman;serif"/>
                  <w:b w:val="false"/>
                  <w:color w:val="0000FF"/>
                  <w:sz w:val="20"/>
                  <w:u w:val="single"/>
                </w:rPr>
                <w:t>59</w:t>
              </w:r>
            </w:hyperlink>
          </w:p>
        </w:tc>
      </w:tr>
      <w:tr>
        <w:trPr/>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57">
              <w:r>
                <w:rPr>
                  <w:rStyle w:val="InternetLink"/>
                  <w:rFonts w:ascii="Times New Roman;serif" w:hAnsi="Times New Roman;serif"/>
                  <w:b w:val="false"/>
                  <w:color w:val="0000FF"/>
                  <w:sz w:val="20"/>
                  <w:u w:val="single"/>
                </w:rPr>
                <w:t>Consolidated Statements of Cash Flows for the years ended December 31, 2025, 2024 and 2023</w:t>
              </w:r>
            </w:hyperlink>
          </w:p>
        </w:tc>
        <w:tc>
          <w:tcPr>
            <w:tcW w:w="16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aba24cf4eb4a47831af3d9eaa2f62a_157">
              <w:r>
                <w:rPr>
                  <w:rStyle w:val="InternetLink"/>
                  <w:rFonts w:ascii="Times New Roman;serif" w:hAnsi="Times New Roman;serif"/>
                  <w:b w:val="false"/>
                  <w:color w:val="0000FF"/>
                  <w:sz w:val="20"/>
                  <w:u w:val="single"/>
                </w:rPr>
                <w:t>60</w:t>
              </w:r>
            </w:hyperlink>
          </w:p>
        </w:tc>
      </w:tr>
      <w:tr>
        <w:trPr/>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60">
              <w:r>
                <w:rPr>
                  <w:rStyle w:val="InternetLink"/>
                  <w:rFonts w:ascii="Times New Roman;serif" w:hAnsi="Times New Roman;serif"/>
                  <w:b w:val="false"/>
                  <w:color w:val="0000FF"/>
                  <w:sz w:val="20"/>
                  <w:u w:val="single"/>
                </w:rPr>
                <w:t>Consolidated Statements of Changes in Stockholders</w:t>
              </w:r>
            </w:hyperlink>
            <w:r>
              <w:rPr>
                <w:color w:val="3051F2"/>
                <w:u w:val="single"/>
              </w:rPr>
              <w:t>’</w:t>
            </w:r>
            <w:hyperlink w:anchor="id8aba24cf4eb4a47831af3d9eaa2f62a_160">
              <w:r>
                <w:rPr>
                  <w:rStyle w:val="InternetLink"/>
                  <w:color w:val="0000FF"/>
                  <w:u w:val="single"/>
                </w:rPr>
                <w:t xml:space="preserve"> </w:t>
              </w:r>
            </w:hyperlink>
            <w:hyperlink w:anchor="id8aba24cf4eb4a47831af3d9eaa2f62a_160">
              <w:r>
                <w:rPr>
                  <w:rStyle w:val="InternetLink"/>
                  <w:rFonts w:ascii="Times New Roman;serif" w:hAnsi="Times New Roman;serif"/>
                  <w:b w:val="false"/>
                  <w:color w:val="0000FF"/>
                  <w:sz w:val="20"/>
                  <w:u w:val="single"/>
                </w:rPr>
                <w:t>Equity for the years ended December 31, 2025, 2024 and 2023</w:t>
              </w:r>
            </w:hyperlink>
          </w:p>
        </w:tc>
        <w:tc>
          <w:tcPr>
            <w:tcW w:w="16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aba24cf4eb4a47831af3d9eaa2f62a_160">
              <w:r>
                <w:rPr>
                  <w:rStyle w:val="InternetLink"/>
                  <w:rFonts w:ascii="Times New Roman;serif" w:hAnsi="Times New Roman;serif"/>
                  <w:b w:val="false"/>
                  <w:color w:val="0000FF"/>
                  <w:sz w:val="20"/>
                  <w:u w:val="single"/>
                </w:rPr>
                <w:t>61</w:t>
              </w:r>
            </w:hyperlink>
          </w:p>
        </w:tc>
      </w:tr>
      <w:tr>
        <w:trPr/>
        <w:tc>
          <w:tcPr>
            <w:tcW w:w="85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aba24cf4eb4a47831af3d9eaa2f62a_163">
              <w:r>
                <w:rPr>
                  <w:rStyle w:val="InternetLink"/>
                  <w:rFonts w:ascii="Times New Roman;serif" w:hAnsi="Times New Roman;serif"/>
                  <w:b w:val="false"/>
                  <w:color w:val="0000FF"/>
                  <w:sz w:val="20"/>
                  <w:u w:val="single"/>
                </w:rPr>
                <w:t>Notes to Consolidated Financial Statements</w:t>
              </w:r>
            </w:hyperlink>
          </w:p>
        </w:tc>
        <w:tc>
          <w:tcPr>
            <w:tcW w:w="16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aba24cf4eb4a47831af3d9eaa2f62a_163">
              <w:r>
                <w:rPr>
                  <w:rStyle w:val="InternetLink"/>
                  <w:rFonts w:ascii="Times New Roman;serif" w:hAnsi="Times New Roman;serif"/>
                  <w:b w:val="false"/>
                  <w:color w:val="0000FF"/>
                  <w:sz w:val="20"/>
                  <w:u w:val="single"/>
                </w:rPr>
                <w:t>62</w:t>
              </w:r>
            </w:hyperlink>
          </w:p>
        </w:tc>
      </w:tr>
    </w:tbl>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(2) </w:t>
      </w:r>
      <w:r>
        <w:rPr>
          <w:rFonts w:ascii="Times New Roman;serif" w:hAnsi="Times New Roman;serif"/>
          <w:b w:val="false"/>
          <w:i/>
          <w:color w:val="000000"/>
          <w:sz w:val="20"/>
        </w:rPr>
        <w:t>Financial Statement Schedule</w:t>
      </w:r>
      <w:r>
        <w:rPr>
          <w:rFonts w:ascii="Times New Roman;serif" w:hAnsi="Times New Roman;serif"/>
          <w:b w:val="false"/>
          <w:color w:val="000000"/>
          <w:sz w:val="20"/>
        </w:rPr>
        <w:t xml:space="preserve">: Financial Statement Schedule II—Valuation and Qualifying Accounts for each of the years ended December 31, 2025, 2024 and 2023, respectively, is included in this Form 10-K on page </w:t>
      </w:r>
      <w:hyperlink w:anchor="id8aba24cf4eb4a47831af3d9eaa2f62a_289">
        <w:r>
          <w:rPr>
            <w:rStyle w:val="InternetLink"/>
          </w:rPr>
          <w:t>122</w:t>
        </w:r>
      </w:hyperlink>
      <w:r>
        <w:rPr>
          <w:rFonts w:ascii="Times New Roman;serif" w:hAnsi="Times New Roman;serif"/>
          <w:b w:val="false"/>
          <w:color w:val="000000"/>
          <w:sz w:val="20"/>
        </w:rPr>
        <w:t>. All other financial statement schedules have been omitted as the information is not required under the related instructions or is inapplicable, or because the information required is already included in our consolidated financial statements or related notes.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(3) </w:t>
      </w:r>
      <w:r>
        <w:rPr>
          <w:rFonts w:ascii="Times New Roman;serif" w:hAnsi="Times New Roman;serif"/>
          <w:b w:val="false"/>
          <w:i/>
          <w:color w:val="000000"/>
          <w:sz w:val="20"/>
        </w:rPr>
        <w:t>Exhibits</w:t>
      </w:r>
      <w:r>
        <w:rPr>
          <w:rFonts w:ascii="Times New Roman;serif" w:hAnsi="Times New Roman;serif"/>
          <w:b w:val="false"/>
          <w:color w:val="000000"/>
          <w:sz w:val="20"/>
        </w:rPr>
        <w:t>: See the index of exhibits below for a listing of all exhibits to this Form 10-K. Management contracts and compensatory plans or arrangements required to be filed as an exhibit to this Form 10-K are identified by an asterisk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 The following is an index of all exhibits to this Form 10-K. Exhibits identified in parentheses in the index below, on file with the SEC, are incorporated herein by reference as exhibits hereto. </w:t>
      </w:r>
    </w:p>
    <w:tbl>
      <w:tblPr>
        <w:tblW w:w="10205" w:type="dxa"/>
        <w:jc w:val="left"/>
        <w:tblInd w:w="0" w:type="dxa"/>
        <w:tblLayout w:type="fixed"/>
        <w:tblCellMar>
          <w:top w:w="28" w:type="dxa"/>
          <w:left w:w="28" w:type="dxa"/>
          <w:bottom w:w="28" w:type="dxa"/>
          <w:right w:w="28" w:type="dxa"/>
        </w:tblCellMar>
      </w:tblPr>
      <w:tblGrid>
        <w:gridCol w:w="190"/>
        <w:gridCol w:w="166"/>
        <w:gridCol w:w="170"/>
        <w:gridCol w:w="109"/>
        <w:gridCol w:w="109"/>
        <w:gridCol w:w="109"/>
        <w:gridCol w:w="2810"/>
        <w:gridCol w:w="2707"/>
        <w:gridCol w:w="3835"/>
      </w:tblGrid>
      <w:tr>
        <w:trPr/>
        <w:tc>
          <w:tcPr>
            <w:tcW w:w="1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Separation and Distribution Agreement, dated as of October 16, 2023, by and between NCR Voyix Corporation and NCR Atleos Corporation (Exhibit 2.1 to the Company’s Current Report on Form 8-K filed on October 17, 2023 (the “October 17, 2023 8-K”))</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Purchase Agreement, dated August 5, 2024, by and between NCR Voyix Corporation, Digital First Holdings II LLC and Dragon Buyer, Inc. (Exhibit 10.1 to the Company’s Current Report on Form 8-K filed on August 6, 2024).</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Articles of Amendment to the Articles of Incorporation of NCR Voyix Corporation, dated as of October 16, 2023 (Exhibit 3.1 to the October 17, 2023 8-K)</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Articles of Amendment and Restatement of NCR Corporation (Exhibit 3.1 to the NCR Corporation Quarterly Report on Form 10-Q for the quarter ended June 30, 2019 (the “Second Quarter 2019 Quarterly Report”)).</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By-laws of NCR Voyix Corporation, dated as of October 16, 2023 (Exhibit 3.3 to the October 17, 2023 8-K)</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Common Stock Certificate of NCR Corporation (Exhibit 4.1 to the NCR Corporation Annual Report on Form 10-K for the year ended December 31, 1999).</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Indenture, dated as of August 20, 2020, among NCR Corporation, NCR International, Inc. and Wells Fargo Bank, National Association (Exhibit 4.1 to Current Report on Form 8-K of NCR Corporation dated August 20, 2020 (the “August 20, 2020 Form 8-K”)).</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4.2.1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Supplemental Indenture, dated as of October 14, 2021 (relating to the Indenture dated as of August 20, 2020), among ATM National, LLC, Cardtronics Holdings, LLC, Cardtronics, Inc., Cardtronics USA, Inc., CATM Holdings LLC, NCR Corporation, NCR International, Inc., and Wells Fargo Bank, National Association, as trustee. (Exhibit 4.4.1 to the Annual Report on Form 10-K of NCR Corporation for the year ended December 31, 2021).</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7"/>
        <w:gridCol w:w="200"/>
        <w:gridCol w:w="204"/>
        <w:gridCol w:w="109"/>
        <w:gridCol w:w="109"/>
        <w:gridCol w:w="109"/>
        <w:gridCol w:w="2732"/>
        <w:gridCol w:w="2693"/>
        <w:gridCol w:w="3822"/>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4.2.2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Second Supplemental Indenture, dated as of September 14, 2023, among NCR Corporation, NCR Atleos, LLC, ATM National, LLC, Cardtronics Holdings, LLC, Cardtronics, Inc., Cardtronics USA, Inc., CATM Holdings LLC, NCR International, Inc., and Computershare Trust Company, N.A. (as successor to Wells Fargo Bank, National Association), as trustee, relating to Registrant's 5.000% Notes due 2028 (Exhibit 4.3 to the Company’s Quarterly Report on Form 10-Q for the quarter ended September 30, 2023).</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Indenture, dated as of August 20, 2020, among NCR Corporation, NCR International, Inc. and Wells Fargo Bank, National Association (Exhibit 4.3 to the August 20, 2020 Form 8-K).</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4.3.1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Supplemental Indenture, dated as of October 14, 2021 (relating to the Indenture dated as of August 20, 2020), among ATM National, LLC, Cardtronics Holdings, LLC, Cardtronics, Inc., Cardtronics USA, Inc., CATM Holdings LLC, NCR Corporation, NCR International, Inc., and Wells Fargo Bank, National Association, as trustee. (Exhibit 4.5.1 to Annual Report on Form 10-K of NCR Corporation for the year ended December 31, 2021).</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4.3.2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Second Supplemental Indenture, dated as of September 14, 2023, among NCR Corporation, NCR Atleos, LLC, ATM National, LLC, Cardtronics Holdings, LLC, Cardtronics, Inc., Cardtronics USA, Inc., CATM Holdings LLC, NCR International, Inc., and Computershare Trust Company, N.A. (as successor to Wells Fargo Bank, National Association), as trustee, relating to Registrant's 5.250% Notes due 2030 (Exhibit 4.5 to the Company’s Quarterly Report on Form 10-Q for the quarter ended September 30, 2023).</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April 6, 2021, among NCR Corporation, NCR International, Inc. and U.S. Bank National Association (Exhibit 4.1 to Current Report on Form 8-K of NCR Corporation dated April 6, 2021).</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4.4.1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Supplemental Indenture, dated as of October 14, 2021 (relating to the Indenture dated as of April 6, 2021), among ATM National, LLC, Cardtronics Holdings, LLC, Cardtronics, Inc., Cardtronics USA, Inc., CATM Holdings LLC, NCR International, Inc., and U.S. Bank National Association, as trustee (Exhibit 4.6.1 to the Annual Report on Form 10-K of NCR Corporation for the year ended December 31, 2021).</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4.4.2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Second Supplemental Indenture, dated as of September 14, 2023, among NCR Corporation, NCR Atleos, LLC, ATM National, LLC, Cardtronics Holdings, LLC, Cardtronics, Inc., Cardtronics USA, Inc., CATM Holdings LLC, NCR International, Inc., and Computershare Trust Company, N.A. (as successor to Wells Fargo Bank, National Association), as trustee, relating to Registrant's 5.125% Notes due 2029 (Exhibit 4.4 to the Company’s Quarterly Report on Form 10-Q for the quarter ended September 30, 2023).</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Description of Registrant’s Securities Registered Under Section 12 of the Exchange Act (Exhibit 4.7 to the Annual Report on Form 10-K of NCR Corporation for the year ended December 31, 2021).</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NCR Voyix Corporation 2024 Executive Severance Plan adopted March 13, 2024 (Exhibit 10.1.3 to the Company’s Annual Report on Form 10-K of NCR Corporation for the year ended December 31, 2021).</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NCR Director Compensation Program effective April 23, 2013, as amended effective February 24, 2014 (the “2013 NCR Director Compensation Program”) (Exhibit 10.42 to the Annual Report on Form 10-K of NCR Corporation for the year ended December 31, 2014).*</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"https://www.sec.gov/Archives/edgar/data/70866/000119312516500314/d127170ddef14a.htm" \l "toc127170_53"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10.3</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NCR Employee Stock Purchase Plan, as amended and restated effective January 1, 2017 (Appendix A to the Proxy Statement on Schedule 14A of NCR Corporation for the 2016 Annual Meeting of Stockholders).*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Incremental Revolving Facility Agreement (TLA-2 Conversion), dated as of June 24, 2021, among NCR Corporation, the Foreign Borrowers thereto, the Subsidiary Loan Parties thereto, the Incremental Revolving Lenders thereto, and JPMorgan Chase Bank, N.A., as Administrative Agent, including, as Exhibit A thereto, the Amended Credit Agreement, dated as of June 24, 2021, among NCR Corporation, the Foreign Borrowers party thereto, the Lenders party thereto and JPMorgan Chase Bank, N.A., as Administrative Agent (Exhibit 10.1 to the Current Report on Form 8-K of NCR Corporation dated June 24, 2021 (the “June 24, 2021 Form 8-K”)).</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10.4.1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Fifth Amendment to the Credit Agreement, dated as of December 27, 2022, by and among NCR Corporation, the lenders party thereto and JPMorgan Chase Bank, N.A., as administrative agent. (Exhibit 10.1 to the Current Report on Form 8-K of NCR Corporation dated December 27, 2022)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2"/>
        <w:gridCol w:w="248"/>
        <w:gridCol w:w="251"/>
        <w:gridCol w:w="109"/>
        <w:gridCol w:w="109"/>
        <w:gridCol w:w="109"/>
        <w:gridCol w:w="2866"/>
        <w:gridCol w:w="2579"/>
        <w:gridCol w:w="3652"/>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52"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10.4.2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Reaffirmation Agreement, dated as of June 21, 2021, among NCR Corporation, certain foreign and domestic subsidiaries of NCR Corporation party thereto and JPMorgan Chase Bank, N.A., as Administrative Agent (Exhibit 10.2 to the June 24, 2021 Form 8-K).</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10.4.3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Guarantee and Collateral Agreement, dated as of August 22, 2011, as amended and restated as of January 6, 2014, as further amended and restated as of March 31, 2016, by and among NCR Corporation, the Foreign Borrowers party thereto, the subsidiaries of NCR Corporation identified therein and JPMorgan Chase Bank, N.A., as Administrative Agent (Exhibit 10.2 to the Current Report on Form 8-K of NCR Corporation filed on April 4, 2016).</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10.4.3.1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Supplement No. 1, dated as of September 30, 2021, to the Amended and Restated Guarantee and Collateral Agreement, dated as of August 22, 2011, as amended and restated as of January 6, 2014, as further amended and restated as of March 31, 2016, among NCR Corporation, the Foreign Borrowers from time to time party thereto, the Subsidiary Loan Parties from time to time party thereto and JPMorgan Chase Bank, N.A., as Administrative Agent (Exhibit 10.5 to the Quarterly Report on Form 10-Q of NCR Corporation for the quarter ended September 30, 2021).</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10.4.3.2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Annex A to Credit Agreement dated as of August 22, 2011, as amended and restated as of July 25, 2013, as further amended and restated as of March 31, 2016, among NCR Corporation, the Foreign Borrowers party thereto, the Lenders party thereto and JPMorgan Chase Bank, N.A. (Exhibit 10.1 to the Quarterly Report on Form 10-Q of NCR Corporation for the quarter ended June 30, 2016).</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"https://www.sec.gov/Archives/edgar/data/70866/000119312517087387/d294010ddef14a.htm" \l "toc294010_123"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10.5</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Second Amended and Restated NCR Management Incentive Plan (Appendix A to the NCR Corporation Proxy Statement on Schedule 14A for the NCR Corporation 2017 Annual Meeting of Stockholders (the “2017 Proxy Statement”). *</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"https://www.sec.gov/Archives/edgar/data/70866/000119312517087387/d294010ddef14a.htm" \l "toc294010_126"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10.6</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NCR Corporation 2017 Stock Incentive Plan (the “2017 Stock Incentive Plan”) (Appendix B to the 2017 Proxy Statement). *</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10.6.1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Form of 2019 Stock Option Award Agreement under the 2017 Stock Incentive Plan (Exhibit 10.1 to the Quarterly Report on Form 10-Q of NCR Corporation for the quarter ended March 31, 2019).*</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10.6.2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Form of 2020 Premium-Priced Option Award Agreement under the 2017 Stock Incentive Plan (Exhibit 10.1 to the Quarterly Report on Form 10-Q of NCR Corporation for the quarter ended March 31, 2020).*</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10.6.3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Form of 2020 Director Restricted Stock Unit Grant Statement under the 2017 Stock Incentive Plan (Exhibit 10.1 to the Quarterly Report on Form 10-Q of NCR Corporation for the quarter ended June 30, 2020 ).* </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"https://www.sec.gov/Archives/edgar/data/70866/000119312520071042/d825867ddef14a.htm" \l "toc825867_87"</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10.6.4</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First Amendment to the 2017 Stock Incentive Plan (Appendix A to the Proxy Statement on Schedule 14A of NCR Corporation for the 2020 Annual Meeting of Stockholders).*</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10.6.5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Amendment to the NCR Corporation 2017 Stock Incentive Plan (Appendix A to the Proxy Statement on Schedule 14A of NCR Corporation for the 2023 Annual Meeting of Stockholders).*</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10.6.6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Senior Executive Team 2022 Performance-Based Restricted Stock Unit Award Agreement (With Relative TSR Metric) under the NCR Corporation 2017 Stock Incentive Plan (Exhibit 10.1 to the Quarterly Report on Form 10-Q of NCR Corporation for the quarter ended March 31, 2022).*</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10.6.7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Senior Executive Team 2022 Performance-Based Restricted Stock Unit Award Agreement (with LTI EBITDA and LTI Recurring Revenue Metric) under the NCR Corporation 2017 Stock Incentive Plan (Exhibit 10.9.8 to the Annual Report on Form 10-K of NCR Corporation for the year ended December 31, 2022).*</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10.6.8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Senior Executive Team Qualified Transaction 2023 Performance-Based Restricted Stock Unit Award Agreement (with Relative TSR Metric) under the NCR Corporation 2017 Stock Incentive Plan (Exhibit 10.9.9 to the Annual Report on Form 10-K of NCR Corporation for the year ended December 31, 2022).*</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5"/>
        <w:gridCol w:w="234"/>
        <w:gridCol w:w="237"/>
        <w:gridCol w:w="109"/>
        <w:gridCol w:w="109"/>
        <w:gridCol w:w="109"/>
        <w:gridCol w:w="2676"/>
        <w:gridCol w:w="2676"/>
        <w:gridCol w:w="3790"/>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10.6.9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Senior Executive Team 2023 Performance-Based Restricted Stock Unit Award Agreement (with Relative TSR Metric) under the NCR Corporation 2017 Stock Incentive Plan (Exhibit 10.9.10 to the Annual Report on Form 10-K of NCR Corporation for the year ended December 31, 2022).*</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10.6.10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Senior Executive Team 2024 Time-Based Restricted Stock Unit Award Agreement under the NCR Corporation 2017 Stock Incentive Plan (Exhibit 10.6 to the Quarterly Report on Form 10-Q for the quarter ended June 30,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10.6.11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Senior Executive Team 2024 Performance-Based Restricted Stock Unit Award Agreement under the NCR Corporation 2017 Stock Incentive Plan. *(Exhibit 10.7 to the Quarterly Report on Form 10-Q for the quarter ended June 30,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10.6.12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Executive Chair Performance-Based Restricted Stock Unit Award Agreement under the NCR Corporation 2017 Stock Incentive Plan (November 2024) (Exhibit 10.6.15 to the Company’s Annual Report on Form 10-K for the year ended December 31,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10.6.13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Senior Executive Team Performance-Based Restricted Stock Unit Award Agreement under the NCR Corporation 2017 Stock Incentive Plan (November 2024) (Exhibit 10.6.16 to the Company’s Annual Report on Form 10-K for the year ended December 31,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10.6.14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Executive Chair 2024 Performance-Based Restricted Stock Unit Award Agreement under the NCR Corporation 2017 Stock Incentive Plan (Exhibit 10.3 to the Quarterly Report on Form 10-Q for the quarter ended June 30,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10.6.15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Form of Executive Chair 2024 Time-Based Restricted Stock Unit Award Agreement under the NCR Corporation 2017 Stock Incentive Plan (Exhibit 10.4 to the Quarterly Report on Form 10-Q for the quarter ended June 30,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NCR Director Compensation Program effective May 1, 2017 (Exhibit 10.1 to the Quarterly Report on Form 10-Q of NCR Corporation for the quarter ended September 30, 2017). *</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Employment Agreement, dated September 25, 2023, between David Wilkinson and NCR Corporation (Exhibit 10.17 to the Company’s Quarterly Report on Form 10-Q for the quarter ended September 30, 2023).*</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10.8.1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to Employment Agreement, dated March 13, 2024, between David Wilkinson and NCR Voyix Corporation (Exhibit 10.17.1 to the Annual Report on Form 10-K of NCR Voyix Corporation for the year ended December 31, 2023 (the “2023 Form 10-K”)). *</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Letter Agreement, dated June 9, 2023, between Brian Webb-Walsh and NCR Corporation (Exhibit 10.18 to the 2023 Form 10-K).*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10.9.1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to Letter Agreement, dated March 13, 2024, between Brian Webb-Walsh and NCR Voyix Corporation (Exhibit 10.18.1 to the 2023 Form 10-K).*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Letter Agreement, dated July 26, 2023, between Kelli Sterrett and NCR Corporation (Exhibit 10.19 to the 2023 Form 10-K).*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Letter Agreement, dated October 21, 2016, between Eric Schoch and NCR Corporation (Exhibit 10.21 to the 2023 Form 10-K).*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10.11.1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to Letter Agreement, dated September 15, 2023, between Eric Schoch and NCR Corporation (Exhibit 10.21.1 to the 2023 Form 10-K).*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Management Incentive Plan (Exhibit 10.1 to the Company’s Quarterly Report on Form 10-Q for the quarter ended June 30,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Offer Letter Agreement, dated May 8, 2024, between James G. Kelly and NCR Voyix Corporation (Exhibit 10.2 to the Quarterly Report on Form 10-Q for the quarter ended June 30,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6"/>
        <w:gridCol w:w="233"/>
        <w:gridCol w:w="237"/>
        <w:gridCol w:w="109"/>
        <w:gridCol w:w="109"/>
        <w:gridCol w:w="109"/>
        <w:gridCol w:w="2827"/>
        <w:gridCol w:w="2613"/>
        <w:gridCol w:w="3702"/>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Offer Letter Agreement, dated May 13, 2024, between Anthony Radesca and NCR Voyix Corporation (Exhibit 10.5 to the Company’s Quarterly Report on Form 10-Q for the quarter ended June 30,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Offer Letter, dated February 4, 2025, between the Company and James Kelly (Exhibit 10.1 to the Company’s Current Report on Form 8-K filed on February 5, 2025 (the “February 5, 2025 Form 8-K”).*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Separation Agreement and General Waiver and Release, dated February 4, 2025, between the Company and David Wilkinson (Exhibit 10.2 to the February 5, 2025 Form 8-K).* </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NCR Voyix Director and Officer Form Indemnification Agreement (Exhibit 10.18 to the Annual Report on Form 10-K of NCR Voyix Corporation for the year ended December 31,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Credit Agreement, dated as of September 27, 2023, among NCR Atleos LLC, NCR Atleos Escrow Corporation, the lenders party thereto, any foreign borrower party thereto and Bank of America, N.A., as administrative agent (Exhibit 10.1 to the Company’s Current Report on Form 8-K filed on September 28, 2023).</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Transition Services Agreement, dated as of October 16, 2023, by and between NCR Voyix Corporation and NCR Atleos Corporation (Exhibit 10.1 to the October 17, 2023 8-K)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Tax Matters Agreement, dated as of October 16, 2023, by and between NCR Voyix Corporation and NCR Atleos Corporation (Exhibit 10.2 to the October 17, 2023 8-K)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Employee Matters Agreement, dated as of October 16, 2023, by and between NCR Voyix Corporation and NCR Atleos Corporation (Exhibit 10.3 to the October 17, 2023 8-K)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Patent and Technology Cross-License Agreement, dated as of October 16, 2023, by and between NCR Voyix Corporation and NCR Atleos Corporation (Exhibit 10.4 to the October 17, 2023 8-K)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Trademark License and Use Agreement, dated as of October 16 ,2023, by and between NCR Voyix Corporation and NCR Atleos Corporation (Exhibit 10.5 to the October 17, 2023 8-K)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Master Services Agreement, dated October 16, 2023, by and between NCR Voyix Corporation and Cardtronics USA, Inc. (Exhibit 10.6 to the October 17, 2023 8-K)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Manufacturing Services Agreement, dated October 16, 2023, by and between NCR Voyix Corporation and Terafina Software Solutions Private Limited and NCR Corporation India Private Limited (Exhibit 10.7 to the October 17, 2023 8-K)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Credit Agreement, dated as of October 16, 2023, by and between NCR Voyix Corporation, the foreign borrowers party thereto, the lenders and issuing banks party thereto and Bank of America, N.A., as administrative agent (Exhibit 10.8 to the October 17, 2023 8-K)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Seventh Amendment dated as of August 31, 2023, among NCR Corporation, the lenders party thereto, and JPMorgan Chase Bank, N.A., as administrative agent (Exhibit 10.1 to the Company’s Current Report on Form 8-K filed on September 7, 2023)</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Offer Letter Agreement, dated September 8, 2025, between James Wise and NCR Voyix Corporation (Exhibit 10.1 to the Company’s Quarterly Report on Form 10-Q for the quarter ended September 30, 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9darrenwilsonoff.htm">
              <w:r>
                <w:rPr>
                  <w:rStyle w:val="InternetLink"/>
                  <w:rFonts w:ascii="Times New Roman;serif" w:hAnsi="Times New Roman;serif"/>
                  <w:b w:val="false"/>
                  <w:color w:val="0000FF"/>
                  <w:sz w:val="20"/>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Statement of Terms &amp; Conditions of Employment, executed on November 5, 2024, between Darren Wilson and NCR Voyix Corporation*†</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91amendmenttocon.htm">
              <w:r>
                <w:rPr>
                  <w:rStyle w:val="InternetLink"/>
                  <w:rFonts w:ascii="Times New Roman;serif" w:hAnsi="Times New Roman;serif"/>
                  <w:b w:val="false"/>
                  <w:color w:val="0000FF"/>
                  <w:sz w:val="20"/>
                  <w:u w:val="single"/>
                </w:rPr>
                <w:t>10.29.1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to Employment Contract, dated February 9, 2025, between Darren Wilson and NCR Voyix Corporation*†</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0offerletterbtad.htm">
              <w:r>
                <w:rPr>
                  <w:rStyle w:val="InternetLink"/>
                  <w:rFonts w:ascii="Times New Roman;serif" w:hAnsi="Times New Roman;serif"/>
                  <w:b w:val="false"/>
                  <w:color w:val="0000FF"/>
                  <w:sz w:val="20"/>
                  <w:u w:val="single"/>
                </w:rPr>
                <w:t>10.30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Offer Letter Agreement, dated December 8, 2023, between Beimnet Tadele and NCR Voyix Corporation*†</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ncrvoyixinsidertr.htm">
              <w:r>
                <w:rPr>
                  <w:rStyle w:val="InternetLink"/>
                  <w:rFonts w:ascii="Times New Roman;serif" w:hAnsi="Times New Roman;serif"/>
                  <w:b w:val="false"/>
                  <w:color w:val="0000FF"/>
                  <w:sz w:val="20"/>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NCR Voyix Corporation Insider Trading Policy.</w:t>
            </w: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926"/>
        <w:gridCol w:w="2678"/>
        <w:gridCol w:w="379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subsidiariesofncr.htm">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Subsidiaries of the Registrant.</w:t>
            </w:r>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ofindepen.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Consent of Independent Registered Public Accounting Firm.</w:t>
            </w:r>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sec302ceocert-12.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Certification pursuant to Rule 13a-14(a) and Rule 15d-14(a) of the Securities Exchange Act of 1934.</w:t>
            </w:r>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sec302cfocert-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20"/>
              </w:rPr>
              <w:t>Certification pursuant to Rule 13a-14(a) and Rule 15d-14(a) of the Securities Exchange Act of 1934.</w:t>
            </w:r>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sec906ceoandcfoce.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20"/>
              </w:rPr>
              <w:t>Certification pursuant to 18 U.S.C. Section 1350 as adopted pursuant to Section 906 of the Sarbanes-Oxley Act of 2002.</w:t>
            </w:r>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NCR Voyix Corporation Clawback Policy (Exhibit 97 to the 2023 Form 10-K).</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20"/>
              </w:rPr>
              <w:t>The following materials from NCR Voyix Corporation’s Annual Report on Form 10-K for the year ended December 31, 2025, formatted in iXBRL (Inline Extensible Business Reporting Language): (i) consolidated statements of operations for the fiscal years ended December 31, 2025, 2024 and 2023; (ii) consolidated statements of comprehensive income for the fiscal years ended December 31, 2025, 2024 and 2023; (iii) consolidated balance sheets as of December 31, 2025 and 2024; (iv) consolidated statements of cash flows for the fiscal years ended December 31, 2025, 2024 and 2023; (v) consolidated statements of changes in stockholders’ equity for fiscal years ended December 31, 2025, 2024 and 2023; and (vi) the notes to the consolidated financial statements.</w:t>
            </w:r>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20"/>
              </w:rPr>
              <w:t>Cover Page Interactive Data File, formatted in inline XBRL and contained in Exhibit 101.</w:t>
            </w:r>
            <w:r>
              <w:rPr>
                <w:color w:val="000000"/>
              </w:rPr>
              <w:t>†</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Management contracts or compensatory plans/arrangements.</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18"/>
        </w:rPr>
        <w:t>Filed herewith.</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18"/>
        </w:rPr>
        <w:t>Furnished herewith.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NCR Voyix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II--VALUATION AND QUALIFYING ACCOUNTS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737"/>
        <w:gridCol w:w="627"/>
        <w:gridCol w:w="632"/>
        <w:gridCol w:w="109"/>
        <w:gridCol w:w="109"/>
        <w:gridCol w:w="109"/>
        <w:gridCol w:w="500"/>
        <w:gridCol w:w="500"/>
        <w:gridCol w:w="508"/>
        <w:gridCol w:w="109"/>
        <w:gridCol w:w="109"/>
        <w:gridCol w:w="109"/>
        <w:gridCol w:w="504"/>
        <w:gridCol w:w="504"/>
        <w:gridCol w:w="505"/>
        <w:gridCol w:w="109"/>
        <w:gridCol w:w="109"/>
        <w:gridCol w:w="109"/>
        <w:gridCol w:w="455"/>
        <w:gridCol w:w="455"/>
        <w:gridCol w:w="457"/>
        <w:gridCol w:w="109"/>
        <w:gridCol w:w="109"/>
        <w:gridCol w:w="109"/>
        <w:gridCol w:w="299"/>
        <w:gridCol w:w="299"/>
        <w:gridCol w:w="303"/>
        <w:gridCol w:w="109"/>
        <w:gridCol w:w="109"/>
        <w:gridCol w:w="109"/>
        <w:gridCol w:w="373"/>
        <w:gridCol w:w="373"/>
        <w:gridCol w:w="539"/>
      </w:tblGrid>
      <w:tr>
        <w:trPr/>
        <w:tc>
          <w:tcPr>
            <w:tcW w:w="73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E</w:t>
            </w:r>
          </w:p>
        </w:tc>
      </w:tr>
      <w:tr>
        <w:trPr/>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 to Costs &amp;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 to Other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End of Period</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1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1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 (d)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67"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208"/>
        <w:gridCol w:w="208"/>
        <w:gridCol w:w="208"/>
        <w:gridCol w:w="208"/>
        <w:gridCol w:w="208"/>
        <w:gridCol w:w="208"/>
        <w:gridCol w:w="1161"/>
        <w:gridCol w:w="1161"/>
        <w:gridCol w:w="16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NCR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 Brian Webb-Walsh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Brian Webb-Walsh</w:t>
              <w:br/>
              <w:t>Executive Vice President and Chief Financial Officer</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 indicated.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d8aba24cf4eb4a47831af3d9eaa2f62a_10">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6885" w:type="dxa"/>
        <w:jc w:val="center"/>
        <w:tblInd w:w="0" w:type="dxa"/>
        <w:tblLayout w:type="fixed"/>
        <w:tblCellMar>
          <w:top w:w="28" w:type="dxa"/>
          <w:left w:w="28" w:type="dxa"/>
          <w:bottom w:w="28" w:type="dxa"/>
          <w:right w:w="28" w:type="dxa"/>
        </w:tblCellMar>
      </w:tblPr>
      <w:tblGrid>
        <w:gridCol w:w="200"/>
        <w:gridCol w:w="177"/>
        <w:gridCol w:w="178"/>
        <w:gridCol w:w="629"/>
        <w:gridCol w:w="629"/>
        <w:gridCol w:w="632"/>
        <w:gridCol w:w="1292"/>
        <w:gridCol w:w="1292"/>
        <w:gridCol w:w="185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James Kelly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James Kelly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Webb-Walsh</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Brian Webb-Walsh</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Wise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James Wise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Kevin Reddy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Independent Chair of the Board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Kevin Reddy</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Catherine L. Burke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Catherine L. Burke</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Janet Haugen</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Janet Haugen</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Irv Henderson</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Irv Henderson</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Kirk Larsen</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Kirk Larsen</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Miller</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Laura Miller</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Sen</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Laura Sen</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Sloan</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Jeffrey Sloan</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92" w:before="0" w:after="0"/>
        <w:jc w:val="right"/>
        <w:rPr>
          <w:rFonts w:ascii="Times New Roman;serif" w:hAnsi="Times New Roman;serif"/>
          <w:b/>
          <w:color w:val="000000"/>
          <w:sz w:val="16"/>
        </w:rPr>
      </w:pPr>
      <w:r>
        <w:rPr>
          <w:rFonts w:ascii="Times New Roman;serif" w:hAnsi="Times New Roman;serif"/>
          <w:b/>
          <w:color w:val="000000"/>
          <w:sz w:val="16"/>
        </w:rPr>
        <w:t>Exhibit 10.29</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left"/>
        <w:rPr>
          <w:rFonts w:ascii="Arial;sans-serif" w:hAnsi="Arial;sans-serif"/>
          <w:b/>
          <w:color w:val="1C1C1C"/>
          <w:sz w:val="20"/>
        </w:rPr>
      </w:pPr>
      <w:r>
        <w:rPr>
          <w:rFonts w:ascii="Arial;sans-serif" w:hAnsi="Arial;sans-serif"/>
          <w:b/>
          <w:color w:val="1C1C1C"/>
          <w:sz w:val="20"/>
        </w:rPr>
        <w:t>Statement of Terms &amp; Conditions of Employment</w:t>
      </w:r>
    </w:p>
    <w:p>
      <w:pPr>
        <w:pStyle w:val="TextBody"/>
        <w:bidi w:val="0"/>
        <w:spacing w:before="0" w:after="0"/>
        <w:jc w:val="left"/>
        <w:rPr/>
      </w:pPr>
      <w:r>
        <w:rPr/>
      </w:r>
    </w:p>
    <w:p>
      <w:pPr>
        <w:pStyle w:val="TextBody"/>
        <w:bidi w:val="0"/>
        <w:spacing w:before="56" w:after="283"/>
        <w:jc w:val="left"/>
        <w:rPr/>
      </w:pPr>
      <w:r>
        <w:rPr/>
      </w:r>
    </w:p>
    <w:p>
      <w:pPr>
        <w:pStyle w:val="TextBody"/>
        <w:bidi w:val="0"/>
        <w:spacing w:lineRule="auto" w:line="288" w:before="0" w:after="0"/>
        <w:jc w:val="left"/>
        <w:rPr>
          <w:rFonts w:ascii="Arial;sans-serif" w:hAnsi="Arial;sans-serif"/>
          <w:b/>
          <w:color w:val="1C1C1C"/>
          <w:sz w:val="20"/>
        </w:rPr>
      </w:pPr>
      <w:r>
        <w:rPr>
          <w:rFonts w:ascii="Arial;sans-serif" w:hAnsi="Arial;sans-serif"/>
          <w:b/>
          <w:color w:val="1C1C1C"/>
          <w:sz w:val="20"/>
        </w:rPr>
        <w:t>Duties</w:t>
      </w:r>
    </w:p>
    <w:p>
      <w:pPr>
        <w:pStyle w:val="TextBody"/>
        <w:bidi w:val="0"/>
        <w:spacing w:lineRule="auto" w:line="285" w:before="3" w:after="283"/>
        <w:ind w:left="0" w:right="0" w:hanging="6"/>
        <w:jc w:val="both"/>
        <w:rPr/>
      </w:pPr>
      <w:r>
        <w:rPr>
          <w:rFonts w:ascii="Arial;sans-serif" w:hAnsi="Arial;sans-serif"/>
          <w:b w:val="false"/>
          <w:color w:val="1C1C1C"/>
          <w:sz w:val="20"/>
        </w:rPr>
        <w:t xml:space="preserve">The Contract of Employment is not a job description and may be changed from time to time. You </w:t>
      </w:r>
      <w:r>
        <w:rPr>
          <w:rFonts w:ascii="Arial;sans-serif" w:hAnsi="Arial;sans-serif"/>
          <w:b w:val="false"/>
          <w:color w:val="313131"/>
          <w:sz w:val="20"/>
        </w:rPr>
        <w:t xml:space="preserve">will </w:t>
      </w:r>
      <w:r>
        <w:rPr>
          <w:rFonts w:ascii="Arial;sans-serif" w:hAnsi="Arial;sans-serif"/>
          <w:b w:val="false"/>
          <w:color w:val="1C1C1C"/>
          <w:sz w:val="20"/>
        </w:rPr>
        <w:t>be informed in writing of any change. Your duties are such as may be assigned to you by the Company from time to time and you may be required to observe all reasonable rules and regulations adopted by the Company in connection with the operation of its business and to carry out to the best of your ability all instructions given by the Company</w:t>
      </w:r>
      <w:r>
        <w:rPr>
          <w:rFonts w:ascii="Arial;sans-serif" w:hAnsi="Arial;sans-serif"/>
          <w:b w:val="false"/>
          <w:color w:val="5D5D5D"/>
          <w:sz w:val="20"/>
        </w:rPr>
        <w:t>.</w:t>
      </w:r>
    </w:p>
    <w:p>
      <w:pPr>
        <w:pStyle w:val="TextBody"/>
        <w:bidi w:val="0"/>
        <w:spacing w:before="13" w:after="283"/>
        <w:jc w:val="left"/>
        <w:rPr/>
      </w:pPr>
      <w:r>
        <w:rPr/>
      </w:r>
    </w:p>
    <w:p>
      <w:pPr>
        <w:pStyle w:val="TextBody"/>
        <w:bidi w:val="0"/>
        <w:spacing w:lineRule="auto" w:line="288" w:before="0" w:after="0"/>
        <w:ind w:left="0" w:right="0" w:hanging="1"/>
        <w:jc w:val="both"/>
        <w:rPr>
          <w:rFonts w:ascii="Arial;sans-serif" w:hAnsi="Arial;sans-serif"/>
          <w:b w:val="false"/>
          <w:color w:val="1C1C1C"/>
          <w:sz w:val="20"/>
        </w:rPr>
      </w:pPr>
      <w:r>
        <w:rPr>
          <w:rFonts w:ascii="Arial;sans-serif" w:hAnsi="Arial;sans-serif"/>
          <w:b w:val="false"/>
          <w:color w:val="1C1C1C"/>
          <w:sz w:val="20"/>
        </w:rPr>
        <w:t>The Company shall be entitled to direct that you perform no duties, Limited duties or particular assignments only and to direct that you shall not enter or remain on any (or any specified) premises of the Company and any such direction may be given subject to any condition which the Company in its discretion may determine.</w:t>
      </w:r>
    </w:p>
    <w:p>
      <w:pPr>
        <w:pStyle w:val="TextBody"/>
        <w:bidi w:val="0"/>
        <w:spacing w:before="9" w:after="283"/>
        <w:jc w:val="left"/>
        <w:rPr/>
      </w:pPr>
      <w:r>
        <w:rPr/>
      </w:r>
    </w:p>
    <w:p>
      <w:pPr>
        <w:pStyle w:val="TextBody"/>
        <w:bidi w:val="0"/>
        <w:spacing w:lineRule="auto" w:line="288" w:before="1" w:after="283"/>
        <w:jc w:val="both"/>
        <w:rPr>
          <w:rFonts w:ascii="Arial;sans-serif" w:hAnsi="Arial;sans-serif"/>
          <w:b/>
          <w:color w:val="1C1C1C"/>
          <w:sz w:val="20"/>
        </w:rPr>
      </w:pPr>
      <w:r>
        <w:rPr>
          <w:rFonts w:ascii="Arial;sans-serif" w:hAnsi="Arial;sans-serif"/>
          <w:b/>
          <w:color w:val="1C1C1C"/>
          <w:sz w:val="20"/>
        </w:rPr>
        <w:t>Flexible Benefits</w:t>
      </w:r>
    </w:p>
    <w:p>
      <w:pPr>
        <w:pStyle w:val="TextBody"/>
        <w:bidi w:val="0"/>
        <w:spacing w:lineRule="auto" w:line="283" w:before="12" w:after="283"/>
        <w:ind w:left="0" w:right="0" w:firstLine="3"/>
        <w:jc w:val="both"/>
        <w:rPr/>
      </w:pPr>
      <w:r>
        <w:rPr>
          <w:rFonts w:ascii="Arial;sans-serif" w:hAnsi="Arial;sans-serif"/>
          <w:b w:val="false"/>
          <w:color w:val="1C1C1C"/>
          <w:sz w:val="20"/>
        </w:rPr>
        <w:t xml:space="preserve">The Company operates a programme of flexible benefits, which gives you the opportunity to tailor your individual/overall needs/requirements. The total value of all elements of your compensation will remain the same, but this programme gives you the opportunity to influence the balance of your pay and benefits, and to have more say in which benefits you receive. A summary of </w:t>
      </w:r>
      <w:r>
        <w:rPr>
          <w:rFonts w:ascii="Arial;sans-serif" w:hAnsi="Arial;sans-serif"/>
          <w:b w:val="false"/>
          <w:color w:val="313131"/>
          <w:sz w:val="20"/>
        </w:rPr>
        <w:t xml:space="preserve">"Individual </w:t>
      </w:r>
      <w:r>
        <w:rPr>
          <w:rFonts w:ascii="Arial;sans-serif" w:hAnsi="Arial;sans-serif"/>
          <w:b w:val="false"/>
          <w:color w:val="1C1C1C"/>
          <w:sz w:val="20"/>
        </w:rPr>
        <w:t>Choice", the Company's flexible benefits programme, is enclosed. Full details of the flexible benefit website and how to access the website so you can indicate your choices will be sent to you shortly after joining the Company.</w:t>
      </w:r>
    </w:p>
    <w:p>
      <w:pPr>
        <w:pStyle w:val="TextBody"/>
        <w:bidi w:val="0"/>
        <w:spacing w:before="21" w:after="283"/>
        <w:jc w:val="left"/>
        <w:rPr/>
      </w:pPr>
      <w:r>
        <w:rPr/>
      </w:r>
    </w:p>
    <w:p>
      <w:pPr>
        <w:pStyle w:val="TextBody"/>
        <w:bidi w:val="0"/>
        <w:spacing w:lineRule="auto" w:line="288" w:before="0" w:after="0"/>
        <w:jc w:val="both"/>
        <w:rPr>
          <w:rFonts w:ascii="Arial;sans-serif" w:hAnsi="Arial;sans-serif"/>
          <w:b/>
          <w:color w:val="1C1C1C"/>
          <w:sz w:val="20"/>
        </w:rPr>
      </w:pPr>
      <w:r>
        <w:rPr>
          <w:rFonts w:ascii="Arial;sans-serif" w:hAnsi="Arial;sans-serif"/>
          <w:b/>
          <w:color w:val="1C1C1C"/>
          <w:sz w:val="20"/>
        </w:rPr>
        <w:t>Master Trust Pension Plan</w:t>
      </w:r>
    </w:p>
    <w:p>
      <w:pPr>
        <w:pStyle w:val="TextBody"/>
        <w:bidi w:val="0"/>
        <w:spacing w:lineRule="auto" w:line="297" w:before="32" w:after="283"/>
        <w:ind w:left="0" w:right="0" w:firstLine="6"/>
        <w:jc w:val="both"/>
        <w:rPr/>
      </w:pPr>
      <w:r>
        <w:rPr>
          <w:rFonts w:ascii="Arial;sans-serif" w:hAnsi="Arial;sans-serif"/>
          <w:b w:val="false"/>
          <w:color w:val="1C1C1C"/>
          <w:sz w:val="20"/>
        </w:rPr>
        <w:t xml:space="preserve">You have already opted out of the NCR VOYIX Master Trust Defined Contribution Plan and you acknowledge that you therefore have no right to pension contributions from the Company. In Lieu of contributing to The NCR VOYIX Master Trust Defined Contribution Pension Plan the company will pay an annual non-bonus accruing allowance equal to GBP £17,500. Or 5% of base salary, which shall be paid on a current monthly basis, </w:t>
      </w:r>
      <w:r>
        <w:rPr>
          <w:rFonts w:ascii="Arial;sans-serif" w:hAnsi="Arial;sans-serif"/>
          <w:b w:val="false"/>
          <w:i/>
          <w:color w:val="1C1C1C"/>
          <w:sz w:val="20"/>
        </w:rPr>
        <w:t xml:space="preserve">i.e., </w:t>
      </w:r>
      <w:r>
        <w:rPr>
          <w:rFonts w:ascii="Arial;sans-serif" w:hAnsi="Arial;sans-serif"/>
          <w:b w:val="false"/>
          <w:color w:val="1C1C1C"/>
          <w:sz w:val="20"/>
        </w:rPr>
        <w:t>a monthly allowance of £1458.33 subject to</w:t>
      </w:r>
    </w:p>
    <w:p>
      <w:pPr>
        <w:pStyle w:val="TextBody"/>
        <w:bidi w:val="0"/>
        <w:spacing w:lineRule="atLeast" w:line="220" w:before="0" w:after="0"/>
        <w:jc w:val="both"/>
        <w:rPr>
          <w:rFonts w:ascii="Arial;sans-serif" w:hAnsi="Arial;sans-serif"/>
          <w:b w:val="false"/>
          <w:color w:val="1C1C1C"/>
          <w:sz w:val="20"/>
        </w:rPr>
      </w:pPr>
      <w:r>
        <w:rPr>
          <w:rFonts w:ascii="Arial;sans-serif" w:hAnsi="Arial;sans-serif"/>
          <w:b w:val="false"/>
          <w:color w:val="1C1C1C"/>
          <w:sz w:val="20"/>
        </w:rPr>
        <w:t>necessary deductions for income tax and national insurance.</w:t>
      </w:r>
    </w:p>
    <w:p>
      <w:pPr>
        <w:pStyle w:val="TextBody"/>
        <w:bidi w:val="0"/>
        <w:spacing w:before="0" w:after="0"/>
        <w:jc w:val="left"/>
        <w:rPr/>
      </w:pPr>
      <w:r>
        <w:rPr/>
      </w:r>
    </w:p>
    <w:p>
      <w:pPr>
        <w:pStyle w:val="TextBody"/>
        <w:bidi w:val="0"/>
        <w:spacing w:before="21" w:after="283"/>
        <w:jc w:val="left"/>
        <w:rPr/>
      </w:pPr>
      <w:r>
        <w:rPr/>
      </w:r>
    </w:p>
    <w:p>
      <w:pPr>
        <w:pStyle w:val="TextBody"/>
        <w:bidi w:val="0"/>
        <w:spacing w:lineRule="auto" w:line="288" w:before="0" w:after="0"/>
        <w:jc w:val="both"/>
        <w:rPr>
          <w:rFonts w:ascii="Arial;sans-serif" w:hAnsi="Arial;sans-serif"/>
          <w:b/>
          <w:color w:val="1C1C1C"/>
          <w:sz w:val="20"/>
        </w:rPr>
      </w:pPr>
      <w:r>
        <w:rPr>
          <w:rFonts w:ascii="Arial;sans-serif" w:hAnsi="Arial;sans-serif"/>
          <w:b/>
          <w:color w:val="1C1C1C"/>
          <w:sz w:val="20"/>
        </w:rPr>
        <w:t>Annual Performance Assessment</w:t>
      </w:r>
    </w:p>
    <w:p>
      <w:pPr>
        <w:pStyle w:val="TextBody"/>
        <w:bidi w:val="0"/>
        <w:spacing w:lineRule="auto" w:line="283" w:before="12" w:after="283"/>
        <w:ind w:left="0" w:right="0" w:firstLine="7"/>
        <w:jc w:val="both"/>
        <w:rPr>
          <w:rFonts w:ascii="Arial;sans-serif" w:hAnsi="Arial;sans-serif"/>
          <w:b w:val="false"/>
          <w:color w:val="1C1C1C"/>
          <w:sz w:val="20"/>
        </w:rPr>
      </w:pPr>
      <w:r>
        <w:rPr>
          <w:rFonts w:ascii="Arial;sans-serif" w:hAnsi="Arial;sans-serif"/>
          <w:b w:val="false"/>
          <w:color w:val="1C1C1C"/>
          <w:sz w:val="20"/>
        </w:rPr>
        <w:t>Your annual performance and compensation, including any future equity awards, will be assessed and determined in the first quarter of each year. Please note performance reviews do not guarantee compensation increases. Equity awards are discretionary, are administered by the U.S. publicly traded parent company and are subject in all cases to parent company board of directors compensation committee approval.</w:t>
      </w:r>
    </w:p>
    <w:p>
      <w:pPr>
        <w:pStyle w:val="TextBody"/>
        <w:bidi w:val="0"/>
        <w:spacing w:before="20" w:after="283"/>
        <w:jc w:val="left"/>
        <w:rPr/>
      </w:pPr>
      <w:r>
        <w:rPr/>
      </w:r>
    </w:p>
    <w:p>
      <w:pPr>
        <w:pStyle w:val="TextBody"/>
        <w:bidi w:val="0"/>
        <w:spacing w:lineRule="auto" w:line="288" w:before="0" w:after="0"/>
        <w:jc w:val="both"/>
        <w:rPr>
          <w:rFonts w:ascii="Arial;sans-serif" w:hAnsi="Arial;sans-serif"/>
          <w:b/>
          <w:color w:val="1C1C1C"/>
          <w:sz w:val="20"/>
        </w:rPr>
      </w:pPr>
      <w:r>
        <w:rPr>
          <w:rFonts w:ascii="Arial;sans-serif" w:hAnsi="Arial;sans-serif"/>
          <w:b/>
          <w:color w:val="1C1C1C"/>
          <w:sz w:val="20"/>
        </w:rPr>
        <w:t>Incentive Plan Awards</w:t>
      </w:r>
    </w:p>
    <w:p>
      <w:pPr>
        <w:pStyle w:val="TextBody"/>
        <w:bidi w:val="0"/>
        <w:spacing w:lineRule="auto" w:line="283" w:before="12" w:after="283"/>
        <w:ind w:left="0" w:right="0" w:firstLine="3"/>
        <w:jc w:val="both"/>
        <w:rPr>
          <w:rFonts w:ascii="Arial;sans-serif" w:hAnsi="Arial;sans-serif"/>
          <w:b w:val="false"/>
          <w:color w:val="1C1C1C"/>
          <w:sz w:val="20"/>
        </w:rPr>
      </w:pPr>
      <w:r>
        <w:rPr>
          <w:rFonts w:ascii="Arial;sans-serif" w:hAnsi="Arial;sans-serif"/>
          <w:b w:val="false"/>
          <w:color w:val="1C1C1C"/>
          <w:sz w:val="20"/>
        </w:rPr>
        <w:t>ALL NCR VOYIX incentive plans are designed to address the conditions of an ever-changing marketplace, and the company cannot make definitive representations concerning the continuation of format or the size of individual awards under the plans. NCR VOYIX reserves the right to modify or cancel, to the extent permissible under Local Laws and regulations, each such plan and its terms at any time, at NCR VOYIX's sole discretion.</w:t>
      </w:r>
    </w:p>
    <w:p>
      <w:pPr>
        <w:pStyle w:val="TextBody"/>
        <w:bidi w:val="0"/>
        <w:spacing w:before="35" w:after="283"/>
        <w:jc w:val="left"/>
        <w:rPr/>
      </w:pPr>
      <w:r>
        <w:rPr/>
      </w:r>
    </w:p>
    <w:p>
      <w:pPr>
        <w:pStyle w:val="TextBody"/>
        <w:bidi w:val="0"/>
        <w:spacing w:lineRule="auto" w:line="288" w:before="0" w:after="0"/>
        <w:jc w:val="both"/>
        <w:rPr>
          <w:rFonts w:ascii="Arial;sans-serif" w:hAnsi="Arial;sans-serif"/>
          <w:b/>
          <w:color w:val="1C1C1C"/>
          <w:sz w:val="20"/>
        </w:rPr>
      </w:pPr>
      <w:r>
        <w:rPr>
          <w:rFonts w:ascii="Arial;sans-serif" w:hAnsi="Arial;sans-serif"/>
          <w:b/>
          <w:color w:val="1C1C1C"/>
          <w:sz w:val="20"/>
        </w:rPr>
        <w:t>Disciplinary and Grievance Procedures</w:t>
      </w:r>
    </w:p>
    <w:p>
      <w:pPr>
        <w:pStyle w:val="TextBody"/>
        <w:bidi w:val="0"/>
        <w:spacing w:lineRule="auto" w:line="283" w:before="13" w:after="283"/>
        <w:ind w:left="0" w:right="0" w:hanging="6"/>
        <w:jc w:val="both"/>
        <w:rPr/>
      </w:pPr>
      <w:r>
        <w:rPr>
          <w:rFonts w:ascii="Arial;sans-serif" w:hAnsi="Arial;sans-serif"/>
          <w:b w:val="false"/>
          <w:color w:val="1C1C1C"/>
          <w:sz w:val="20"/>
        </w:rPr>
        <w:t>The Company has formulated and operates disciplinary and grievance procedures. These procedures may be obtained from the NCR VOYIX Employee Handbook. NCR VOYIX reserves the right not to follow the full disciplinary procedures with employees who have under two years continuous service</w:t>
      </w:r>
      <w:r>
        <w:rPr>
          <w:rFonts w:ascii="Arial;sans-serif" w:hAnsi="Arial;sans-serif"/>
          <w:b w:val="false"/>
          <w:color w:val="5D5D5D"/>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85115"/>
                <wp:effectExtent l="0" t="0" r="0" b="0"/>
                <wp:wrapNone/>
                <wp:docPr id="130" name="Frame128"/>
                <a:graphic xmlns:a="http://schemas.openxmlformats.org/drawingml/2006/main">
                  <a:graphicData uri="http://schemas.microsoft.com/office/word/2010/wordprocessingShape">
                    <wps:wsp>
                      <wps:cNvSpPr txBox="1"/>
                      <wps:spPr>
                        <a:xfrm>
                          <a:off x="0" y="0"/>
                          <a:ext cx="6480175" cy="2851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3" w:after="283"/>
        <w:jc w:val="left"/>
        <w:rPr/>
      </w:pPr>
      <w:r>
        <w:rPr/>
      </w:r>
    </w:p>
    <w:p>
      <w:pPr>
        <w:pStyle w:val="TextBody"/>
        <w:bidi w:val="0"/>
        <w:spacing w:lineRule="auto" w:line="288" w:before="0" w:after="0"/>
        <w:jc w:val="both"/>
        <w:rPr>
          <w:rFonts w:ascii="Arial;sans-serif" w:hAnsi="Arial;sans-serif"/>
          <w:b/>
          <w:color w:val="161616"/>
          <w:sz w:val="20"/>
        </w:rPr>
      </w:pPr>
      <w:r>
        <w:rPr>
          <w:rFonts w:ascii="Arial;sans-serif" w:hAnsi="Arial;sans-serif"/>
          <w:b/>
          <w:color w:val="161616"/>
          <w:sz w:val="20"/>
        </w:rPr>
        <w:t>Performance Issues</w:t>
      </w:r>
    </w:p>
    <w:p>
      <w:pPr>
        <w:pStyle w:val="TextBody"/>
        <w:bidi w:val="0"/>
        <w:spacing w:lineRule="auto" w:line="283" w:before="8" w:after="283"/>
        <w:ind w:left="0" w:right="0" w:hanging="6"/>
        <w:jc w:val="both"/>
        <w:rPr>
          <w:rFonts w:ascii="Arial;sans-serif" w:hAnsi="Arial;sans-serif"/>
          <w:b w:val="false"/>
          <w:color w:val="161616"/>
          <w:sz w:val="20"/>
        </w:rPr>
      </w:pPr>
      <w:r>
        <w:rPr>
          <w:rFonts w:ascii="Arial;sans-serif" w:hAnsi="Arial;sans-serif"/>
          <w:b w:val="false"/>
          <w:color w:val="161616"/>
          <w:sz w:val="20"/>
        </w:rPr>
        <w:t>The Company operates a procedure to deal with performance issues and to help and encourage other employees to achieve and maintain acceptable standards of job performance. This procedure may be obtained from the NCR VOYIX Employee Handbook.</w:t>
      </w:r>
    </w:p>
    <w:p>
      <w:pPr>
        <w:pStyle w:val="TextBody"/>
        <w:bidi w:val="0"/>
        <w:spacing w:before="27" w:after="283"/>
        <w:jc w:val="left"/>
        <w:rPr/>
      </w:pPr>
      <w:r>
        <w:rPr/>
      </w:r>
    </w:p>
    <w:p>
      <w:pPr>
        <w:pStyle w:val="TextBody"/>
        <w:bidi w:val="0"/>
        <w:spacing w:lineRule="auto" w:line="288" w:before="0" w:after="0"/>
        <w:jc w:val="left"/>
        <w:rPr>
          <w:rFonts w:ascii="Arial;sans-serif" w:hAnsi="Arial;sans-serif"/>
          <w:b/>
          <w:color w:val="161616"/>
          <w:sz w:val="20"/>
        </w:rPr>
      </w:pPr>
      <w:r>
        <w:rPr>
          <w:rFonts w:ascii="Arial;sans-serif" w:hAnsi="Arial;sans-serif"/>
          <w:b/>
          <w:color w:val="161616"/>
          <w:sz w:val="20"/>
        </w:rPr>
        <w:t>Suspension</w:t>
      </w:r>
    </w:p>
    <w:p>
      <w:pPr>
        <w:pStyle w:val="TextBody"/>
        <w:bidi w:val="0"/>
        <w:spacing w:lineRule="auto" w:line="285" w:before="8" w:after="283"/>
        <w:ind w:left="0" w:right="0" w:hanging="1"/>
        <w:jc w:val="both"/>
        <w:rPr>
          <w:rFonts w:ascii="Arial;sans-serif" w:hAnsi="Arial;sans-serif"/>
          <w:b w:val="false"/>
          <w:color w:val="161616"/>
          <w:sz w:val="20"/>
        </w:rPr>
      </w:pPr>
      <w:r>
        <w:rPr>
          <w:rFonts w:ascii="Arial;sans-serif" w:hAnsi="Arial;sans-serif"/>
          <w:b w:val="false"/>
          <w:color w:val="161616"/>
          <w:sz w:val="20"/>
        </w:rPr>
        <w:t>During your employment, the Company may suspend you from duty in writing which will detail the reason for suspension. Suspension will be on full remuneration and for such period as the Company thinks fit.</w:t>
      </w:r>
    </w:p>
    <w:p>
      <w:pPr>
        <w:pStyle w:val="TextBody"/>
        <w:bidi w:val="0"/>
        <w:spacing w:before="20" w:after="283"/>
        <w:jc w:val="left"/>
        <w:rPr/>
      </w:pPr>
      <w:r>
        <w:rPr/>
      </w:r>
    </w:p>
    <w:p>
      <w:pPr>
        <w:pStyle w:val="TextBody"/>
        <w:bidi w:val="0"/>
        <w:spacing w:lineRule="auto" w:line="288" w:before="0" w:after="0"/>
        <w:jc w:val="both"/>
        <w:rPr>
          <w:rFonts w:ascii="Arial;sans-serif" w:hAnsi="Arial;sans-serif"/>
          <w:b/>
          <w:color w:val="161616"/>
          <w:sz w:val="20"/>
        </w:rPr>
      </w:pPr>
      <w:r>
        <w:rPr>
          <w:rFonts w:ascii="Arial;sans-serif" w:hAnsi="Arial;sans-serif"/>
          <w:b/>
          <w:color w:val="161616"/>
          <w:sz w:val="20"/>
        </w:rPr>
        <w:t>Other Business Activity</w:t>
      </w:r>
    </w:p>
    <w:p>
      <w:pPr>
        <w:pStyle w:val="TextBody"/>
        <w:bidi w:val="0"/>
        <w:spacing w:lineRule="auto" w:line="283" w:before="12" w:after="283"/>
        <w:ind w:left="0" w:right="0" w:firstLine="4"/>
        <w:jc w:val="both"/>
        <w:rPr>
          <w:rFonts w:ascii="Arial;sans-serif" w:hAnsi="Arial;sans-serif"/>
          <w:b w:val="false"/>
          <w:color w:val="161616"/>
          <w:sz w:val="20"/>
        </w:rPr>
      </w:pPr>
      <w:r>
        <w:rPr>
          <w:rFonts w:ascii="Arial;sans-serif" w:hAnsi="Arial;sans-serif"/>
          <w:b w:val="false"/>
          <w:color w:val="161616"/>
          <w:sz w:val="20"/>
        </w:rPr>
        <w:t>You will not engage in any other business activity or deal in any way with Company products or any similar products, except in the normal and proper course of your employment with the Company.</w:t>
      </w:r>
    </w:p>
    <w:p>
      <w:pPr>
        <w:pStyle w:val="TextBody"/>
        <w:bidi w:val="0"/>
        <w:spacing w:before="13" w:after="283"/>
        <w:jc w:val="left"/>
        <w:rPr/>
      </w:pPr>
      <w:r>
        <w:rPr/>
      </w:r>
    </w:p>
    <w:p>
      <w:pPr>
        <w:pStyle w:val="TextBody"/>
        <w:bidi w:val="0"/>
        <w:spacing w:lineRule="auto" w:line="283" w:before="0" w:after="0"/>
        <w:ind w:left="0" w:right="0" w:firstLine="7"/>
        <w:jc w:val="both"/>
        <w:rPr>
          <w:rFonts w:ascii="Arial;sans-serif" w:hAnsi="Arial;sans-serif"/>
          <w:b w:val="false"/>
          <w:color w:val="161616"/>
          <w:sz w:val="20"/>
        </w:rPr>
      </w:pPr>
      <w:r>
        <w:rPr>
          <w:rFonts w:ascii="Arial;sans-serif" w:hAnsi="Arial;sans-serif"/>
          <w:b w:val="false"/>
          <w:color w:val="161616"/>
          <w:sz w:val="20"/>
        </w:rPr>
        <w:t>You will not either directly or indirectly be engaged in any other trade, profession or business that could in any way represent a conflict of interests with those of the Company. Where there is any uncertainty or possibility that a conflict of interest might arise, the prior written approval of the Company must be obtained before any such activity is entered into. A written application should be made to the VP HR ISG, who will arrange for your request to be considered.</w:t>
      </w:r>
    </w:p>
    <w:p>
      <w:pPr>
        <w:pStyle w:val="TextBody"/>
        <w:bidi w:val="0"/>
        <w:spacing w:before="10" w:after="283"/>
        <w:jc w:val="left"/>
        <w:rPr/>
      </w:pPr>
      <w:r>
        <w:rPr/>
      </w:r>
    </w:p>
    <w:p>
      <w:pPr>
        <w:pStyle w:val="TextBody"/>
        <w:bidi w:val="0"/>
        <w:spacing w:lineRule="auto" w:line="285" w:before="0" w:after="0"/>
        <w:ind w:left="0" w:right="0" w:hanging="6"/>
        <w:jc w:val="both"/>
        <w:rPr>
          <w:rFonts w:ascii="Arial;sans-serif" w:hAnsi="Arial;sans-serif"/>
          <w:b w:val="false"/>
          <w:color w:val="161616"/>
          <w:sz w:val="20"/>
        </w:rPr>
      </w:pPr>
      <w:r>
        <w:rPr>
          <w:rFonts w:ascii="Arial;sans-serif" w:hAnsi="Arial;sans-serif"/>
          <w:b w:val="false"/>
          <w:color w:val="161616"/>
          <w:sz w:val="20"/>
        </w:rPr>
        <w:t>It is strictly prohibited to receive any compensation (commission, prize, or whatever form it may take) from a third party (Leasing Company, outside Software House, etc.) for giving them NCR VOYIX business of any kind generated in the course of our normal selling activities. Violations of this rule will be subject to disciplinary action, including dismissal.</w:t>
      </w:r>
    </w:p>
    <w:p>
      <w:pPr>
        <w:pStyle w:val="TextBody"/>
        <w:bidi w:val="0"/>
        <w:spacing w:before="9" w:after="283"/>
        <w:jc w:val="left"/>
        <w:rPr/>
      </w:pPr>
      <w:r>
        <w:rPr/>
      </w:r>
    </w:p>
    <w:p>
      <w:pPr>
        <w:pStyle w:val="TextBody"/>
        <w:bidi w:val="0"/>
        <w:spacing w:lineRule="auto" w:line="288" w:before="1" w:after="283"/>
        <w:jc w:val="left"/>
        <w:rPr>
          <w:rFonts w:ascii="Arial;sans-serif" w:hAnsi="Arial;sans-serif"/>
          <w:b/>
          <w:color w:val="161616"/>
          <w:sz w:val="20"/>
        </w:rPr>
      </w:pPr>
      <w:r>
        <w:rPr>
          <w:rFonts w:ascii="Arial;sans-serif" w:hAnsi="Arial;sans-serif"/>
          <w:b/>
          <w:color w:val="161616"/>
          <w:sz w:val="20"/>
        </w:rPr>
        <w:t>Overseas Work</w:t>
      </w:r>
    </w:p>
    <w:p>
      <w:pPr>
        <w:pStyle w:val="TextBody"/>
        <w:bidi w:val="0"/>
        <w:spacing w:lineRule="auto" w:line="283" w:before="7" w:after="283"/>
        <w:ind w:left="0" w:right="0" w:hanging="8"/>
        <w:jc w:val="both"/>
        <w:rPr>
          <w:rFonts w:ascii="Arial;sans-serif" w:hAnsi="Arial;sans-serif"/>
          <w:b w:val="false"/>
          <w:color w:val="161616"/>
          <w:sz w:val="20"/>
        </w:rPr>
      </w:pPr>
      <w:r>
        <w:rPr>
          <w:rFonts w:ascii="Arial;sans-serif" w:hAnsi="Arial;sans-serif"/>
          <w:b w:val="false"/>
          <w:color w:val="161616"/>
          <w:sz w:val="20"/>
        </w:rPr>
        <w:t>There is no current requirement for you to work overseas for periods exceeding one month and therefore no particulars relating to overseas work are included in this document.</w:t>
      </w:r>
    </w:p>
    <w:p>
      <w:pPr>
        <w:pStyle w:val="TextBody"/>
        <w:bidi w:val="0"/>
        <w:spacing w:before="17" w:after="283"/>
        <w:jc w:val="left"/>
        <w:rPr/>
      </w:pPr>
      <w:r>
        <w:rPr/>
      </w:r>
    </w:p>
    <w:p>
      <w:pPr>
        <w:pStyle w:val="TextBody"/>
        <w:bidi w:val="0"/>
        <w:spacing w:lineRule="auto" w:line="288" w:before="0" w:after="0"/>
        <w:jc w:val="both"/>
        <w:rPr>
          <w:rFonts w:ascii="Arial;sans-serif" w:hAnsi="Arial;sans-serif"/>
          <w:b/>
          <w:color w:val="161616"/>
          <w:sz w:val="20"/>
        </w:rPr>
      </w:pPr>
      <w:r>
        <w:rPr>
          <w:rFonts w:ascii="Arial;sans-serif" w:hAnsi="Arial;sans-serif"/>
          <w:b/>
          <w:color w:val="161616"/>
          <w:sz w:val="20"/>
        </w:rPr>
        <w:t>Call Monitoring</w:t>
      </w:r>
    </w:p>
    <w:p>
      <w:pPr>
        <w:pStyle w:val="TextBody"/>
        <w:bidi w:val="0"/>
        <w:spacing w:lineRule="auto" w:line="283" w:before="8" w:after="283"/>
        <w:ind w:left="0" w:right="0" w:hanging="1"/>
        <w:jc w:val="both"/>
        <w:rPr>
          <w:rFonts w:ascii="Arial;sans-serif" w:hAnsi="Arial;sans-serif"/>
          <w:b w:val="false"/>
          <w:color w:val="161616"/>
          <w:sz w:val="20"/>
        </w:rPr>
      </w:pPr>
      <w:r>
        <w:rPr>
          <w:rFonts w:ascii="Arial;sans-serif" w:hAnsi="Arial;sans-serif"/>
          <w:b w:val="false"/>
          <w:color w:val="161616"/>
          <w:sz w:val="20"/>
        </w:rPr>
        <w:t>In order to ensure we are providing superior Customer Service; you may be part of a Call Monitoring and Recording Programme. The programme is centred on being able to provide all staff with feedback and coaching to improve our call handling processes, and therefore your calls may be monitored and/or recorded by the company for quality assurance and training purposes.</w:t>
      </w:r>
    </w:p>
    <w:p>
      <w:pPr>
        <w:pStyle w:val="TextBody"/>
        <w:bidi w:val="0"/>
        <w:spacing w:before="19" w:after="283"/>
        <w:jc w:val="left"/>
        <w:rPr/>
      </w:pPr>
      <w:r>
        <w:rPr/>
      </w:r>
    </w:p>
    <w:p>
      <w:pPr>
        <w:pStyle w:val="TextBody"/>
        <w:bidi w:val="0"/>
        <w:spacing w:lineRule="auto" w:line="288" w:before="0" w:after="0"/>
        <w:jc w:val="both"/>
        <w:rPr>
          <w:rFonts w:ascii="Arial;sans-serif" w:hAnsi="Arial;sans-serif"/>
          <w:b/>
          <w:color w:val="161616"/>
          <w:sz w:val="20"/>
        </w:rPr>
      </w:pPr>
      <w:r>
        <w:rPr>
          <w:rFonts w:ascii="Arial;sans-serif" w:hAnsi="Arial;sans-serif"/>
          <w:b/>
          <w:color w:val="161616"/>
          <w:sz w:val="20"/>
        </w:rPr>
        <w:t>Smoking Policy</w:t>
      </w:r>
    </w:p>
    <w:p>
      <w:pPr>
        <w:pStyle w:val="TextBody"/>
        <w:bidi w:val="0"/>
        <w:spacing w:lineRule="auto" w:line="285" w:before="8" w:after="283"/>
        <w:ind w:left="0" w:right="0" w:hanging="1"/>
        <w:jc w:val="both"/>
        <w:rPr>
          <w:rFonts w:ascii="Arial;sans-serif" w:hAnsi="Arial;sans-serif"/>
          <w:b w:val="false"/>
          <w:color w:val="161616"/>
          <w:sz w:val="20"/>
        </w:rPr>
      </w:pPr>
      <w:r>
        <w:rPr>
          <w:rFonts w:ascii="Arial;sans-serif" w:hAnsi="Arial;sans-serif"/>
          <w:b w:val="false"/>
          <w:color w:val="161616"/>
          <w:sz w:val="20"/>
        </w:rPr>
        <w:t>The Company is committed to providing, as far as is reasonably practical, conditions at work which are safe and without risk to health, including the provision of a work environment which is free of tobacco smoke. Smoking is prohibited within the working environment, whilst using company pool cars and also anywhere outside the building that is not within the designated smoking areas including any entrances. Smoking is only permitted in designated areas which are clearly marked. Please note that these smoking restrictions also apply to the use of e-cigarettes which can only be used within the designated smoking areas</w:t>
      </w:r>
    </w:p>
    <w:p>
      <w:pPr>
        <w:pStyle w:val="TextBody"/>
        <w:bidi w:val="0"/>
        <w:spacing w:before="14" w:after="283"/>
        <w:jc w:val="left"/>
        <w:rPr/>
      </w:pPr>
      <w:r>
        <w:rPr/>
      </w:r>
    </w:p>
    <w:p>
      <w:pPr>
        <w:pStyle w:val="TextBody"/>
        <w:bidi w:val="0"/>
        <w:spacing w:lineRule="auto" w:line="288" w:before="0" w:after="0"/>
        <w:jc w:val="both"/>
        <w:rPr>
          <w:rFonts w:ascii="Arial;sans-serif" w:hAnsi="Arial;sans-serif"/>
          <w:b/>
          <w:color w:val="161616"/>
          <w:sz w:val="20"/>
        </w:rPr>
      </w:pPr>
      <w:r>
        <w:rPr>
          <w:rFonts w:ascii="Arial;sans-serif" w:hAnsi="Arial;sans-serif"/>
          <w:b/>
          <w:color w:val="161616"/>
          <w:sz w:val="20"/>
        </w:rPr>
        <w:t>Restrictions after Termination</w:t>
      </w:r>
    </w:p>
    <w:p>
      <w:pPr>
        <w:pStyle w:val="TextBody"/>
        <w:bidi w:val="0"/>
        <w:spacing w:lineRule="auto" w:line="283" w:before="13" w:after="283"/>
        <w:ind w:left="0" w:right="0" w:firstLine="3"/>
        <w:jc w:val="both"/>
        <w:rPr>
          <w:rFonts w:ascii="Arial;sans-serif" w:hAnsi="Arial;sans-serif"/>
          <w:b w:val="false"/>
          <w:color w:val="161616"/>
          <w:sz w:val="20"/>
        </w:rPr>
      </w:pPr>
      <w:r>
        <w:rPr>
          <w:rFonts w:ascii="Arial;sans-serif" w:hAnsi="Arial;sans-serif"/>
          <w:b w:val="false"/>
          <w:color w:val="161616"/>
          <w:sz w:val="20"/>
        </w:rPr>
        <w:t>You agree that you shall not for a period of six months from your Termination Date without the prior written consent of the Senior Vice President of your Business Organisation, whether alone or jointly with or as principal, agent, director, employee or consultant of any other person, firm or corporation and whether directly or indirectly, in competition with any of the businesses of the Company or any Group Company carried on at your Termination Date in which you were engaged or involved during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85115"/>
                <wp:effectExtent l="0" t="0" r="0" b="0"/>
                <wp:wrapNone/>
                <wp:docPr id="131" name="Frame129"/>
                <a:graphic xmlns:a="http://schemas.openxmlformats.org/drawingml/2006/main">
                  <a:graphicData uri="http://schemas.microsoft.com/office/word/2010/wordprocessingShape">
                    <wps:wsp>
                      <wps:cNvSpPr txBox="1"/>
                      <wps:spPr>
                        <a:xfrm>
                          <a:off x="0" y="0"/>
                          <a:ext cx="6480175" cy="2851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2</w:t>
                      </w:r>
                    </w:p>
                  </w:txbxContent>
                </v:textbox>
                <w10:wrap type="none"/>
              </v:rect>
            </w:pict>
          </mc:Fallback>
        </mc:AlternateContent>
      </w:r>
    </w:p>
    <w:p>
      <w:pPr>
        <w:pStyle w:val="TextBody"/>
        <w:bidi w:val="0"/>
        <w:spacing w:before="194" w:after="283"/>
        <w:jc w:val="left"/>
        <w:rPr/>
      </w:pPr>
      <w:r>
        <w:rPr/>
      </w:r>
    </w:p>
    <w:p>
      <w:pPr>
        <w:pStyle w:val="TextBody"/>
        <w:bidi w:val="0"/>
        <w:spacing w:lineRule="auto" w:line="285" w:before="0" w:after="0"/>
        <w:ind w:left="0" w:right="0" w:hanging="368"/>
        <w:jc w:val="both"/>
        <w:rPr>
          <w:rFonts w:ascii="Arial;sans-serif" w:hAnsi="Arial;sans-serif"/>
          <w:b w:val="false"/>
          <w:color w:val="1D1D1D"/>
          <w:sz w:val="20"/>
        </w:rPr>
      </w:pPr>
      <w:r>
        <w:rPr>
          <w:rFonts w:ascii="Arial;sans-serif" w:hAnsi="Arial;sans-serif"/>
          <w:b w:val="false"/>
          <w:color w:val="1D1D1D"/>
          <w:sz w:val="20"/>
        </w:rPr>
        <w:t>1.Accept employment with and/or provide services to, either as an independent contractor or otherwise to such Competing Organizations that may be deemed directly or indirectly as competitors of the Company. The current List of Competing Organizations may be obtained from the NCR VOYIX Law Department or the NCR VOYIX Human Resources Department upon request. or from the NCR VOYIX Human Resources intranet website.</w:t>
      </w:r>
    </w:p>
    <w:p>
      <w:pPr>
        <w:pStyle w:val="TextBody"/>
        <w:bidi w:val="0"/>
        <w:spacing w:before="7" w:after="283"/>
        <w:jc w:val="left"/>
        <w:rPr/>
      </w:pPr>
      <w:r>
        <w:rPr/>
      </w:r>
    </w:p>
    <w:p>
      <w:pPr>
        <w:pStyle w:val="TextBody"/>
        <w:bidi w:val="0"/>
        <w:spacing w:lineRule="auto" w:line="285" w:before="0" w:after="0"/>
        <w:ind w:left="0" w:right="0" w:hanging="357"/>
        <w:jc w:val="both"/>
        <w:rPr>
          <w:rFonts w:ascii="Arial;sans-serif" w:hAnsi="Arial;sans-serif"/>
          <w:b w:val="false"/>
          <w:color w:val="1D1D1D"/>
          <w:sz w:val="20"/>
        </w:rPr>
      </w:pPr>
      <w:r>
        <w:rPr>
          <w:rFonts w:ascii="Arial;sans-serif" w:hAnsi="Arial;sans-serif"/>
          <w:b w:val="false"/>
          <w:color w:val="1D1D1D"/>
          <w:sz w:val="20"/>
        </w:rPr>
        <w:t>2.Solicit the services of or custom of or otherwise deal with any person, firm or corporation who or which at the Termination Date or at any time during the Prior Period was a customer, client. supplier, agent or distributor, or prospective customer or client of the Company or any Group Company and with whom or with which you may be personally concerned, involved with or in contact with during the Prior Period.</w:t>
      </w:r>
    </w:p>
    <w:p>
      <w:pPr>
        <w:pStyle w:val="TextBody"/>
        <w:bidi w:val="0"/>
        <w:spacing w:before="17" w:after="283"/>
        <w:jc w:val="left"/>
        <w:rPr/>
      </w:pPr>
      <w:r>
        <w:rPr/>
      </w:r>
    </w:p>
    <w:p>
      <w:pPr>
        <w:pStyle w:val="TextBody"/>
        <w:bidi w:val="0"/>
        <w:spacing w:lineRule="auto" w:line="283" w:before="1" w:after="283"/>
        <w:ind w:left="0" w:right="0" w:hanging="357"/>
        <w:jc w:val="both"/>
        <w:rPr>
          <w:rFonts w:ascii="Arial;sans-serif" w:hAnsi="Arial;sans-serif"/>
          <w:b w:val="false"/>
          <w:color w:val="1D1D1D"/>
          <w:sz w:val="20"/>
        </w:rPr>
      </w:pPr>
      <w:r>
        <w:rPr>
          <w:rFonts w:ascii="Arial;sans-serif" w:hAnsi="Arial;sans-serif"/>
          <w:b w:val="false"/>
          <w:color w:val="1D1D1D"/>
          <w:sz w:val="20"/>
        </w:rPr>
        <w:t>3.Entice or endeavour to entice away from the Company or any Group Company or employ or engage as a worker (defined as) any person employed by the Company or any Group Company who reported to you or to whom you reported and in either case with whom you may have been in contact during the Prior Period.</w:t>
      </w:r>
    </w:p>
    <w:p>
      <w:pPr>
        <w:pStyle w:val="TextBody"/>
        <w:bidi w:val="0"/>
        <w:spacing w:before="13" w:after="283"/>
        <w:jc w:val="left"/>
        <w:rPr/>
      </w:pPr>
      <w:r>
        <w:rPr/>
      </w:r>
    </w:p>
    <w:p>
      <w:pPr>
        <w:pStyle w:val="TextBody"/>
        <w:bidi w:val="0"/>
        <w:spacing w:lineRule="auto" w:line="283" w:before="1" w:after="283"/>
        <w:ind w:left="0" w:right="0" w:hanging="5"/>
        <w:jc w:val="both"/>
        <w:rPr/>
      </w:pPr>
      <w:r>
        <w:rPr>
          <w:rFonts w:ascii="Arial;sans-serif" w:hAnsi="Arial;sans-serif"/>
          <w:b w:val="false"/>
          <w:color w:val="1D1D1D"/>
          <w:sz w:val="20"/>
        </w:rPr>
        <w:t xml:space="preserve">Note: </w:t>
      </w:r>
      <w:r>
        <w:rPr>
          <w:rFonts w:ascii="Arial;sans-serif" w:hAnsi="Arial;sans-serif"/>
          <w:b w:val="false"/>
          <w:color w:val="313131"/>
          <w:sz w:val="20"/>
        </w:rPr>
        <w:t xml:space="preserve">"Prior </w:t>
      </w:r>
      <w:r>
        <w:rPr>
          <w:rFonts w:ascii="Arial;sans-serif" w:hAnsi="Arial;sans-serif"/>
          <w:b w:val="false"/>
          <w:color w:val="1D1D1D"/>
          <w:sz w:val="20"/>
        </w:rPr>
        <w:t>Period" means the period of nine months immediately preceding the Termination Date: "Termination Date" means the date on which your employment terminates</w:t>
      </w:r>
      <w:r>
        <w:rPr>
          <w:rFonts w:ascii="Arial;sans-serif" w:hAnsi="Arial;sans-serif"/>
          <w:b w:val="false"/>
          <w:color w:val="5B5B5B"/>
          <w:sz w:val="20"/>
        </w:rPr>
        <w:t>.</w:t>
      </w:r>
    </w:p>
    <w:p>
      <w:pPr>
        <w:pStyle w:val="TextBody"/>
        <w:bidi w:val="0"/>
        <w:spacing w:before="7" w:after="283"/>
        <w:jc w:val="left"/>
        <w:rPr/>
      </w:pPr>
      <w:r>
        <w:rPr/>
      </w:r>
    </w:p>
    <w:p>
      <w:pPr>
        <w:pStyle w:val="TextBody"/>
        <w:bidi w:val="0"/>
        <w:spacing w:lineRule="auto" w:line="283" w:before="0" w:after="0"/>
        <w:ind w:left="0" w:right="0" w:firstLine="3"/>
        <w:jc w:val="both"/>
        <w:rPr>
          <w:rFonts w:ascii="Arial;sans-serif" w:hAnsi="Arial;sans-serif"/>
          <w:b w:val="false"/>
          <w:color w:val="1D1D1D"/>
          <w:sz w:val="20"/>
        </w:rPr>
      </w:pPr>
      <w:r>
        <w:rPr>
          <w:rFonts w:ascii="Arial;sans-serif" w:hAnsi="Arial;sans-serif"/>
          <w:b w:val="false"/>
          <w:color w:val="1D1D1D"/>
          <w:sz w:val="20"/>
        </w:rPr>
        <w:t>By signing this document. you acknowledge and confirm that you agree that the provisions appearing in this section are reasonable in their application to you and necessary but no more than sufficient to protect the interests of the Company.</w:t>
      </w:r>
    </w:p>
    <w:p>
      <w:pPr>
        <w:pStyle w:val="TextBody"/>
        <w:bidi w:val="0"/>
        <w:spacing w:before="8" w:after="283"/>
        <w:jc w:val="left"/>
        <w:rPr/>
      </w:pPr>
      <w:r>
        <w:rPr/>
      </w:r>
    </w:p>
    <w:p>
      <w:pPr>
        <w:pStyle w:val="TextBody"/>
        <w:bidi w:val="0"/>
        <w:spacing w:lineRule="auto" w:line="283" w:before="0" w:after="0"/>
        <w:ind w:left="0" w:right="0" w:hanging="9"/>
        <w:jc w:val="both"/>
        <w:rPr>
          <w:rFonts w:ascii="Arial;sans-serif" w:hAnsi="Arial;sans-serif"/>
          <w:b w:val="false"/>
          <w:color w:val="1D1D1D"/>
          <w:sz w:val="20"/>
        </w:rPr>
      </w:pPr>
      <w:r>
        <w:rPr>
          <w:rFonts w:ascii="Arial;sans-serif" w:hAnsi="Arial;sans-serif"/>
          <w:b w:val="false"/>
          <w:color w:val="1D1D1D"/>
          <w:sz w:val="20"/>
        </w:rPr>
        <w:t>In the event that any restriction contained in this clause shall be found to be void but would be valid if some parts of the relevant restriction were deleted, the relevant restriction shall apply with such modifications as may be necessary to make it valid and effective.</w:t>
      </w:r>
    </w:p>
    <w:p>
      <w:pPr>
        <w:pStyle w:val="TextBody"/>
        <w:bidi w:val="0"/>
        <w:spacing w:before="22" w:after="283"/>
        <w:jc w:val="left"/>
        <w:rPr/>
      </w:pPr>
      <w:r>
        <w:rPr/>
      </w:r>
    </w:p>
    <w:p>
      <w:pPr>
        <w:pStyle w:val="TextBody"/>
        <w:bidi w:val="0"/>
        <w:spacing w:lineRule="auto" w:line="288" w:before="0" w:after="0"/>
        <w:jc w:val="left"/>
        <w:rPr>
          <w:rFonts w:ascii="Arial;sans-serif" w:hAnsi="Arial;sans-serif"/>
          <w:b/>
          <w:color w:val="1D1D1D"/>
          <w:sz w:val="20"/>
        </w:rPr>
      </w:pPr>
      <w:r>
        <w:rPr>
          <w:rFonts w:ascii="Arial;sans-serif" w:hAnsi="Arial;sans-serif"/>
          <w:b/>
          <w:color w:val="1D1D1D"/>
          <w:sz w:val="20"/>
        </w:rPr>
        <w:t>Severance</w:t>
      </w:r>
    </w:p>
    <w:p>
      <w:pPr>
        <w:pStyle w:val="TextBody"/>
        <w:bidi w:val="0"/>
        <w:spacing w:before="15" w:after="283"/>
        <w:jc w:val="left"/>
        <w:rPr/>
      </w:pPr>
      <w:r>
        <w:rPr/>
      </w:r>
    </w:p>
    <w:p>
      <w:pPr>
        <w:pStyle w:val="TextBody"/>
        <w:bidi w:val="0"/>
        <w:spacing w:lineRule="auto" w:line="285" w:before="0" w:after="0"/>
        <w:ind w:left="0" w:right="0" w:firstLine="2"/>
        <w:jc w:val="both"/>
        <w:rPr>
          <w:rFonts w:ascii="Arial;sans-serif" w:hAnsi="Arial;sans-serif"/>
          <w:b w:val="false"/>
          <w:color w:val="1D1D1D"/>
          <w:sz w:val="20"/>
        </w:rPr>
      </w:pPr>
      <w:r>
        <w:rPr>
          <w:rFonts w:ascii="Arial;sans-serif" w:hAnsi="Arial;sans-serif"/>
          <w:b w:val="false"/>
          <w:color w:val="1D1D1D"/>
          <w:sz w:val="20"/>
        </w:rPr>
        <w:t>Given your grade you are currently eligible to participate in the NCR Voyix Executive Severance Plan strictly subject to and conditional on its terms and as such plan may be amended from time to time.</w:t>
      </w:r>
    </w:p>
    <w:p>
      <w:pPr>
        <w:pStyle w:val="TextBody"/>
        <w:bidi w:val="0"/>
        <w:spacing w:before="16" w:after="283"/>
        <w:jc w:val="left"/>
        <w:rPr/>
      </w:pPr>
      <w:r>
        <w:rPr/>
      </w:r>
    </w:p>
    <w:p>
      <w:pPr>
        <w:pStyle w:val="TextBody"/>
        <w:bidi w:val="0"/>
        <w:spacing w:lineRule="auto" w:line="288" w:before="0" w:after="0"/>
        <w:jc w:val="both"/>
        <w:rPr>
          <w:rFonts w:ascii="Arial;sans-serif" w:hAnsi="Arial;sans-serif"/>
          <w:b/>
          <w:color w:val="1D1D1D"/>
          <w:sz w:val="20"/>
        </w:rPr>
      </w:pPr>
      <w:r>
        <w:rPr>
          <w:rFonts w:ascii="Arial;sans-serif" w:hAnsi="Arial;sans-serif"/>
          <w:b/>
          <w:color w:val="1D1D1D"/>
          <w:sz w:val="20"/>
        </w:rPr>
        <w:t>Sickness and Injury Benefit</w:t>
      </w:r>
    </w:p>
    <w:p>
      <w:pPr>
        <w:pStyle w:val="TextBody"/>
        <w:bidi w:val="0"/>
        <w:spacing w:lineRule="auto" w:line="285" w:before="3" w:after="283"/>
        <w:ind w:left="0" w:right="0" w:firstLine="8"/>
        <w:jc w:val="both"/>
        <w:rPr>
          <w:rFonts w:ascii="Arial;sans-serif" w:hAnsi="Arial;sans-serif"/>
          <w:b w:val="false"/>
          <w:color w:val="1D1D1D"/>
          <w:sz w:val="20"/>
        </w:rPr>
      </w:pPr>
      <w:r>
        <w:rPr>
          <w:rFonts w:ascii="Arial;sans-serif" w:hAnsi="Arial;sans-serif"/>
          <w:b w:val="false"/>
          <w:color w:val="1D1D1D"/>
          <w:sz w:val="20"/>
        </w:rPr>
        <w:t>At the Company's discretion, non-obligatory payments will be made to you during sickness absence or injury. In order to be considered for company sick pay the following procedures must be complied with:</w:t>
      </w:r>
    </w:p>
    <w:p>
      <w:pPr>
        <w:pStyle w:val="TextBody"/>
        <w:bidi w:val="0"/>
        <w:spacing w:before="1" w:after="283"/>
        <w:jc w:val="left"/>
        <w:rPr/>
      </w:pPr>
      <w:r>
        <w:rPr/>
      </w:r>
    </w:p>
    <w:p>
      <w:pPr>
        <w:pStyle w:val="TextBody"/>
        <w:bidi w:val="0"/>
        <w:spacing w:lineRule="auto" w:line="288" w:before="0" w:after="0"/>
        <w:ind w:left="0" w:right="0" w:hanging="356"/>
        <w:jc w:val="left"/>
        <w:rPr>
          <w:rFonts w:ascii="Arial;sans-serif" w:hAnsi="Arial;sans-serif"/>
          <w:b w:val="false"/>
          <w:color w:val="1D1D1D"/>
          <w:sz w:val="20"/>
        </w:rPr>
      </w:pPr>
      <w:r>
        <w:rPr>
          <w:rFonts w:ascii="Arial;sans-serif" w:hAnsi="Arial;sans-serif"/>
          <w:b w:val="false"/>
          <w:color w:val="1D1D1D"/>
          <w:sz w:val="20"/>
        </w:rPr>
        <w:t>a.Please inform your Manager or Supervisor within one hour of your normal start time every day of your absence until you are signed off by your doctor.</w:t>
      </w:r>
    </w:p>
    <w:p>
      <w:pPr>
        <w:pStyle w:val="TextBody"/>
        <w:bidi w:val="0"/>
        <w:spacing w:lineRule="atLeast" w:line="227" w:before="0" w:after="0"/>
        <w:ind w:left="0" w:right="0" w:hanging="352"/>
        <w:jc w:val="left"/>
        <w:rPr>
          <w:rFonts w:ascii="Arial;sans-serif" w:hAnsi="Arial;sans-serif"/>
          <w:b w:val="false"/>
          <w:color w:val="1D1D1D"/>
          <w:sz w:val="20"/>
        </w:rPr>
      </w:pPr>
      <w:r>
        <w:rPr>
          <w:rFonts w:ascii="Arial;sans-serif" w:hAnsi="Arial;sans-serif"/>
          <w:b w:val="false"/>
          <w:color w:val="1D1D1D"/>
          <w:sz w:val="20"/>
        </w:rPr>
        <w:t>b.Complete an NCR VOYIX Sickness Self Certificate.</w:t>
      </w:r>
    </w:p>
    <w:p>
      <w:pPr>
        <w:pStyle w:val="TextBody"/>
        <w:bidi w:val="0"/>
        <w:spacing w:lineRule="auto" w:line="283" w:before="6" w:after="283"/>
        <w:ind w:left="0" w:right="0" w:hanging="355"/>
        <w:jc w:val="left"/>
        <w:rPr>
          <w:rFonts w:ascii="Arial;sans-serif" w:hAnsi="Arial;sans-serif"/>
          <w:b w:val="false"/>
          <w:color w:val="1D1D1D"/>
          <w:sz w:val="20"/>
        </w:rPr>
      </w:pPr>
      <w:r>
        <w:rPr>
          <w:rFonts w:ascii="Arial;sans-serif" w:hAnsi="Arial;sans-serif"/>
          <w:b w:val="false"/>
          <w:color w:val="1D1D1D"/>
          <w:sz w:val="20"/>
        </w:rPr>
        <w:t>c.Provide a medical certificate if your illness Lasts more than 7 days (including Saturday, Sundays and Statutory Public Holidays).</w:t>
      </w:r>
    </w:p>
    <w:p>
      <w:pPr>
        <w:pStyle w:val="TextBody"/>
        <w:bidi w:val="0"/>
        <w:spacing w:lineRule="auto" w:line="288" w:before="6" w:after="283"/>
        <w:jc w:val="left"/>
        <w:rPr>
          <w:rFonts w:ascii="Arial;sans-serif" w:hAnsi="Arial;sans-serif"/>
          <w:b w:val="false"/>
          <w:color w:val="1D1D1D"/>
          <w:sz w:val="20"/>
        </w:rPr>
      </w:pPr>
      <w:r>
        <w:rPr>
          <w:rFonts w:ascii="Arial;sans-serif" w:hAnsi="Arial;sans-serif"/>
          <w:b w:val="false"/>
          <w:color w:val="1D1D1D"/>
          <w:sz w:val="20"/>
        </w:rPr>
        <w:t>ct. Send a medical certificate for each subsequent week of continued illness.</w:t>
      </w:r>
    </w:p>
    <w:p>
      <w:pPr>
        <w:pStyle w:val="TextBody"/>
        <w:bidi w:val="0"/>
        <w:spacing w:lineRule="auto" w:line="283" w:before="6" w:after="283"/>
        <w:ind w:left="0" w:right="0" w:hanging="352"/>
        <w:jc w:val="left"/>
        <w:rPr>
          <w:rFonts w:ascii="Arial;sans-serif" w:hAnsi="Arial;sans-serif"/>
          <w:b w:val="false"/>
          <w:color w:val="1D1D1D"/>
          <w:sz w:val="20"/>
        </w:rPr>
      </w:pPr>
      <w:r>
        <w:rPr>
          <w:rFonts w:ascii="Arial;sans-serif" w:hAnsi="Arial;sans-serif"/>
          <w:b w:val="false"/>
          <w:color w:val="1D1D1D"/>
          <w:sz w:val="20"/>
        </w:rPr>
        <w:t>e. Comply with any Company requests for further medical advice 0.e. Occupational Health)</w:t>
      </w:r>
    </w:p>
    <w:p>
      <w:pPr>
        <w:pStyle w:val="TextBody"/>
        <w:bidi w:val="0"/>
        <w:spacing w:before="12" w:after="283"/>
        <w:jc w:val="left"/>
        <w:rPr/>
      </w:pPr>
      <w:r>
        <w:rPr/>
      </w:r>
    </w:p>
    <w:p>
      <w:pPr>
        <w:pStyle w:val="TextBody"/>
        <w:bidi w:val="0"/>
        <w:spacing w:lineRule="auto" w:line="283" w:before="0" w:after="0"/>
        <w:ind w:left="0" w:right="0" w:hanging="1"/>
        <w:jc w:val="both"/>
        <w:rPr>
          <w:rFonts w:ascii="Arial;sans-serif" w:hAnsi="Arial;sans-serif"/>
          <w:b w:val="false"/>
          <w:color w:val="1D1D1D"/>
          <w:sz w:val="20"/>
        </w:rPr>
      </w:pPr>
      <w:r>
        <w:rPr>
          <w:rFonts w:ascii="Arial;sans-serif" w:hAnsi="Arial;sans-serif"/>
          <w:b w:val="false"/>
          <w:color w:val="1D1D1D"/>
          <w:sz w:val="20"/>
        </w:rPr>
        <w:t>Company Sickness Pay is determined by your length of service with the company as follows. The 12-month period is calculated retrospectively from the first day of current sickness absence. For more details on the sickness and injury benefit please see our HR Central intranet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85115"/>
                <wp:effectExtent l="0" t="0" r="0" b="0"/>
                <wp:wrapNone/>
                <wp:docPr id="132" name="Frame130"/>
                <a:graphic xmlns:a="http://schemas.openxmlformats.org/drawingml/2006/main">
                  <a:graphicData uri="http://schemas.microsoft.com/office/word/2010/wordprocessingShape">
                    <wps:wsp>
                      <wps:cNvSpPr txBox="1"/>
                      <wps:spPr>
                        <a:xfrm>
                          <a:off x="0" y="0"/>
                          <a:ext cx="6480175" cy="2851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3</w:t>
                      </w:r>
                    </w:p>
                  </w:txbxContent>
                </v:textbox>
                <w10:wrap type="none"/>
              </v:rect>
            </w:pict>
          </mc:Fallback>
        </mc:AlternateContent>
      </w:r>
    </w:p>
    <w:p>
      <w:pPr>
        <w:pStyle w:val="TextBody"/>
        <w:bidi w:val="0"/>
        <w:spacing w:before="99" w:after="283"/>
        <w:jc w:val="left"/>
        <w:rPr/>
      </w:pPr>
      <w:r>
        <w:rPr/>
      </w:r>
    </w:p>
    <w:p>
      <w:pPr>
        <w:pStyle w:val="TextBody"/>
        <w:bidi w:val="0"/>
        <w:spacing w:lineRule="auto" w:line="288" w:before="0" w:after="0"/>
        <w:jc w:val="left"/>
        <w:rPr>
          <w:rFonts w:ascii="Arial;sans-serif" w:hAnsi="Arial;sans-serif"/>
          <w:b/>
          <w:color w:val="161616"/>
          <w:sz w:val="20"/>
        </w:rPr>
      </w:pPr>
      <w:r>
        <w:rPr>
          <w:rFonts w:ascii="Arial;sans-serif" w:hAnsi="Arial;sans-serif"/>
          <w:b/>
          <w:color w:val="161616"/>
          <w:sz w:val="20"/>
        </w:rPr>
        <w:t>Length of Service:</w:t>
      </w:r>
    </w:p>
    <w:p>
      <w:pPr>
        <w:pStyle w:val="TextBody"/>
        <w:bidi w:val="0"/>
        <w:spacing w:lineRule="auto" w:line="288" w:before="79" w:after="283"/>
        <w:jc w:val="left"/>
        <w:rPr>
          <w:rFonts w:ascii="Arial;sans-serif" w:hAnsi="Arial;sans-serif"/>
          <w:b w:val="false"/>
          <w:color w:val="161616"/>
          <w:sz w:val="20"/>
        </w:rPr>
      </w:pPr>
      <w:r>
        <w:rPr>
          <w:rFonts w:ascii="Arial;sans-serif" w:hAnsi="Arial;sans-serif"/>
          <w:b w:val="false"/>
          <w:color w:val="161616"/>
          <w:sz w:val="20"/>
        </w:rPr>
        <w:t>Up to 3 months</w:t>
      </w:r>
    </w:p>
    <w:p>
      <w:pPr>
        <w:pStyle w:val="TextBody"/>
        <w:bidi w:val="0"/>
        <w:spacing w:lineRule="auto" w:line="367" w:before="68" w:after="283"/>
        <w:jc w:val="left"/>
        <w:rPr/>
      </w:pPr>
      <w:r>
        <w:rPr>
          <w:rFonts w:ascii="Arial;sans-serif" w:hAnsi="Arial;sans-serif"/>
          <w:b w:val="false"/>
          <w:color w:val="161616"/>
          <w:sz w:val="20"/>
        </w:rPr>
        <w:t xml:space="preserve">Over 3 months, less than 6 months Over 6 months, less than </w:t>
      </w:r>
      <w:r>
        <w:rPr>
          <w:rFonts w:ascii="Times New Roman;serif" w:hAnsi="Times New Roman;serif"/>
          <w:b w:val="false"/>
          <w:color w:val="161616"/>
          <w:sz w:val="17"/>
        </w:rPr>
        <w:t xml:space="preserve">1 </w:t>
      </w:r>
      <w:r>
        <w:rPr>
          <w:rFonts w:ascii="Arial;sans-serif" w:hAnsi="Arial;sans-serif"/>
          <w:b w:val="false"/>
          <w:color w:val="161616"/>
          <w:sz w:val="20"/>
        </w:rPr>
        <w:t xml:space="preserve">year Over </w:t>
      </w:r>
      <w:r>
        <w:rPr>
          <w:rFonts w:ascii="Times New Roman;serif" w:hAnsi="Times New Roman;serif"/>
          <w:b w:val="false"/>
          <w:color w:val="161616"/>
          <w:sz w:val="17"/>
        </w:rPr>
        <w:t xml:space="preserve">1 </w:t>
      </w:r>
      <w:r>
        <w:rPr>
          <w:rFonts w:ascii="Arial;sans-serif" w:hAnsi="Arial;sans-serif"/>
          <w:b w:val="false"/>
          <w:color w:val="161616"/>
          <w:sz w:val="20"/>
        </w:rPr>
        <w:t>year, less than 3 years</w:t>
      </w:r>
    </w:p>
    <w:p>
      <w:pPr>
        <w:pStyle w:val="TextBody"/>
        <w:bidi w:val="0"/>
        <w:spacing w:lineRule="auto" w:line="645" w:before="0" w:after="0"/>
        <w:jc w:val="left"/>
        <w:rPr>
          <w:rFonts w:ascii="Arial;sans-serif" w:hAnsi="Arial;sans-serif"/>
          <w:b w:val="false"/>
          <w:color w:val="161616"/>
          <w:sz w:val="20"/>
        </w:rPr>
      </w:pPr>
      <w:r>
        <w:rPr>
          <w:rFonts w:ascii="Arial;sans-serif" w:hAnsi="Arial;sans-serif"/>
          <w:b w:val="false"/>
          <w:color w:val="161616"/>
          <w:sz w:val="20"/>
        </w:rPr>
        <w:t>Over 3 years, less than 5 years Over 5 years, less than 10 years Over 10 years</w:t>
      </w:r>
    </w:p>
    <w:p>
      <w:pPr>
        <w:pStyle w:val="TextBody"/>
        <w:bidi w:val="0"/>
        <w:spacing w:before="94" w:after="283"/>
        <w:jc w:val="left"/>
        <w:rPr/>
      </w:pPr>
      <w:r>
        <w:rPr/>
      </w:r>
    </w:p>
    <w:p>
      <w:pPr>
        <w:pStyle w:val="TextBody"/>
        <w:bidi w:val="0"/>
        <w:spacing w:lineRule="auto" w:line="280" w:before="0" w:after="0"/>
        <w:jc w:val="left"/>
        <w:rPr>
          <w:rFonts w:ascii="Arial;sans-serif" w:hAnsi="Arial;sans-serif"/>
          <w:b/>
          <w:color w:val="161616"/>
          <w:sz w:val="20"/>
        </w:rPr>
      </w:pPr>
      <w:r>
        <w:rPr>
          <w:rFonts w:ascii="Arial;sans-serif" w:hAnsi="Arial;sans-serif"/>
          <w:b/>
          <w:color w:val="161616"/>
          <w:sz w:val="20"/>
        </w:rPr>
        <w:t>Maximum Sickness Salary in a 12-month period inclusive of Statutory Sickness Benefits (SSP)</w:t>
      </w:r>
    </w:p>
    <w:p>
      <w:pPr>
        <w:pStyle w:val="TextBody"/>
        <w:bidi w:val="0"/>
        <w:spacing w:lineRule="auto" w:line="367" w:before="77" w:after="283"/>
        <w:ind w:left="0" w:right="0" w:firstLine="12"/>
        <w:jc w:val="both"/>
        <w:rPr/>
      </w:pPr>
      <w:r>
        <w:rPr>
          <w:rFonts w:ascii="Arial;sans-serif" w:hAnsi="Arial;sans-serif"/>
          <w:b w:val="false"/>
          <w:color w:val="161616"/>
          <w:sz w:val="20"/>
        </w:rPr>
        <w:t>2</w:t>
      </w:r>
      <w:r>
        <w:rPr>
          <w:color w:val="161616"/>
        </w:rPr>
        <w:t xml:space="preserve"> </w:t>
      </w:r>
      <w:r>
        <w:rPr>
          <w:rFonts w:ascii="Arial;sans-serif" w:hAnsi="Arial;sans-serif"/>
          <w:b w:val="false"/>
          <w:color w:val="161616"/>
          <w:sz w:val="20"/>
        </w:rPr>
        <w:t>weeks basic salary 4 weeks basic salary 6 weeks basic salary 13 weeks basic salary</w:t>
      </w:r>
    </w:p>
    <w:p>
      <w:pPr>
        <w:pStyle w:val="TextBody"/>
        <w:bidi w:val="0"/>
        <w:spacing w:lineRule="auto" w:line="283" w:before="0" w:after="0"/>
        <w:ind w:left="0" w:right="0" w:hanging="16"/>
        <w:jc w:val="left"/>
        <w:rPr>
          <w:rFonts w:ascii="Arial;sans-serif" w:hAnsi="Arial;sans-serif"/>
          <w:b w:val="false"/>
          <w:color w:val="161616"/>
          <w:sz w:val="20"/>
        </w:rPr>
      </w:pPr>
      <w:r>
        <w:rPr>
          <w:rFonts w:ascii="Arial;sans-serif" w:hAnsi="Arial;sans-serif"/>
          <w:b w:val="false"/>
          <w:color w:val="161616"/>
          <w:sz w:val="20"/>
        </w:rPr>
        <w:t>13 weeks basic salary, plus 13 weeks half basic salary</w:t>
      </w:r>
    </w:p>
    <w:p>
      <w:pPr>
        <w:pStyle w:val="TextBody"/>
        <w:bidi w:val="0"/>
        <w:spacing w:lineRule="auto" w:line="283" w:before="56" w:after="283"/>
        <w:ind w:left="0" w:right="0" w:hanging="16"/>
        <w:jc w:val="left"/>
        <w:rPr>
          <w:rFonts w:ascii="Arial;sans-serif" w:hAnsi="Arial;sans-serif"/>
          <w:b w:val="false"/>
          <w:color w:val="161616"/>
          <w:sz w:val="20"/>
        </w:rPr>
      </w:pPr>
      <w:r>
        <w:rPr>
          <w:rFonts w:ascii="Arial;sans-serif" w:hAnsi="Arial;sans-serif"/>
          <w:b w:val="false"/>
          <w:color w:val="161616"/>
          <w:sz w:val="20"/>
        </w:rPr>
        <w:t>17 weeks basic salary, plus 17 weeks half basic salary</w:t>
      </w:r>
    </w:p>
    <w:p>
      <w:pPr>
        <w:pStyle w:val="TextBody"/>
        <w:bidi w:val="0"/>
        <w:spacing w:lineRule="auto" w:line="283" w:before="69" w:after="283"/>
        <w:ind w:left="0" w:right="0" w:firstLine="5"/>
        <w:jc w:val="left"/>
        <w:rPr>
          <w:rFonts w:ascii="Arial;sans-serif" w:hAnsi="Arial;sans-serif"/>
          <w:b w:val="false"/>
          <w:color w:val="161616"/>
          <w:sz w:val="20"/>
        </w:rPr>
      </w:pPr>
      <w:r>
        <w:rPr>
          <w:rFonts w:ascii="Arial;sans-serif" w:hAnsi="Arial;sans-serif"/>
          <w:b w:val="false"/>
          <w:color w:val="161616"/>
          <w:sz w:val="20"/>
        </w:rPr>
        <w:t>26 weeks basic salary, plus 26 weeks half basic salary</w:t>
      </w:r>
    </w:p>
    <w:p>
      <w:pPr>
        <w:pStyle w:val="TextBody"/>
        <w:bidi w:val="0"/>
        <w:spacing w:lineRule="auto" w:line="288" w:before="223" w:after="283"/>
        <w:jc w:val="both"/>
        <w:rPr>
          <w:rFonts w:ascii="Arial;sans-serif" w:hAnsi="Arial;sans-serif"/>
          <w:b/>
          <w:color w:val="161616"/>
          <w:sz w:val="20"/>
        </w:rPr>
      </w:pPr>
      <w:r>
        <w:rPr>
          <w:rFonts w:ascii="Arial;sans-serif" w:hAnsi="Arial;sans-serif"/>
          <w:b/>
          <w:color w:val="161616"/>
          <w:sz w:val="20"/>
        </w:rPr>
        <w:t>Data Protection</w:t>
      </w:r>
    </w:p>
    <w:p>
      <w:pPr>
        <w:pStyle w:val="TextBody"/>
        <w:bidi w:val="0"/>
        <w:spacing w:lineRule="auto" w:line="283" w:before="5" w:after="283"/>
        <w:ind w:left="0" w:right="0" w:hanging="7"/>
        <w:jc w:val="both"/>
        <w:rPr>
          <w:rFonts w:ascii="Arial;sans-serif" w:hAnsi="Arial;sans-serif"/>
          <w:b w:val="false"/>
          <w:color w:val="161616"/>
          <w:sz w:val="20"/>
        </w:rPr>
      </w:pPr>
      <w:r>
        <w:rPr>
          <w:rFonts w:ascii="Arial;sans-serif" w:hAnsi="Arial;sans-serif"/>
          <w:b w:val="false"/>
          <w:color w:val="161616"/>
          <w:sz w:val="20"/>
        </w:rPr>
        <w:t>The employee hereby consents to the holding by the Company of sensitive personal data (as defined in the Data Protection Act) relating to the employee as part of the Company's employment records. Sensitive Personal Data is information that concerns racial or ethnic origin, political opinion, religious or similar beliefs, trade union membership, physical or mental health/condition, sexual life, the commission/alleged commission of an offence or court proceeding in relation to such an offence.</w:t>
      </w:r>
    </w:p>
    <w:p>
      <w:pPr>
        <w:pStyle w:val="TextBody"/>
        <w:bidi w:val="0"/>
        <w:spacing w:before="11" w:after="283"/>
        <w:jc w:val="left"/>
        <w:rPr/>
      </w:pPr>
      <w:r>
        <w:rPr/>
      </w:r>
    </w:p>
    <w:p>
      <w:pPr>
        <w:pStyle w:val="TextBody"/>
        <w:bidi w:val="0"/>
        <w:spacing w:lineRule="auto" w:line="288" w:before="0" w:after="0"/>
        <w:jc w:val="both"/>
        <w:rPr>
          <w:rFonts w:ascii="Arial;sans-serif" w:hAnsi="Arial;sans-serif"/>
          <w:b/>
          <w:color w:val="161616"/>
          <w:sz w:val="20"/>
        </w:rPr>
      </w:pPr>
      <w:r>
        <w:rPr>
          <w:rFonts w:ascii="Arial;sans-serif" w:hAnsi="Arial;sans-serif"/>
          <w:b/>
          <w:color w:val="161616"/>
          <w:sz w:val="20"/>
        </w:rPr>
        <w:t>Confidential Information</w:t>
      </w:r>
    </w:p>
    <w:p>
      <w:pPr>
        <w:pStyle w:val="TextBody"/>
        <w:bidi w:val="0"/>
        <w:spacing w:lineRule="auto" w:line="283" w:before="11" w:after="283"/>
        <w:ind w:left="0" w:right="0" w:firstLine="3"/>
        <w:jc w:val="both"/>
        <w:rPr>
          <w:rFonts w:ascii="Arial;sans-serif" w:hAnsi="Arial;sans-serif"/>
          <w:b w:val="false"/>
          <w:color w:val="161616"/>
          <w:sz w:val="20"/>
        </w:rPr>
      </w:pPr>
      <w:r>
        <w:rPr>
          <w:rFonts w:ascii="Arial;sans-serif" w:hAnsi="Arial;sans-serif"/>
          <w:b w:val="false"/>
          <w:color w:val="161616"/>
          <w:sz w:val="20"/>
        </w:rPr>
        <w:t>You will not during your employment with the Company or at any time thereafter, without written permission of the Company, disclose to any person outside the Company, or to any person within the Company other than a person whose province it is to know the same, any information relating to the Company's business which is of a confidential nature or disclosure of which may damage the interests of the Company. Also, you will not use for any purpose or for purposes other than those of the Company, any information which you may acquire relating to the Company's business. On termination of your employment you will deliver to the Company on your last working day (without keeping any copies) any documents or other media relating to the business of the Company.</w:t>
      </w:r>
    </w:p>
    <w:p>
      <w:pPr>
        <w:pStyle w:val="TextBody"/>
        <w:bidi w:val="0"/>
        <w:spacing w:before="3" w:after="283"/>
        <w:jc w:val="left"/>
        <w:rPr/>
      </w:pPr>
      <w:r>
        <w:rPr/>
      </w:r>
    </w:p>
    <w:p>
      <w:pPr>
        <w:pStyle w:val="TextBody"/>
        <w:bidi w:val="0"/>
        <w:spacing w:lineRule="auto" w:line="288" w:before="1" w:after="283"/>
        <w:jc w:val="both"/>
        <w:rPr>
          <w:rFonts w:ascii="Arial;sans-serif" w:hAnsi="Arial;sans-serif"/>
          <w:b/>
          <w:color w:val="161616"/>
          <w:sz w:val="20"/>
        </w:rPr>
      </w:pPr>
      <w:r>
        <w:rPr>
          <w:rFonts w:ascii="Arial;sans-serif" w:hAnsi="Arial;sans-serif"/>
          <w:b/>
          <w:color w:val="161616"/>
          <w:sz w:val="20"/>
        </w:rPr>
        <w:t>Outside Submissions</w:t>
      </w:r>
    </w:p>
    <w:p>
      <w:pPr>
        <w:pStyle w:val="TextBody"/>
        <w:bidi w:val="0"/>
        <w:spacing w:lineRule="auto" w:line="285" w:before="10" w:after="283"/>
        <w:ind w:left="0" w:right="0" w:hanging="3"/>
        <w:jc w:val="both"/>
        <w:rPr>
          <w:rFonts w:ascii="Arial;sans-serif" w:hAnsi="Arial;sans-serif"/>
          <w:b w:val="false"/>
          <w:color w:val="161616"/>
          <w:sz w:val="20"/>
        </w:rPr>
      </w:pPr>
      <w:r>
        <w:rPr>
          <w:rFonts w:ascii="Arial;sans-serif" w:hAnsi="Arial;sans-serif"/>
          <w:b w:val="false"/>
          <w:color w:val="161616"/>
          <w:sz w:val="20"/>
        </w:rPr>
        <w:t>It is most important that the Company shall not be placed in a position of confidential trust or relationship with respect to any unsolicited disclosure of information received from anyone outside the Company. You should not accept any idea or suggestion offered to you by a third party. If you do receive any unsolicited idea or suggestion from a third party concerning technical developments or products including software, you should not respond; instead you should forward it to NCR VOYIX n, Law Department, 864 Spring St NW, Atlanta, GA 30308-1007, without keeping a copy or sharing it with anyone else.</w:t>
      </w:r>
    </w:p>
    <w:p>
      <w:pPr>
        <w:pStyle w:val="TextBody"/>
        <w:bidi w:val="0"/>
        <w:spacing w:before="5" w:after="283"/>
        <w:jc w:val="left"/>
        <w:rPr/>
      </w:pPr>
      <w:r>
        <w:rPr/>
      </w:r>
    </w:p>
    <w:p>
      <w:pPr>
        <w:pStyle w:val="TextBody"/>
        <w:bidi w:val="0"/>
        <w:spacing w:lineRule="auto" w:line="288" w:before="0" w:after="0"/>
        <w:jc w:val="left"/>
        <w:rPr>
          <w:rFonts w:ascii="Arial;sans-serif" w:hAnsi="Arial;sans-serif"/>
          <w:b/>
          <w:color w:val="161616"/>
          <w:sz w:val="20"/>
        </w:rPr>
      </w:pPr>
      <w:r>
        <w:rPr>
          <w:rFonts w:ascii="Arial;sans-serif" w:hAnsi="Arial;sans-serif"/>
          <w:b/>
          <w:color w:val="161616"/>
          <w:sz w:val="20"/>
        </w:rPr>
        <w:t>Inventions</w:t>
      </w:r>
    </w:p>
    <w:p>
      <w:pPr>
        <w:pStyle w:val="TextBody"/>
        <w:bidi w:val="0"/>
        <w:spacing w:lineRule="auto" w:line="285" w:before="6" w:after="283"/>
        <w:ind w:left="0" w:right="0" w:hanging="355"/>
        <w:jc w:val="both"/>
        <w:rPr>
          <w:rFonts w:ascii="Arial;sans-serif" w:hAnsi="Arial;sans-serif"/>
          <w:b w:val="false"/>
          <w:color w:val="161616"/>
          <w:sz w:val="20"/>
        </w:rPr>
      </w:pPr>
      <w:r>
        <w:rPr>
          <w:rFonts w:ascii="Arial;sans-serif" w:hAnsi="Arial;sans-serif"/>
          <w:b w:val="false"/>
          <w:color w:val="161616"/>
          <w:sz w:val="20"/>
        </w:rPr>
        <w:t>a.You will as soon as reasonably possible, disclose confidentially to the Company and to no one else, full particulars of all inventions, improvements and designs made or discovered by you, whether alone or jointly, whilst in the service of the Company, which relate to or are capable of use in connection with any of the products made, sold or hired by the Company or the manufacturer thereof, or any of the Company's business processes. The rights as between the Company and you in any invention as specified above shall be as set out in the Patents Act 1977-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85115"/>
                <wp:effectExtent l="0" t="0" r="0" b="0"/>
                <wp:wrapNone/>
                <wp:docPr id="133" name="Frame131"/>
                <a:graphic xmlns:a="http://schemas.openxmlformats.org/drawingml/2006/main">
                  <a:graphicData uri="http://schemas.microsoft.com/office/word/2010/wordprocessingShape">
                    <wps:wsp>
                      <wps:cNvSpPr txBox="1"/>
                      <wps:spPr>
                        <a:xfrm>
                          <a:off x="0" y="0"/>
                          <a:ext cx="6480175" cy="2851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4</w:t>
                      </w:r>
                    </w:p>
                  </w:txbxContent>
                </v:textbox>
                <w10:wrap type="none"/>
              </v:rect>
            </w:pict>
          </mc:Fallback>
        </mc:AlternateContent>
      </w:r>
    </w:p>
    <w:p>
      <w:pPr>
        <w:pStyle w:val="TextBody"/>
        <w:bidi w:val="0"/>
        <w:spacing w:before="199" w:after="283"/>
        <w:jc w:val="left"/>
        <w:rPr/>
      </w:pPr>
      <w:r>
        <w:rPr/>
      </w:r>
    </w:p>
    <w:p>
      <w:pPr>
        <w:pStyle w:val="TextBody"/>
        <w:bidi w:val="0"/>
        <w:spacing w:lineRule="auto" w:line="285" w:before="0" w:after="0"/>
        <w:ind w:left="0" w:right="0" w:hanging="356"/>
        <w:jc w:val="both"/>
        <w:rPr>
          <w:rFonts w:ascii="Arial;sans-serif" w:hAnsi="Arial;sans-serif"/>
          <w:b w:val="false"/>
          <w:color w:val="1F1F1F"/>
          <w:sz w:val="20"/>
        </w:rPr>
      </w:pPr>
      <w:r>
        <w:rPr>
          <w:rFonts w:ascii="Arial;sans-serif" w:hAnsi="Arial;sans-serif"/>
          <w:b w:val="false"/>
          <w:color w:val="1F1F1F"/>
          <w:sz w:val="20"/>
        </w:rPr>
        <w:t>b.In respect of any invention as specified above, unless it has been established that such invention does not belong to the Company, the Company has absolute discretion as to whether any application for a patent or other protection shall be made on such invention, and has the right to abandon any such application and any patent granted thereon.</w:t>
      </w:r>
    </w:p>
    <w:p>
      <w:pPr>
        <w:pStyle w:val="TextBody"/>
        <w:bidi w:val="0"/>
        <w:spacing w:before="8" w:after="283"/>
        <w:jc w:val="left"/>
        <w:rPr/>
      </w:pPr>
      <w:r>
        <w:rPr/>
      </w:r>
    </w:p>
    <w:p>
      <w:pPr>
        <w:pStyle w:val="TextBody"/>
        <w:bidi w:val="0"/>
        <w:spacing w:lineRule="auto" w:line="285" w:before="0" w:after="0"/>
        <w:ind w:left="0" w:right="0" w:hanging="360"/>
        <w:jc w:val="both"/>
        <w:rPr>
          <w:rFonts w:ascii="Arial;sans-serif" w:hAnsi="Arial;sans-serif"/>
          <w:b w:val="false"/>
          <w:color w:val="1F1F1F"/>
          <w:sz w:val="20"/>
        </w:rPr>
      </w:pPr>
      <w:r>
        <w:rPr>
          <w:rFonts w:ascii="Arial;sans-serif" w:hAnsi="Arial;sans-serif"/>
          <w:b w:val="false"/>
          <w:color w:val="1F1F1F"/>
          <w:sz w:val="20"/>
        </w:rPr>
        <w:t>c.The Company shall pay a monetary award to you in respect of any invention belonging to the Company which has been made by you, either alone or jointly, and in respect of which a patent application has been filed. Such award shall be in accordance with the Invention Recognition and Incentive Plan as set out in the Corporate Patent Policy.</w:t>
      </w:r>
    </w:p>
    <w:p>
      <w:pPr>
        <w:pStyle w:val="TextBody"/>
        <w:bidi w:val="0"/>
        <w:spacing w:before="9" w:after="283"/>
        <w:jc w:val="left"/>
        <w:rPr/>
      </w:pPr>
      <w:r>
        <w:rPr/>
      </w:r>
    </w:p>
    <w:p>
      <w:pPr>
        <w:pStyle w:val="TextBody"/>
        <w:bidi w:val="0"/>
        <w:spacing w:lineRule="auto" w:line="285" w:before="1" w:after="283"/>
        <w:ind w:left="0" w:right="0" w:hanging="354"/>
        <w:jc w:val="both"/>
        <w:rPr>
          <w:rFonts w:ascii="Arial;sans-serif" w:hAnsi="Arial;sans-serif"/>
          <w:b w:val="false"/>
          <w:color w:val="1F1F1F"/>
          <w:sz w:val="20"/>
        </w:rPr>
      </w:pPr>
      <w:r>
        <w:rPr>
          <w:rFonts w:ascii="Arial;sans-serif" w:hAnsi="Arial;sans-serif"/>
          <w:b w:val="false"/>
          <w:color w:val="1F1F1F"/>
          <w:sz w:val="20"/>
        </w:rPr>
        <w:t>d.In consideration of your salary or wages, any intellectual property rights other than inventions arising from work done by you in the course of your duties as an employee of the Company and which relate to the business of the Company shall belong exclusively to the Company. Such intellectual property rights include, but are not limited, to copyright, industrial and artistic designs, trademarks, trade secrets, know-how and other confidential information.</w:t>
      </w:r>
    </w:p>
    <w:p>
      <w:pPr>
        <w:pStyle w:val="TextBody"/>
        <w:bidi w:val="0"/>
        <w:spacing w:before="11" w:after="283"/>
        <w:jc w:val="left"/>
        <w:rPr/>
      </w:pPr>
      <w:r>
        <w:rPr/>
      </w:r>
    </w:p>
    <w:p>
      <w:pPr>
        <w:pStyle w:val="TextBody"/>
        <w:bidi w:val="0"/>
        <w:spacing w:lineRule="auto" w:line="283" w:before="0" w:after="0"/>
        <w:ind w:left="0" w:right="0" w:hanging="355"/>
        <w:jc w:val="both"/>
        <w:rPr>
          <w:rFonts w:ascii="Arial;sans-serif" w:hAnsi="Arial;sans-serif"/>
          <w:b w:val="false"/>
          <w:color w:val="1F1F1F"/>
          <w:sz w:val="20"/>
        </w:rPr>
      </w:pPr>
      <w:r>
        <w:rPr>
          <w:rFonts w:ascii="Arial;sans-serif" w:hAnsi="Arial;sans-serif"/>
          <w:b w:val="false"/>
          <w:color w:val="1F1F1F"/>
          <w:sz w:val="20"/>
        </w:rPr>
        <w:t>e.You will at the request and cost of the Company, whether during or after your employment with the Company, execute any document and do any acts necessary to enable the Company or its assigns to obtain patent protection in any part of the world in respect of any invention as specified in paragraph a) above, unless it has been established that such invention does not belong to the Company, and to obtain registered design, copyright or other protection in respect of intellectual property rights as specified in paragraph d) above.</w:t>
      </w:r>
    </w:p>
    <w:p>
      <w:pPr>
        <w:pStyle w:val="TextBody"/>
        <w:bidi w:val="0"/>
        <w:spacing w:before="12" w:after="283"/>
        <w:jc w:val="left"/>
        <w:rPr/>
      </w:pPr>
      <w:r>
        <w:rPr/>
      </w:r>
    </w:p>
    <w:p>
      <w:pPr>
        <w:pStyle w:val="TextBody"/>
        <w:bidi w:val="0"/>
        <w:spacing w:lineRule="auto" w:line="288" w:before="0" w:after="0"/>
        <w:jc w:val="both"/>
        <w:rPr>
          <w:rFonts w:ascii="Arial;sans-serif" w:hAnsi="Arial;sans-serif"/>
          <w:b/>
          <w:color w:val="1F1F1F"/>
          <w:sz w:val="20"/>
        </w:rPr>
      </w:pPr>
      <w:r>
        <w:rPr>
          <w:rFonts w:ascii="Arial;sans-serif" w:hAnsi="Arial;sans-serif"/>
          <w:b/>
          <w:color w:val="1F1F1F"/>
          <w:sz w:val="20"/>
        </w:rPr>
        <w:t>Ethics &amp; Compliance</w:t>
      </w:r>
    </w:p>
    <w:p>
      <w:pPr>
        <w:pStyle w:val="TextBody"/>
        <w:bidi w:val="0"/>
        <w:spacing w:lineRule="auto" w:line="283" w:before="1" w:after="283"/>
        <w:ind w:left="0" w:right="0" w:hanging="3"/>
        <w:jc w:val="both"/>
        <w:rPr>
          <w:rFonts w:ascii="Arial;sans-serif" w:hAnsi="Arial;sans-serif"/>
          <w:b w:val="false"/>
          <w:color w:val="1F1F1F"/>
          <w:sz w:val="20"/>
        </w:rPr>
      </w:pPr>
      <w:r>
        <w:rPr>
          <w:rFonts w:ascii="Arial;sans-serif" w:hAnsi="Arial;sans-serif"/>
          <w:b w:val="false"/>
          <w:color w:val="1F1F1F"/>
          <w:sz w:val="20"/>
        </w:rPr>
        <w:t>The NCR VOYIX Employee Handbook contains standard Company policies and procedures which also cover Ethics and Compliance. All current policies and procedures are available on our HR Central intranet website.</w:t>
      </w:r>
    </w:p>
    <w:p>
      <w:pPr>
        <w:pStyle w:val="TextBody"/>
        <w:bidi w:val="0"/>
        <w:spacing w:before="8" w:after="283"/>
        <w:jc w:val="left"/>
        <w:rPr/>
      </w:pPr>
      <w:r>
        <w:rPr/>
      </w:r>
    </w:p>
    <w:p>
      <w:pPr>
        <w:pStyle w:val="TextBody"/>
        <w:bidi w:val="0"/>
        <w:spacing w:lineRule="auto" w:line="283" w:before="0" w:after="0"/>
        <w:ind w:left="0" w:right="0" w:firstLine="8"/>
        <w:jc w:val="both"/>
        <w:rPr>
          <w:rFonts w:ascii="Arial;sans-serif" w:hAnsi="Arial;sans-serif"/>
          <w:b w:val="false"/>
          <w:color w:val="1F1F1F"/>
          <w:sz w:val="20"/>
        </w:rPr>
      </w:pPr>
      <w:r>
        <w:rPr>
          <w:rFonts w:ascii="Arial;sans-serif" w:hAnsi="Arial;sans-serif"/>
          <w:b w:val="false"/>
          <w:color w:val="1F1F1F"/>
          <w:sz w:val="20"/>
        </w:rPr>
        <w:t>All employees are required to become familiar with our Ethics and Compliance policies and procedures. Employee sign-off is also required.</w:t>
      </w:r>
    </w:p>
    <w:p>
      <w:pPr>
        <w:pStyle w:val="TextBody"/>
        <w:bidi w:val="0"/>
        <w:spacing w:before="7" w:after="283"/>
        <w:jc w:val="left"/>
        <w:rPr/>
      </w:pPr>
      <w:r>
        <w:rPr/>
      </w:r>
    </w:p>
    <w:p>
      <w:pPr>
        <w:pStyle w:val="TextBody"/>
        <w:bidi w:val="0"/>
        <w:spacing w:lineRule="auto" w:line="288" w:before="0" w:after="0"/>
        <w:jc w:val="both"/>
        <w:rPr>
          <w:rFonts w:ascii="Arial;sans-serif" w:hAnsi="Arial;sans-serif"/>
          <w:b/>
          <w:color w:val="1F1F1F"/>
          <w:sz w:val="20"/>
        </w:rPr>
      </w:pPr>
      <w:r>
        <w:rPr>
          <w:rFonts w:ascii="Arial;sans-serif" w:hAnsi="Arial;sans-serif"/>
          <w:b/>
          <w:color w:val="1F1F1F"/>
          <w:sz w:val="20"/>
        </w:rPr>
        <w:t>Conflicts of Interest</w:t>
      </w:r>
    </w:p>
    <w:p>
      <w:pPr>
        <w:pStyle w:val="TextBody"/>
        <w:bidi w:val="0"/>
        <w:spacing w:lineRule="auto" w:line="285" w:before="6" w:after="283"/>
        <w:ind w:left="0" w:right="0" w:hanging="2"/>
        <w:jc w:val="both"/>
        <w:rPr/>
      </w:pPr>
      <w:r>
        <w:rPr>
          <w:rFonts w:ascii="Arial;sans-serif" w:hAnsi="Arial;sans-serif"/>
          <w:b w:val="false"/>
          <w:color w:val="1F1F1F"/>
          <w:sz w:val="20"/>
        </w:rPr>
        <w:t xml:space="preserve">Company policy requires that you be free of any investment, association, or relationship (whether your own or your family's) with individuals or companies who are in competition, or have some existing or potential business arrangement with NCR VOYIX, which might afford you personal gain, or adversely affect the best interests of the Company. Whilst it is not feasible to define all situations where conflicts could conceivably exist, the Company's Code of Conduct covers some of these, and a questionnaire, incorporating the key areas recognised by NCR VOYIX as creating potential conflicts, is enclosed for you to complete and return. This </w:t>
      </w:r>
      <w:r>
        <w:rPr>
          <w:rFonts w:ascii="Arial;sans-serif" w:hAnsi="Arial;sans-serif"/>
          <w:b w:val="false"/>
          <w:color w:val="343434"/>
          <w:sz w:val="20"/>
        </w:rPr>
        <w:t xml:space="preserve">will </w:t>
      </w:r>
      <w:r>
        <w:rPr>
          <w:rFonts w:ascii="Arial;sans-serif" w:hAnsi="Arial;sans-serif"/>
          <w:b w:val="false"/>
          <w:color w:val="1F1F1F"/>
          <w:sz w:val="20"/>
        </w:rPr>
        <w:t>also form part of your Contract of Employment.</w:t>
      </w:r>
    </w:p>
    <w:p>
      <w:pPr>
        <w:pStyle w:val="TextBody"/>
        <w:bidi w:val="0"/>
        <w:spacing w:lineRule="auto" w:line="288" w:before="229" w:after="283"/>
        <w:jc w:val="both"/>
        <w:rPr>
          <w:rFonts w:ascii="Arial;sans-serif" w:hAnsi="Arial;sans-serif"/>
          <w:b/>
          <w:color w:val="1F1F1F"/>
          <w:sz w:val="20"/>
        </w:rPr>
      </w:pPr>
      <w:r>
        <w:rPr>
          <w:rFonts w:ascii="Arial;sans-serif" w:hAnsi="Arial;sans-serif"/>
          <w:b/>
          <w:color w:val="1F1F1F"/>
          <w:sz w:val="20"/>
        </w:rPr>
        <w:t>Non-Competition Agreement</w:t>
      </w:r>
    </w:p>
    <w:p>
      <w:pPr>
        <w:pStyle w:val="TextBody"/>
        <w:bidi w:val="0"/>
        <w:spacing w:lineRule="auto" w:line="285" w:before="10" w:after="283"/>
        <w:ind w:left="0" w:right="0" w:firstLine="3"/>
        <w:jc w:val="both"/>
        <w:rPr/>
      </w:pPr>
      <w:r>
        <w:rPr>
          <w:rFonts w:ascii="Arial;sans-serif" w:hAnsi="Arial;sans-serif"/>
          <w:b w:val="false"/>
          <w:color w:val="1F1F1F"/>
          <w:sz w:val="20"/>
        </w:rPr>
        <w:t xml:space="preserve">By accepting and signing this Statement of Terms and Conditions of Employment you certify to the Company that you are not subject to a non-competition agreement with any company </w:t>
      </w:r>
      <w:r>
        <w:rPr>
          <w:rFonts w:ascii="Arial;sans-serif" w:hAnsi="Arial;sans-serif"/>
          <w:b w:val="false"/>
          <w:color w:val="343434"/>
          <w:sz w:val="20"/>
        </w:rPr>
        <w:t xml:space="preserve">which </w:t>
      </w:r>
      <w:r>
        <w:rPr>
          <w:rFonts w:ascii="Arial;sans-serif" w:hAnsi="Arial;sans-serif"/>
          <w:b w:val="false"/>
          <w:color w:val="1F1F1F"/>
          <w:sz w:val="20"/>
        </w:rPr>
        <w:t xml:space="preserve">would preclude or restrict you from performing the Company position being offered </w:t>
      </w:r>
      <w:r>
        <w:rPr>
          <w:rFonts w:ascii="Arial;sans-serif" w:hAnsi="Arial;sans-serif"/>
          <w:b w:val="false"/>
          <w:color w:val="343434"/>
          <w:sz w:val="20"/>
        </w:rPr>
        <w:t xml:space="preserve">in </w:t>
      </w:r>
      <w:r>
        <w:rPr>
          <w:rFonts w:ascii="Arial;sans-serif" w:hAnsi="Arial;sans-serif"/>
          <w:b w:val="false"/>
          <w:color w:val="1F1F1F"/>
          <w:sz w:val="20"/>
        </w:rPr>
        <w:t>this letter. The Company also advises you of the Company's strong policy of respecting the intellectual property rights of other companies. You should not bring with you to your Company position any documents or materials designated as confidential, proprietary or trade secret by another company, nor in any other way disclose trade secret information while employed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85115"/>
                <wp:effectExtent l="0" t="0" r="0" b="0"/>
                <wp:wrapNone/>
                <wp:docPr id="134" name="Frame132"/>
                <a:graphic xmlns:a="http://schemas.openxmlformats.org/drawingml/2006/main">
                  <a:graphicData uri="http://schemas.microsoft.com/office/word/2010/wordprocessingShape">
                    <wps:wsp>
                      <wps:cNvSpPr txBox="1"/>
                      <wps:spPr>
                        <a:xfrm>
                          <a:off x="0" y="0"/>
                          <a:ext cx="6480175" cy="2851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5</w:t>
                      </w:r>
                    </w:p>
                  </w:txbxContent>
                </v:textbox>
                <w10:wrap type="none"/>
              </v:rect>
            </w:pict>
          </mc:Fallback>
        </mc:AlternateContent>
      </w:r>
    </w:p>
    <w:p>
      <w:pPr>
        <w:pStyle w:val="TextBody"/>
        <w:bidi w:val="0"/>
        <w:spacing w:before="199" w:after="283"/>
        <w:jc w:val="left"/>
        <w:rPr/>
      </w:pPr>
      <w:r>
        <w:rPr/>
      </w:r>
    </w:p>
    <w:p>
      <w:pPr>
        <w:pStyle w:val="TextBody"/>
        <w:bidi w:val="0"/>
        <w:spacing w:lineRule="auto" w:line="288" w:before="0" w:after="0"/>
        <w:jc w:val="left"/>
        <w:rPr>
          <w:rFonts w:ascii="Arial;sans-serif" w:hAnsi="Arial;sans-serif"/>
          <w:b/>
          <w:color w:val="131313"/>
          <w:sz w:val="20"/>
        </w:rPr>
      </w:pPr>
      <w:r>
        <w:rPr>
          <w:rFonts w:ascii="Arial;sans-serif" w:hAnsi="Arial;sans-serif"/>
          <w:b/>
          <w:color w:val="131313"/>
          <w:sz w:val="20"/>
        </w:rPr>
        <w:t>Variations</w:t>
      </w:r>
    </w:p>
    <w:p>
      <w:pPr>
        <w:pStyle w:val="TextBody"/>
        <w:bidi w:val="0"/>
        <w:spacing w:lineRule="auto" w:line="283" w:before="1" w:after="283"/>
        <w:ind w:left="0" w:right="0" w:hanging="7"/>
        <w:jc w:val="both"/>
        <w:rPr>
          <w:rFonts w:ascii="Arial;sans-serif" w:hAnsi="Arial;sans-serif"/>
          <w:b w:val="false"/>
          <w:color w:val="131313"/>
          <w:sz w:val="20"/>
        </w:rPr>
      </w:pPr>
      <w:r>
        <w:rPr>
          <w:rFonts w:ascii="Arial;sans-serif" w:hAnsi="Arial;sans-serif"/>
          <w:b w:val="false"/>
          <w:color w:val="131313"/>
          <w:sz w:val="20"/>
        </w:rPr>
        <w:t>The Company reserves the right to vary your terms and conditions of employment. Any changes will be confirmed to you either by Letter, general notice, or by the re-issue of your contract of employment or amendment of this document or any accompanying schedules.</w:t>
      </w:r>
    </w:p>
    <w:p>
      <w:pPr>
        <w:pStyle w:val="TextBody"/>
        <w:bidi w:val="0"/>
        <w:spacing w:before="17" w:after="283"/>
        <w:jc w:val="left"/>
        <w:rPr/>
      </w:pPr>
      <w:r>
        <w:rPr/>
      </w:r>
    </w:p>
    <w:p>
      <w:pPr>
        <w:pStyle w:val="TextBody"/>
        <w:bidi w:val="0"/>
        <w:spacing w:lineRule="auto" w:line="288" w:before="0" w:after="0"/>
        <w:jc w:val="both"/>
        <w:rPr>
          <w:rFonts w:ascii="Arial;sans-serif" w:hAnsi="Arial;sans-serif"/>
          <w:b/>
          <w:color w:val="131313"/>
          <w:sz w:val="20"/>
        </w:rPr>
      </w:pPr>
      <w:r>
        <w:rPr>
          <w:rFonts w:ascii="Arial;sans-serif" w:hAnsi="Arial;sans-serif"/>
          <w:b/>
          <w:color w:val="131313"/>
          <w:sz w:val="20"/>
        </w:rPr>
        <w:t>Basis of Agreement</w:t>
      </w:r>
    </w:p>
    <w:p>
      <w:pPr>
        <w:pStyle w:val="TextBody"/>
        <w:bidi w:val="0"/>
        <w:spacing w:lineRule="auto" w:line="283" w:before="6" w:after="283"/>
        <w:ind w:left="0" w:right="0" w:hanging="4"/>
        <w:jc w:val="both"/>
        <w:rPr>
          <w:rFonts w:ascii="Arial;sans-serif" w:hAnsi="Arial;sans-serif"/>
          <w:b w:val="false"/>
          <w:color w:val="131313"/>
          <w:sz w:val="20"/>
        </w:rPr>
      </w:pPr>
      <w:r>
        <w:rPr>
          <w:rFonts w:ascii="Arial;sans-serif" w:hAnsi="Arial;sans-serif"/>
          <w:b w:val="false"/>
          <w:color w:val="131313"/>
          <w:sz w:val="20"/>
        </w:rPr>
        <w:t>The conditions of employment outlined in The Statement of Terms &amp; Conditions of Employment. together with the 'Particulars of Employment' document and the NCR VOYIX Employee Handbook formulate the basis of the agreement between you and NCR VOYIX.</w:t>
      </w:r>
    </w:p>
    <w:p>
      <w:pPr>
        <w:pStyle w:val="TextBody"/>
        <w:bidi w:val="0"/>
        <w:spacing w:before="0" w:after="0"/>
        <w:jc w:val="left"/>
        <w:rPr/>
      </w:pPr>
      <w:r>
        <w:rPr/>
      </w:r>
    </w:p>
    <w:p>
      <w:pPr>
        <w:pStyle w:val="TextBody"/>
        <w:bidi w:val="0"/>
        <w:spacing w:before="23" w:after="283"/>
        <w:jc w:val="left"/>
        <w:rPr/>
      </w:pPr>
      <w:r>
        <w:rPr/>
      </w:r>
    </w:p>
    <w:p>
      <w:pPr>
        <w:pStyle w:val="TextBody"/>
        <w:bidi w:val="0"/>
        <w:spacing w:lineRule="auto" w:line="288" w:before="0" w:after="0"/>
        <w:ind w:left="0" w:right="0" w:hanging="1"/>
        <w:jc w:val="both"/>
        <w:rPr>
          <w:rFonts w:ascii="Arial;sans-serif" w:hAnsi="Arial;sans-serif"/>
          <w:b/>
          <w:color w:val="131313"/>
          <w:sz w:val="20"/>
        </w:rPr>
      </w:pPr>
      <w:r>
        <w:rPr>
          <w:rFonts w:ascii="Arial;sans-serif" w:hAnsi="Arial;sans-serif"/>
          <w:b/>
          <w:color w:val="131313"/>
          <w:sz w:val="20"/>
        </w:rPr>
        <w:t>By entering my email address and selecting 'Submit', I confirm that I have read and understood this information. This also acts as a legally binding electronic signature.</w:t>
      </w:r>
    </w:p>
    <w:p>
      <w:pPr>
        <w:pStyle w:val="TextBody"/>
        <w:bidi w:val="0"/>
        <w:spacing w:before="3" w:after="283"/>
        <w:jc w:val="left"/>
        <w:rPr/>
      </w:pPr>
      <w:r>
        <w:rPr/>
      </w:r>
    </w:p>
    <w:p>
      <w:pPr>
        <w:pStyle w:val="TextBody"/>
        <w:bidi w:val="0"/>
        <w:spacing w:lineRule="auto" w:line="283" w:before="0" w:after="0"/>
        <w:ind w:left="0" w:right="0" w:hanging="6"/>
        <w:jc w:val="both"/>
        <w:rPr/>
      </w:pPr>
      <w:r>
        <w:rPr>
          <w:rFonts w:ascii="Arial;sans-serif" w:hAnsi="Arial;sans-serif"/>
          <w:b/>
          <w:color w:val="131313"/>
          <w:sz w:val="20"/>
        </w:rPr>
        <w:t xml:space="preserve">Please note: For all internal employees the format for your email should be: </w:t>
      </w:r>
      <w:r>
        <w:rPr>
          <w:rFonts w:ascii="Arial;sans-serif" w:hAnsi="Arial;sans-serif"/>
          <w:b/>
          <w:color w:val="000000"/>
          <w:sz w:val="20"/>
        </w:rPr>
        <w:t>QuickLooklD@ncrvoyix.com</w:t>
      </w:r>
    </w:p>
    <w:p>
      <w:pPr>
        <w:pStyle w:val="TextBody"/>
        <w:bidi w:val="0"/>
        <w:spacing w:before="0" w:after="0"/>
        <w:jc w:val="left"/>
        <w:rPr/>
      </w:pPr>
      <w:r>
        <w:rPr/>
      </w:r>
    </w:p>
    <w:p>
      <w:pPr>
        <w:pStyle w:val="TextBody"/>
        <w:bidi w:val="0"/>
        <w:spacing w:before="22" w:after="283"/>
        <w:jc w:val="left"/>
        <w:rPr/>
      </w:pPr>
      <w:r>
        <w:rPr/>
      </w:r>
    </w:p>
    <w:p>
      <w:pPr>
        <w:pStyle w:val="TextBody"/>
        <w:bidi w:val="0"/>
        <w:spacing w:lineRule="auto" w:line="288" w:before="1" w:after="283"/>
        <w:jc w:val="both"/>
        <w:rPr>
          <w:rFonts w:ascii="Arial;sans-serif" w:hAnsi="Arial;sans-serif"/>
          <w:b/>
          <w:color w:val="131313"/>
          <w:sz w:val="20"/>
        </w:rPr>
      </w:pPr>
      <w:r>
        <w:rPr>
          <w:rFonts w:ascii="Arial;sans-serif" w:hAnsi="Arial;sans-serif"/>
          <w:b/>
          <w:color w:val="131313"/>
          <w:sz w:val="20"/>
        </w:rPr>
        <w:t>NOTE: Please remember to print or save a copy for your records.</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88" w:before="0" w:after="0"/>
        <w:ind w:left="0" w:right="0" w:firstLine="720"/>
        <w:jc w:val="left"/>
        <w:rPr>
          <w:rFonts w:ascii="Arial;sans-serif" w:hAnsi="Arial;sans-serif"/>
          <w:b w:val="false"/>
          <w:color w:val="131313"/>
          <w:sz w:val="20"/>
        </w:rPr>
      </w:pPr>
      <w:r>
        <w:rPr>
          <w:rFonts w:ascii="Arial;sans-serif" w:hAnsi="Arial;sans-serif"/>
          <w:b w:val="false"/>
          <w:color w:val="131313"/>
          <w:sz w:val="20"/>
        </w:rPr>
        <w:t>Signature                     Signature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color w:val="131313"/>
          <w:sz w:val="20"/>
          <w:u w:val="single"/>
        </w:rPr>
        <w:t>/s/ Darren Wilson</w:t>
      </w:r>
      <w:r>
        <w:rPr>
          <w:color w:val="131313"/>
        </w:rPr>
        <w:t>                </w:t>
      </w:r>
      <w:r>
        <w:rPr>
          <w:rFonts w:ascii="Arial;sans-serif" w:hAnsi="Arial;sans-serif"/>
          <w:b w:val="false"/>
          <w:color w:val="131313"/>
          <w:sz w:val="20"/>
        </w:rPr>
        <w:t>November 4, 2024</w:t>
      </w:r>
    </w:p>
    <w:p>
      <w:pPr>
        <w:pStyle w:val="TextBody"/>
        <w:bidi w:val="0"/>
        <w:spacing w:lineRule="auto" w:line="288" w:before="0" w:after="0"/>
        <w:ind w:left="0" w:right="0" w:firstLine="720"/>
        <w:jc w:val="left"/>
        <w:rPr>
          <w:rFonts w:ascii="Arial;sans-serif" w:hAnsi="Arial;sans-serif"/>
          <w:b w:val="false"/>
          <w:color w:val="131313"/>
          <w:sz w:val="20"/>
        </w:rPr>
      </w:pPr>
      <w:r>
        <w:rPr>
          <w:rFonts w:ascii="Arial;sans-serif" w:hAnsi="Arial;sans-serif"/>
          <w:b w:val="false"/>
          <w:color w:val="131313"/>
          <w:sz w:val="20"/>
        </w:rPr>
        <w:t>Darren Wilson</w:t>
      </w:r>
    </w:p>
    <w:p>
      <w:pPr>
        <w:pStyle w:val="TextBody"/>
        <w:bidi w:val="0"/>
        <w:spacing w:before="3" w:after="283"/>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85115"/>
                <wp:effectExtent l="0" t="0" r="0" b="0"/>
                <wp:wrapNone/>
                <wp:docPr id="135" name="Frame133"/>
                <a:graphic xmlns:a="http://schemas.openxmlformats.org/drawingml/2006/main">
                  <a:graphicData uri="http://schemas.microsoft.com/office/word/2010/wordprocessingShape">
                    <wps:wsp>
                      <wps:cNvSpPr txBox="1"/>
                      <wps:spPr>
                        <a:xfrm>
                          <a:off x="0" y="0"/>
                          <a:ext cx="6480175" cy="2851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6</w:t>
                      </w:r>
                    </w:p>
                  </w:txbxContent>
                </v:textbox>
                <w10:wrap type="none"/>
              </v:rect>
            </w:pict>
          </mc:Fallback>
        </mc:AlternateContent>
      </w:r>
    </w:p>
    <w:p>
      <w:pPr>
        <w:pStyle w:val="TextBody"/>
        <w:bidi w:val="0"/>
        <w:spacing w:lineRule="auto" w:line="758" w:before="49" w:after="283"/>
        <w:ind w:left="0" w:right="0" w:firstLine="341"/>
        <w:jc w:val="left"/>
        <w:rPr>
          <w:rFonts w:ascii="Arial;sans-serif" w:hAnsi="Arial;sans-serif"/>
          <w:b/>
          <w:color w:val="0F0F0F"/>
          <w:sz w:val="22"/>
        </w:rPr>
      </w:pPr>
      <w:r>
        <w:rPr>
          <w:rFonts w:ascii="Arial;sans-serif" w:hAnsi="Arial;sans-serif"/>
          <w:b/>
          <w:color w:val="0F0F0F"/>
          <w:sz w:val="22"/>
        </w:rPr>
        <w:t>Particulars of Employment Date of Issue: 01-November-2024</w:t>
      </w:r>
    </w:p>
    <w:p>
      <w:pPr>
        <w:pStyle w:val="TextBody"/>
        <w:bidi w:val="0"/>
        <w:spacing w:before="72" w:after="283"/>
        <w:jc w:val="left"/>
        <w:rPr/>
      </w:pPr>
      <w:r>
        <w:rPr/>
      </w:r>
    </w:p>
    <w:tbl>
      <w:tblPr>
        <w:tblW w:w="10205" w:type="dxa"/>
        <w:jc w:val="left"/>
        <w:tblInd w:w="0" w:type="dxa"/>
        <w:tblLayout w:type="fixed"/>
        <w:tblCellMar>
          <w:top w:w="28" w:type="dxa"/>
          <w:left w:w="28" w:type="dxa"/>
          <w:bottom w:w="28" w:type="dxa"/>
          <w:right w:w="28" w:type="dxa"/>
        </w:tblCellMar>
      </w:tblPr>
      <w:tblGrid>
        <w:gridCol w:w="599"/>
        <w:gridCol w:w="414"/>
        <w:gridCol w:w="415"/>
        <w:gridCol w:w="2821"/>
        <w:gridCol w:w="2539"/>
        <w:gridCol w:w="3417"/>
      </w:tblGrid>
      <w:tr>
        <w:trPr/>
        <w:tc>
          <w:tcPr>
            <w:tcW w:w="59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3417"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op w:val="single" w:sz="6" w:space="0" w:color="000000"/>
              <w:left w:val="single" w:sz="6" w:space="0" w:color="000000"/>
            </w:tcBorders>
            <w:tcMar>
              <w:top w:w="30" w:type="dxa"/>
              <w:left w:w="80" w:type="dxa"/>
              <w:bottom w:w="0" w:type="dxa"/>
              <w:right w:w="0" w:type="dxa"/>
            </w:tcMar>
            <w:vAlign w:val="center"/>
          </w:tcPr>
          <w:p>
            <w:pPr>
              <w:pStyle w:val="TableContents"/>
              <w:bidi w:val="0"/>
              <w:spacing w:lineRule="auto" w:line="240" w:before="0" w:after="283"/>
              <w:jc w:val="left"/>
              <w:rPr>
                <w:rFonts w:ascii="Arial;sans-serif" w:hAnsi="Arial;sans-serif"/>
                <w:b/>
                <w:color w:val="0F0F0F"/>
                <w:sz w:val="22"/>
              </w:rPr>
            </w:pPr>
            <w:r>
              <w:rPr>
                <w:rFonts w:ascii="Arial;sans-serif" w:hAnsi="Arial;sans-serif"/>
                <w:b/>
                <w:color w:val="0F0F0F"/>
                <w:sz w:val="22"/>
              </w:rPr>
              <w:t>Employee:</w:t>
            </w:r>
          </w:p>
        </w:tc>
        <w:tc>
          <w:tcPr>
            <w:tcW w:w="877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37" w:after="283"/>
              <w:jc w:val="left"/>
              <w:rPr>
                <w:rFonts w:ascii="Arial;sans-serif" w:hAnsi="Arial;sans-serif"/>
                <w:b w:val="false"/>
                <w:color w:val="0F0F0F"/>
                <w:sz w:val="22"/>
              </w:rPr>
            </w:pPr>
            <w:r>
              <w:rPr>
                <w:rFonts w:ascii="Arial;sans-serif" w:hAnsi="Arial;sans-serif"/>
                <w:b w:val="false"/>
                <w:color w:val="0F0F0F"/>
                <w:sz w:val="22"/>
              </w:rPr>
              <w:t>Darren Wilson</w:t>
            </w:r>
          </w:p>
        </w:tc>
      </w:tr>
      <w:tr>
        <w:trPr/>
        <w:tc>
          <w:tcPr>
            <w:tcW w:w="1428" w:type="dxa"/>
            <w:gridSpan w:val="3"/>
            <w:tcBorders>
              <w:top w:val="single" w:sz="6" w:space="0" w:color="000000"/>
              <w:left w:val="single" w:sz="6" w:space="0" w:color="000000"/>
            </w:tcBorders>
            <w:tcMar>
              <w:top w:w="30" w:type="dxa"/>
              <w:left w:w="80" w:type="dxa"/>
              <w:bottom w:w="0" w:type="dxa"/>
              <w:right w:w="0" w:type="dxa"/>
            </w:tcMar>
            <w:vAlign w:val="center"/>
          </w:tcPr>
          <w:p>
            <w:pPr>
              <w:pStyle w:val="TableContents"/>
              <w:bidi w:val="0"/>
              <w:spacing w:lineRule="auto" w:line="240" w:before="0" w:after="283"/>
              <w:jc w:val="left"/>
              <w:rPr>
                <w:rFonts w:ascii="Arial;sans-serif" w:hAnsi="Arial;sans-serif"/>
                <w:b/>
                <w:color w:val="0F0F0F"/>
                <w:sz w:val="22"/>
              </w:rPr>
            </w:pPr>
            <w:r>
              <w:rPr>
                <w:rFonts w:ascii="Arial;sans-serif" w:hAnsi="Arial;sans-serif"/>
                <w:b/>
                <w:color w:val="0F0F0F"/>
                <w:sz w:val="22"/>
              </w:rPr>
              <w:t>Employer:</w:t>
            </w:r>
          </w:p>
        </w:tc>
        <w:tc>
          <w:tcPr>
            <w:tcW w:w="877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37" w:after="283"/>
              <w:jc w:val="left"/>
              <w:rPr>
                <w:rFonts w:ascii="Arial;sans-serif" w:hAnsi="Arial;sans-serif"/>
                <w:b w:val="false"/>
                <w:color w:val="0F0F0F"/>
                <w:sz w:val="22"/>
              </w:rPr>
            </w:pPr>
            <w:r>
              <w:rPr>
                <w:rFonts w:ascii="Arial;sans-serif" w:hAnsi="Arial;sans-serif"/>
                <w:b w:val="false"/>
                <w:color w:val="0F0F0F"/>
                <w:sz w:val="22"/>
              </w:rPr>
              <w:t>NCR Limited</w:t>
            </w:r>
          </w:p>
        </w:tc>
      </w:tr>
      <w:tr>
        <w:trPr/>
        <w:tc>
          <w:tcPr>
            <w:tcW w:w="1428" w:type="dxa"/>
            <w:gridSpan w:val="3"/>
            <w:tcBorders>
              <w:top w:val="single" w:sz="6" w:space="0" w:color="000000"/>
              <w:left w:val="single" w:sz="6" w:space="0" w:color="000000"/>
            </w:tcBorders>
            <w:tcMar>
              <w:top w:w="30" w:type="dxa"/>
              <w:left w:w="85" w:type="dxa"/>
              <w:bottom w:w="0" w:type="dxa"/>
              <w:right w:w="0" w:type="dxa"/>
            </w:tcMar>
            <w:vAlign w:val="center"/>
          </w:tcPr>
          <w:p>
            <w:pPr>
              <w:pStyle w:val="TableContents"/>
              <w:bidi w:val="0"/>
              <w:spacing w:lineRule="auto" w:line="240" w:before="0" w:after="283"/>
              <w:jc w:val="left"/>
              <w:rPr>
                <w:rFonts w:ascii="Arial;sans-serif" w:hAnsi="Arial;sans-serif"/>
                <w:b/>
                <w:color w:val="0F0F0F"/>
                <w:sz w:val="22"/>
              </w:rPr>
            </w:pPr>
            <w:r>
              <w:rPr>
                <w:rFonts w:ascii="Arial;sans-serif" w:hAnsi="Arial;sans-serif"/>
                <w:b/>
                <w:color w:val="0F0F0F"/>
                <w:sz w:val="22"/>
              </w:rPr>
              <w:t>Position:</w:t>
            </w:r>
          </w:p>
        </w:tc>
        <w:tc>
          <w:tcPr>
            <w:tcW w:w="877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37" w:after="283"/>
              <w:jc w:val="left"/>
              <w:rPr>
                <w:rFonts w:ascii="Arial;sans-serif" w:hAnsi="Arial;sans-serif"/>
                <w:b w:val="false"/>
                <w:color w:val="0F0F0F"/>
                <w:sz w:val="22"/>
              </w:rPr>
            </w:pPr>
            <w:r>
              <w:rPr>
                <w:rFonts w:ascii="Arial;sans-serif" w:hAnsi="Arial;sans-serif"/>
                <w:b w:val="false"/>
                <w:color w:val="0F0F0F"/>
                <w:sz w:val="22"/>
              </w:rPr>
              <w:t>EVP &amp; President, International</w:t>
            </w:r>
          </w:p>
        </w:tc>
      </w:tr>
      <w:tr>
        <w:trPr/>
        <w:tc>
          <w:tcPr>
            <w:tcW w:w="1428" w:type="dxa"/>
            <w:gridSpan w:val="3"/>
            <w:tcBorders>
              <w:top w:val="single" w:sz="6" w:space="0" w:color="000000"/>
              <w:left w:val="single" w:sz="6" w:space="0" w:color="000000"/>
            </w:tcBorders>
            <w:tcMar>
              <w:top w:w="30" w:type="dxa"/>
              <w:left w:w="81" w:type="dxa"/>
              <w:bottom w:w="0" w:type="dxa"/>
              <w:right w:w="0" w:type="dxa"/>
            </w:tcMar>
            <w:vAlign w:val="center"/>
          </w:tcPr>
          <w:p>
            <w:pPr>
              <w:pStyle w:val="TableContents"/>
              <w:bidi w:val="0"/>
              <w:spacing w:lineRule="auto" w:line="240" w:before="0" w:after="283"/>
              <w:jc w:val="left"/>
              <w:rPr>
                <w:rFonts w:ascii="Arial;sans-serif" w:hAnsi="Arial;sans-serif"/>
                <w:b/>
                <w:color w:val="0F0F0F"/>
                <w:sz w:val="22"/>
              </w:rPr>
            </w:pPr>
            <w:r>
              <w:rPr>
                <w:rFonts w:ascii="Arial;sans-serif" w:hAnsi="Arial;sans-serif"/>
                <w:b/>
                <w:color w:val="0F0F0F"/>
                <w:sz w:val="22"/>
              </w:rPr>
              <w:t>Grade:</w:t>
            </w:r>
          </w:p>
        </w:tc>
        <w:tc>
          <w:tcPr>
            <w:tcW w:w="877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32" w:after="283"/>
              <w:jc w:val="left"/>
              <w:rPr/>
            </w:pPr>
            <w:r>
              <w:rPr>
                <w:rFonts w:ascii="Arial;sans-serif" w:hAnsi="Arial;sans-serif"/>
                <w:b w:val="false"/>
                <w:color w:val="0F0F0F"/>
                <w:sz w:val="22"/>
              </w:rPr>
              <w:t>This position is a Grade ES</w:t>
            </w:r>
            <w:r>
              <w:rPr>
                <w:rFonts w:ascii="Arial;sans-serif" w:hAnsi="Arial;sans-serif"/>
                <w:b w:val="false"/>
                <w:color w:val="4B4B4B"/>
                <w:sz w:val="22"/>
              </w:rPr>
              <w:t>.</w:t>
            </w:r>
          </w:p>
        </w:tc>
      </w:tr>
      <w:tr>
        <w:trPr/>
        <w:tc>
          <w:tcPr>
            <w:tcW w:w="14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46" w:after="283"/>
              <w:jc w:val="left"/>
              <w:rPr>
                <w:rFonts w:ascii="Arial;sans-serif" w:hAnsi="Arial;sans-serif"/>
                <w:b/>
                <w:color w:val="0F0F0F"/>
                <w:sz w:val="22"/>
              </w:rPr>
            </w:pPr>
            <w:r>
              <w:rPr>
                <w:rFonts w:ascii="Arial;sans-serif" w:hAnsi="Arial;sans-serif"/>
                <w:b/>
                <w:color w:val="0F0F0F"/>
                <w:sz w:val="22"/>
              </w:rPr>
              <w:t>Reporting To:</w:t>
            </w:r>
          </w:p>
        </w:tc>
        <w:tc>
          <w:tcPr>
            <w:tcW w:w="877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37" w:after="283"/>
              <w:jc w:val="left"/>
              <w:rPr>
                <w:rFonts w:ascii="Arial;sans-serif" w:hAnsi="Arial;sans-serif"/>
                <w:b w:val="false"/>
                <w:color w:val="0F0F0F"/>
                <w:sz w:val="22"/>
              </w:rPr>
            </w:pPr>
            <w:r>
              <w:rPr>
                <w:rFonts w:ascii="Arial;sans-serif" w:hAnsi="Arial;sans-serif"/>
                <w:b w:val="false"/>
                <w:color w:val="0F0F0F"/>
                <w:sz w:val="22"/>
              </w:rPr>
              <w:t>David Wilkson, Chief Executive Officer</w:t>
            </w:r>
          </w:p>
        </w:tc>
      </w:tr>
      <w:tr>
        <w:trPr/>
        <w:tc>
          <w:tcPr>
            <w:tcW w:w="14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51" w:after="283"/>
              <w:jc w:val="left"/>
              <w:rPr>
                <w:rFonts w:ascii="Arial;sans-serif" w:hAnsi="Arial;sans-serif"/>
                <w:b/>
                <w:color w:val="0F0F0F"/>
                <w:sz w:val="22"/>
              </w:rPr>
            </w:pPr>
            <w:r>
              <w:rPr>
                <w:rFonts w:ascii="Arial;sans-serif" w:hAnsi="Arial;sans-serif"/>
                <w:b/>
                <w:color w:val="0F0F0F"/>
                <w:sz w:val="22"/>
              </w:rPr>
              <w:t>Business Unit:</w:t>
            </w:r>
          </w:p>
        </w:tc>
        <w:tc>
          <w:tcPr>
            <w:tcW w:w="877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42" w:after="283"/>
              <w:jc w:val="left"/>
              <w:rPr>
                <w:rFonts w:ascii="Arial;sans-serif" w:hAnsi="Arial;sans-serif"/>
                <w:b w:val="false"/>
                <w:color w:val="0F0F0F"/>
                <w:sz w:val="22"/>
              </w:rPr>
            </w:pPr>
            <w:r>
              <w:rPr>
                <w:rFonts w:ascii="Arial;sans-serif" w:hAnsi="Arial;sans-serif"/>
                <w:b w:val="false"/>
                <w:color w:val="0F0F0F"/>
                <w:sz w:val="22"/>
              </w:rPr>
              <w:t>Retail and Restaurants</w:t>
            </w:r>
          </w:p>
        </w:tc>
      </w:tr>
      <w:tr>
        <w:trPr/>
        <w:tc>
          <w:tcPr>
            <w:tcW w:w="14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41" w:after="283"/>
              <w:jc w:val="left"/>
              <w:rPr>
                <w:rFonts w:ascii="Arial;sans-serif" w:hAnsi="Arial;sans-serif"/>
                <w:b/>
                <w:color w:val="0F0F0F"/>
                <w:sz w:val="22"/>
              </w:rPr>
            </w:pPr>
            <w:r>
              <w:rPr>
                <w:rFonts w:ascii="Arial;sans-serif" w:hAnsi="Arial;sans-serif"/>
                <w:b/>
                <w:color w:val="0F0F0F"/>
                <w:sz w:val="22"/>
              </w:rPr>
              <w:t>Place of Work:</w:t>
            </w:r>
          </w:p>
        </w:tc>
        <w:tc>
          <w:tcPr>
            <w:tcW w:w="877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32" w:after="283"/>
              <w:jc w:val="left"/>
              <w:rPr>
                <w:rFonts w:ascii="Arial;sans-serif" w:hAnsi="Arial;sans-serif"/>
                <w:b w:val="false"/>
                <w:color w:val="0F0F0F"/>
                <w:sz w:val="22"/>
              </w:rPr>
            </w:pPr>
            <w:r>
              <w:rPr>
                <w:rFonts w:ascii="Arial;sans-serif" w:hAnsi="Arial;sans-serif"/>
                <w:b w:val="false"/>
                <w:color w:val="0F0F0F"/>
                <w:sz w:val="22"/>
              </w:rPr>
              <w:t>England/UK, Virtual</w:t>
            </w:r>
          </w:p>
        </w:tc>
      </w:tr>
      <w:tr>
        <w:trPr/>
        <w:tc>
          <w:tcPr>
            <w:tcW w:w="142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331" w:before="141" w:after="283"/>
              <w:ind w:left="0" w:right="0" w:firstLine="1"/>
              <w:jc w:val="left"/>
              <w:rPr>
                <w:rFonts w:ascii="Arial;sans-serif" w:hAnsi="Arial;sans-serif"/>
                <w:b/>
                <w:color w:val="0F0F0F"/>
                <w:sz w:val="22"/>
              </w:rPr>
            </w:pPr>
            <w:r>
              <w:rPr>
                <w:rFonts w:ascii="Arial;sans-serif" w:hAnsi="Arial;sans-serif"/>
                <w:b/>
                <w:color w:val="0F0F0F"/>
                <w:sz w:val="22"/>
              </w:rPr>
              <w:t>Teleworker (Virtual) Assignment</w:t>
            </w:r>
          </w:p>
        </w:tc>
        <w:tc>
          <w:tcPr>
            <w:tcW w:w="8777"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16" w:before="132" w:after="283"/>
              <w:ind w:left="0" w:right="0" w:firstLine="1"/>
              <w:jc w:val="both"/>
              <w:rPr>
                <w:rFonts w:ascii="Arial;sans-serif" w:hAnsi="Arial;sans-serif"/>
                <w:b w:val="false"/>
                <w:color w:val="0F0F0F"/>
                <w:sz w:val="22"/>
              </w:rPr>
            </w:pPr>
            <w:r>
              <w:rPr>
                <w:rFonts w:ascii="Arial;sans-serif" w:hAnsi="Arial;sans-serif"/>
                <w:b w:val="false"/>
                <w:color w:val="0F0F0F"/>
                <w:sz w:val="22"/>
              </w:rPr>
              <w:t>I acknowledge and agree to abide by the teleworker (virtual) assignment requirements, terms and conditions set forth in current and future company polices. I understand that a failure to abide by company policies applicable to my teleworker assignment can have serious consequences, including personal tax implications, and therefore may be grounds for discipline up to and including employment termination. Company policies, including those applicable to my teleworker status, do not otherwise alter or change the terms and conditions of my NCR VOYIX employment, and all other current and future company polices, including, but not limited to, NCR VOYIX's policies governing work absences and leave (whether paid or unpaid), Corporate Management Polices, Code of Conduct, information security policies, and polices and agreements governing NCR VOYIX Intellectual Property and Confidential Information will continue to apply. I must promptly notify the Company of any change to the location of my home worksite. NCR VOYIX has the sole and exclusive discretion to change, modify, or discontinue my teleworker assignment and status at any time and for any reason, subject to local law.</w:t>
            </w:r>
          </w:p>
          <w:p>
            <w:pPr>
              <w:pStyle w:val="TableContents"/>
              <w:bidi w:val="0"/>
              <w:spacing w:before="20" w:after="283"/>
              <w:jc w:val="left"/>
              <w:rPr/>
            </w:pPr>
            <w:r>
              <w:rPr/>
            </w:r>
          </w:p>
          <w:p>
            <w:pPr>
              <w:pStyle w:val="TableContents"/>
              <w:bidi w:val="0"/>
              <w:spacing w:lineRule="auto" w:line="316" w:before="0" w:after="0"/>
              <w:ind w:left="0" w:right="0" w:hanging="6"/>
              <w:jc w:val="both"/>
              <w:rPr>
                <w:rFonts w:ascii="Arial;sans-serif" w:hAnsi="Arial;sans-serif"/>
                <w:b w:val="false"/>
                <w:color w:val="0F0F0F"/>
                <w:sz w:val="22"/>
              </w:rPr>
            </w:pPr>
            <w:r>
              <w:rPr>
                <w:rFonts w:ascii="Arial;sans-serif" w:hAnsi="Arial;sans-serif"/>
                <w:b w:val="false"/>
                <w:color w:val="0F0F0F"/>
                <w:sz w:val="22"/>
              </w:rPr>
              <w:t>The Company expects you to be flexible and may, during the course of your employment, require you to work on a permanent or temporary basis from any of its other offices, present or future.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32410"/>
                <wp:effectExtent l="0" t="0" r="0" b="0"/>
                <wp:wrapNone/>
                <wp:docPr id="136" name="Frame134"/>
                <a:graphic xmlns:a="http://schemas.openxmlformats.org/drawingml/2006/main">
                  <a:graphicData uri="http://schemas.microsoft.com/office/word/2010/wordprocessingShape">
                    <wps:wsp>
                      <wps:cNvSpPr txBox="1"/>
                      <wps:spPr>
                        <a:xfrm>
                          <a:off x="0" y="0"/>
                          <a:ext cx="6480175" cy="23241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1</w:t>
                      </w:r>
                    </w:p>
                  </w:txbxContent>
                </v:textbox>
                <w10:wrap type="none"/>
              </v:rect>
            </w:pict>
          </mc:Fallback>
        </mc:AlternateContent>
      </w:r>
    </w:p>
    <w:p>
      <w:pPr>
        <w:pStyle w:val="TextBody"/>
        <w:bidi w:val="0"/>
        <w:spacing w:before="125" w:after="283"/>
        <w:jc w:val="left"/>
        <w:rPr/>
      </w:pPr>
      <w:r>
        <w:rPr/>
      </w:r>
    </w:p>
    <w:tbl>
      <w:tblPr>
        <w:tblW w:w="10205" w:type="dxa"/>
        <w:jc w:val="left"/>
        <w:tblInd w:w="0" w:type="dxa"/>
        <w:tblLayout w:type="fixed"/>
        <w:tblCellMar>
          <w:top w:w="28" w:type="dxa"/>
          <w:left w:w="28" w:type="dxa"/>
          <w:bottom w:w="28" w:type="dxa"/>
          <w:right w:w="28" w:type="dxa"/>
        </w:tblCellMar>
      </w:tblPr>
      <w:tblGrid>
        <w:gridCol w:w="926"/>
        <w:gridCol w:w="815"/>
        <w:gridCol w:w="822"/>
        <w:gridCol w:w="2332"/>
        <w:gridCol w:w="2199"/>
        <w:gridCol w:w="3111"/>
      </w:tblGrid>
      <w:tr>
        <w:trPr/>
        <w:tc>
          <w:tcPr>
            <w:tcW w:w="92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r>
      <w:tr>
        <w:trPr/>
        <w:tc>
          <w:tcPr>
            <w:tcW w:w="2563"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88" w:before="130" w:after="283"/>
              <w:jc w:val="left"/>
              <w:rPr>
                <w:rFonts w:ascii="Arial;sans-serif" w:hAnsi="Arial;sans-serif"/>
                <w:b/>
                <w:color w:val="0E0E0E"/>
                <w:sz w:val="22"/>
              </w:rPr>
            </w:pPr>
            <w:r>
              <w:rPr>
                <w:rFonts w:ascii="Arial;sans-serif" w:hAnsi="Arial;sans-serif"/>
                <w:b/>
                <w:color w:val="0E0E0E"/>
                <w:sz w:val="22"/>
              </w:rPr>
              <w:t>Start Date:</w:t>
            </w:r>
          </w:p>
        </w:tc>
        <w:tc>
          <w:tcPr>
            <w:tcW w:w="7642" w:type="dxa"/>
            <w:gridSpan w:val="3"/>
            <w:tcBorders>
              <w:top w:val="single" w:sz="4"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30" w:after="283"/>
              <w:jc w:val="left"/>
              <w:rPr>
                <w:rFonts w:ascii="Arial;sans-serif" w:hAnsi="Arial;sans-serif"/>
                <w:b w:val="false"/>
                <w:color w:val="0E0E0E"/>
                <w:sz w:val="22"/>
              </w:rPr>
            </w:pPr>
            <w:r>
              <w:rPr>
                <w:rFonts w:ascii="Arial;sans-serif" w:hAnsi="Arial;sans-serif"/>
                <w:b w:val="false"/>
                <w:color w:val="0E0E0E"/>
                <w:sz w:val="22"/>
              </w:rPr>
              <w:t>Your start date in this position is 01-November-2024</w:t>
            </w:r>
          </w:p>
        </w:tc>
      </w:tr>
      <w:tr>
        <w:trPr/>
        <w:tc>
          <w:tcPr>
            <w:tcW w:w="2563" w:type="dxa"/>
            <w:gridSpan w:val="3"/>
            <w:tcBorders>
              <w:top w:val="single" w:sz="8" w:space="0" w:color="000000"/>
              <w:left w:val="single" w:sz="6" w:space="0" w:color="000000"/>
            </w:tcBorders>
            <w:tcMar>
              <w:top w:w="30" w:type="dxa"/>
              <w:bottom w:w="0" w:type="dxa"/>
              <w:right w:w="0" w:type="dxa"/>
            </w:tcMar>
            <w:vAlign w:val="center"/>
          </w:tcPr>
          <w:p>
            <w:pPr>
              <w:pStyle w:val="TableContents"/>
              <w:bidi w:val="0"/>
              <w:spacing w:lineRule="auto" w:line="316" w:before="130" w:after="283"/>
              <w:ind w:left="0" w:right="0" w:firstLine="2"/>
              <w:jc w:val="left"/>
              <w:rPr>
                <w:rFonts w:ascii="Arial;sans-serif" w:hAnsi="Arial;sans-serif"/>
                <w:b/>
                <w:color w:val="0E0E0E"/>
                <w:sz w:val="22"/>
              </w:rPr>
            </w:pPr>
            <w:r>
              <w:rPr>
                <w:rFonts w:ascii="Arial;sans-serif" w:hAnsi="Arial;sans-serif"/>
                <w:b/>
                <w:color w:val="0E0E0E"/>
                <w:sz w:val="22"/>
              </w:rPr>
              <w:t>Date of commenceme nt of continuous employment</w:t>
            </w:r>
          </w:p>
        </w:tc>
        <w:tc>
          <w:tcPr>
            <w:tcW w:w="7642" w:type="dxa"/>
            <w:gridSpan w:val="3"/>
            <w:tcBorders>
              <w:top w:val="single" w:sz="8" w:space="0" w:color="000000"/>
              <w:left w:val="single" w:sz="6" w:space="0" w:color="000000"/>
              <w:right w:val="single" w:sz="6" w:space="0" w:color="000000"/>
            </w:tcBorders>
            <w:tcMar>
              <w:top w:w="30" w:type="dxa"/>
              <w:bottom w:w="0" w:type="dxa"/>
            </w:tcMar>
            <w:vAlign w:val="center"/>
          </w:tcPr>
          <w:p>
            <w:pPr>
              <w:pStyle w:val="TableContents"/>
              <w:bidi w:val="0"/>
              <w:spacing w:lineRule="auto" w:line="314" w:before="130" w:after="283"/>
              <w:jc w:val="left"/>
              <w:rPr>
                <w:rFonts w:ascii="Arial;sans-serif" w:hAnsi="Arial;sans-serif"/>
                <w:b w:val="false"/>
                <w:color w:val="0E0E0E"/>
                <w:sz w:val="22"/>
              </w:rPr>
            </w:pPr>
            <w:r>
              <w:rPr>
                <w:rFonts w:ascii="Arial;sans-serif" w:hAnsi="Arial;sans-serif"/>
                <w:b w:val="false"/>
                <w:color w:val="0E0E0E"/>
                <w:sz w:val="22"/>
              </w:rPr>
              <w:t>Your continuous employment with the Company commenced on 14-August-2024.</w:t>
            </w:r>
          </w:p>
        </w:tc>
      </w:tr>
      <w:tr>
        <w:trPr/>
        <w:tc>
          <w:tcPr>
            <w:tcW w:w="256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6" w:before="132" w:after="283"/>
              <w:ind w:left="0" w:right="0" w:hanging="1"/>
              <w:jc w:val="left"/>
              <w:rPr>
                <w:rFonts w:ascii="Arial;sans-serif" w:hAnsi="Arial;sans-serif"/>
                <w:b/>
                <w:color w:val="0E0E0E"/>
                <w:sz w:val="22"/>
              </w:rPr>
            </w:pPr>
            <w:r>
              <w:rPr>
                <w:rFonts w:ascii="Arial;sans-serif" w:hAnsi="Arial;sans-serif"/>
                <w:b/>
                <w:color w:val="0E0E0E"/>
                <w:sz w:val="22"/>
              </w:rPr>
              <w:t>Right to Work in the UK</w:t>
            </w:r>
          </w:p>
        </w:tc>
        <w:tc>
          <w:tcPr>
            <w:tcW w:w="764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16" w:before="132" w:after="283"/>
              <w:ind w:left="0" w:right="0" w:hanging="2"/>
              <w:jc w:val="both"/>
              <w:rPr>
                <w:rFonts w:ascii="Arial;sans-serif" w:hAnsi="Arial;sans-serif"/>
                <w:b w:val="false"/>
                <w:color w:val="0E0E0E"/>
                <w:sz w:val="22"/>
              </w:rPr>
            </w:pPr>
            <w:r>
              <w:rPr>
                <w:rFonts w:ascii="Arial;sans-serif" w:hAnsi="Arial;sans-serif"/>
                <w:b w:val="false"/>
                <w:color w:val="0E0E0E"/>
                <w:sz w:val="22"/>
              </w:rPr>
              <w:t>Your continued employment is dependent upon you holding the right to work in the UK. If you lose the right to work in the UK, your employment may be terminated without notice. Where applicable it is your responsibility to ensure your continuous right to work in the UK.</w:t>
            </w:r>
          </w:p>
        </w:tc>
      </w:tr>
      <w:tr>
        <w:trPr/>
        <w:tc>
          <w:tcPr>
            <w:tcW w:w="256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16" w:before="127" w:after="283"/>
              <w:ind w:left="0" w:right="0" w:hanging="4"/>
              <w:jc w:val="left"/>
              <w:rPr>
                <w:rFonts w:ascii="Arial;sans-serif" w:hAnsi="Arial;sans-serif"/>
                <w:b/>
                <w:color w:val="0E0E0E"/>
                <w:sz w:val="22"/>
              </w:rPr>
            </w:pPr>
            <w:r>
              <w:rPr>
                <w:rFonts w:ascii="Arial;sans-serif" w:hAnsi="Arial;sans-serif"/>
                <w:b/>
                <w:color w:val="0E0E0E"/>
                <w:sz w:val="22"/>
              </w:rPr>
              <w:t>Requirement to Drive</w:t>
            </w:r>
          </w:p>
        </w:tc>
        <w:tc>
          <w:tcPr>
            <w:tcW w:w="7642"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16" w:before="122" w:after="283"/>
              <w:ind w:left="0" w:right="0" w:hanging="7"/>
              <w:jc w:val="both"/>
              <w:rPr>
                <w:rFonts w:ascii="Arial;sans-serif" w:hAnsi="Arial;sans-serif"/>
                <w:b w:val="false"/>
                <w:color w:val="0E0E0E"/>
                <w:sz w:val="22"/>
              </w:rPr>
            </w:pPr>
            <w:r>
              <w:rPr>
                <w:rFonts w:ascii="Arial;sans-serif" w:hAnsi="Arial;sans-serif"/>
                <w:b w:val="false"/>
                <w:color w:val="0E0E0E"/>
                <w:sz w:val="22"/>
              </w:rPr>
              <w:t>If driving is an essential part of your job, you could be dismissed if you lose your driving license, are convicted of a driving offence, or you are unable to obtain insurance with the Company's nominated Insurance provider.</w:t>
            </w:r>
          </w:p>
        </w:tc>
      </w:tr>
      <w:tr>
        <w:trPr/>
        <w:tc>
          <w:tcPr>
            <w:tcW w:w="2563" w:type="dxa"/>
            <w:gridSpan w:val="3"/>
            <w:tcBorders>
              <w:top w:val="single" w:sz="8" w:space="0" w:color="000000"/>
              <w:left w:val="single" w:sz="6" w:space="0" w:color="000000"/>
            </w:tcBorders>
            <w:tcMar>
              <w:top w:w="30" w:type="dxa"/>
              <w:bottom w:w="0" w:type="dxa"/>
              <w:right w:w="0" w:type="dxa"/>
            </w:tcMar>
            <w:vAlign w:val="center"/>
          </w:tcPr>
          <w:p>
            <w:pPr>
              <w:pStyle w:val="TableContents"/>
              <w:bidi w:val="0"/>
              <w:spacing w:lineRule="auto" w:line="288" w:before="125" w:after="283"/>
              <w:jc w:val="left"/>
              <w:rPr>
                <w:rFonts w:ascii="Arial;sans-serif" w:hAnsi="Arial;sans-serif"/>
                <w:b/>
                <w:color w:val="0E0E0E"/>
                <w:sz w:val="22"/>
              </w:rPr>
            </w:pPr>
            <w:r>
              <w:rPr>
                <w:rFonts w:ascii="Arial;sans-serif" w:hAnsi="Arial;sans-serif"/>
                <w:b/>
                <w:color w:val="0E0E0E"/>
                <w:sz w:val="22"/>
              </w:rPr>
              <w:t>Base Salary</w:t>
            </w:r>
          </w:p>
        </w:tc>
        <w:tc>
          <w:tcPr>
            <w:tcW w:w="7642" w:type="dxa"/>
            <w:gridSpan w:val="3"/>
            <w:tcBorders>
              <w:top w:val="single" w:sz="8" w:space="0" w:color="000000"/>
              <w:left w:val="single" w:sz="6" w:space="0" w:color="000000"/>
              <w:right w:val="single" w:sz="6" w:space="0" w:color="000000"/>
            </w:tcBorders>
            <w:tcMar>
              <w:top w:w="30" w:type="dxa"/>
              <w:bottom w:w="0" w:type="dxa"/>
            </w:tcMar>
            <w:vAlign w:val="center"/>
          </w:tcPr>
          <w:p>
            <w:pPr>
              <w:pStyle w:val="TableContents"/>
              <w:bidi w:val="0"/>
              <w:spacing w:lineRule="auto" w:line="314" w:before="125" w:after="283"/>
              <w:ind w:left="0" w:right="0" w:hanging="4"/>
              <w:jc w:val="both"/>
              <w:rPr>
                <w:rFonts w:ascii="Arial;sans-serif" w:hAnsi="Arial;sans-serif"/>
                <w:b w:val="false"/>
                <w:color w:val="0E0E0E"/>
                <w:sz w:val="22"/>
              </w:rPr>
            </w:pPr>
            <w:r>
              <w:rPr>
                <w:rFonts w:ascii="Arial;sans-serif" w:hAnsi="Arial;sans-serif"/>
                <w:b w:val="false"/>
                <w:color w:val="0E0E0E"/>
                <w:sz w:val="22"/>
              </w:rPr>
              <w:t>Your annual base salary is £350,000. This will be paid monthly via BACS transfer on the 15th of each month for the current calendar month and is subject to deductions for income tax, employee's national insurance contributions and any other deductions required by law.</w:t>
            </w:r>
          </w:p>
        </w:tc>
      </w:tr>
      <w:tr>
        <w:trPr/>
        <w:tc>
          <w:tcPr>
            <w:tcW w:w="2563"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386" w:before="155" w:after="283"/>
              <w:ind w:left="0" w:right="0" w:firstLine="4"/>
              <w:jc w:val="left"/>
              <w:rPr>
                <w:rFonts w:ascii="Arial;sans-serif" w:hAnsi="Arial;sans-serif"/>
                <w:b/>
                <w:color w:val="0E0E0E"/>
                <w:sz w:val="22"/>
              </w:rPr>
            </w:pPr>
            <w:r>
              <w:rPr>
                <w:rFonts w:ascii="Arial;sans-serif" w:hAnsi="Arial;sans-serif"/>
                <w:b/>
                <w:color w:val="0E0E0E"/>
                <w:sz w:val="22"/>
              </w:rPr>
              <w:t>Benefit Company Vehicle Allowance</w:t>
            </w:r>
          </w:p>
        </w:tc>
        <w:tc>
          <w:tcPr>
            <w:tcW w:w="7642" w:type="dxa"/>
            <w:gridSpan w:val="3"/>
            <w:tcBorders>
              <w:top w:val="single" w:sz="6" w:space="0" w:color="000000"/>
              <w:left w:val="single" w:sz="6" w:space="0" w:color="000000"/>
              <w:bottom w:val="single" w:sz="4" w:space="0" w:color="000000"/>
              <w:right w:val="single" w:sz="6" w:space="0" w:color="000000"/>
            </w:tcBorders>
            <w:tcMar>
              <w:top w:w="30" w:type="dxa"/>
              <w:bottom w:w="30" w:type="dxa"/>
            </w:tcMar>
            <w:vAlign w:val="center"/>
          </w:tcPr>
          <w:p>
            <w:pPr>
              <w:pStyle w:val="TableContents"/>
              <w:bidi w:val="0"/>
              <w:spacing w:before="199" w:after="283"/>
              <w:jc w:val="left"/>
              <w:rPr/>
            </w:pPr>
            <w:r>
              <w:rPr/>
            </w:r>
          </w:p>
          <w:p>
            <w:pPr>
              <w:pStyle w:val="TableContents"/>
              <w:bidi w:val="0"/>
              <w:spacing w:lineRule="auto" w:line="316" w:before="0" w:after="0"/>
              <w:ind w:left="0" w:right="0" w:hanging="4"/>
              <w:jc w:val="both"/>
              <w:rPr>
                <w:rFonts w:ascii="Arial;sans-serif" w:hAnsi="Arial;sans-serif"/>
                <w:b w:val="false"/>
                <w:color w:val="0E0E0E"/>
                <w:sz w:val="22"/>
              </w:rPr>
            </w:pPr>
            <w:r>
              <w:rPr>
                <w:rFonts w:ascii="Arial;sans-serif" w:hAnsi="Arial;sans-serif"/>
                <w:b w:val="false"/>
                <w:color w:val="0E0E0E"/>
                <w:sz w:val="22"/>
              </w:rPr>
              <w:t>In your capacity as a ES, you are eligible for a benefit car allowance of GBP £15,000 per annum, taxed at source and paid monthly with your salary.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32410"/>
                <wp:effectExtent l="0" t="0" r="0" b="0"/>
                <wp:wrapNone/>
                <wp:docPr id="137" name="Frame135"/>
                <a:graphic xmlns:a="http://schemas.openxmlformats.org/drawingml/2006/main">
                  <a:graphicData uri="http://schemas.microsoft.com/office/word/2010/wordprocessingShape">
                    <wps:wsp>
                      <wps:cNvSpPr txBox="1"/>
                      <wps:spPr>
                        <a:xfrm>
                          <a:off x="0" y="0"/>
                          <a:ext cx="6480175" cy="23241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2</w:t>
                      </w:r>
                    </w:p>
                  </w:txbxContent>
                </v:textbox>
                <w10:wrap type="none"/>
              </v:rect>
            </w:pict>
          </mc:Fallback>
        </mc:AlternateContent>
      </w:r>
    </w:p>
    <w:p>
      <w:pPr>
        <w:pStyle w:val="TextBody"/>
        <w:bidi w:val="0"/>
        <w:spacing w:before="124" w:after="1"/>
        <w:jc w:val="left"/>
        <w:rPr/>
      </w:pPr>
      <w:r>
        <w:rPr/>
      </w:r>
    </w:p>
    <w:tbl>
      <w:tblPr>
        <w:tblW w:w="10205" w:type="dxa"/>
        <w:jc w:val="left"/>
        <w:tblInd w:w="0" w:type="dxa"/>
        <w:tblLayout w:type="fixed"/>
        <w:tblCellMar>
          <w:top w:w="28" w:type="dxa"/>
          <w:left w:w="28" w:type="dxa"/>
          <w:bottom w:w="28" w:type="dxa"/>
          <w:right w:w="28" w:type="dxa"/>
        </w:tblCellMar>
      </w:tblPr>
      <w:tblGrid>
        <w:gridCol w:w="560"/>
        <w:gridCol w:w="493"/>
        <w:gridCol w:w="495"/>
        <w:gridCol w:w="2566"/>
        <w:gridCol w:w="2514"/>
        <w:gridCol w:w="3577"/>
      </w:tblGrid>
      <w:tr>
        <w:trPr/>
        <w:tc>
          <w:tcPr>
            <w:tcW w:w="56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77" w:type="dxa"/>
            <w:tcBorders/>
            <w:vAlign w:val="center"/>
          </w:tcPr>
          <w:p>
            <w:pPr>
              <w:pStyle w:val="TableContents"/>
              <w:bidi w:val="0"/>
              <w:spacing w:before="0" w:after="283"/>
              <w:jc w:val="left"/>
              <w:rPr>
                <w:sz w:val="4"/>
                <w:szCs w:val="4"/>
              </w:rPr>
            </w:pPr>
            <w:r>
              <w:rPr>
                <w:sz w:val="4"/>
                <w:szCs w:val="4"/>
              </w:rPr>
            </w:r>
          </w:p>
        </w:tc>
      </w:tr>
      <w:tr>
        <w:trPr/>
        <w:tc>
          <w:tcPr>
            <w:tcW w:w="15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33" w:before="137" w:after="283"/>
              <w:jc w:val="left"/>
              <w:rPr>
                <w:rFonts w:ascii="Arial;sans-serif" w:hAnsi="Arial;sans-serif"/>
                <w:b/>
                <w:color w:val="0F0F0F"/>
                <w:sz w:val="22"/>
              </w:rPr>
            </w:pPr>
            <w:r>
              <w:rPr>
                <w:rFonts w:ascii="Arial;sans-serif" w:hAnsi="Arial;sans-serif"/>
                <w:b/>
                <w:color w:val="0F0F0F"/>
                <w:sz w:val="22"/>
              </w:rPr>
              <w:t>Deductions from Salary</w:t>
            </w:r>
          </w:p>
        </w:tc>
        <w:tc>
          <w:tcPr>
            <w:tcW w:w="865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16" w:before="127" w:after="283"/>
              <w:ind w:left="0" w:right="0" w:hanging="3"/>
              <w:jc w:val="both"/>
              <w:rPr>
                <w:rFonts w:ascii="Arial;sans-serif" w:hAnsi="Arial;sans-serif"/>
                <w:b w:val="false"/>
                <w:color w:val="0F0F0F"/>
                <w:sz w:val="22"/>
              </w:rPr>
            </w:pPr>
            <w:r>
              <w:rPr>
                <w:rFonts w:ascii="Arial;sans-serif" w:hAnsi="Arial;sans-serif"/>
                <w:b w:val="false"/>
                <w:color w:val="0F0F0F"/>
                <w:sz w:val="22"/>
              </w:rPr>
              <w:t>The Company reserves the right in its absolute discretion to deduct from your pay any sums which you may owe the Company including, without limitation:</w:t>
            </w:r>
          </w:p>
          <w:p>
            <w:pPr>
              <w:pStyle w:val="TableContents"/>
              <w:bidi w:val="0"/>
              <w:spacing w:before="23" w:after="283"/>
              <w:jc w:val="left"/>
              <w:rPr/>
            </w:pPr>
            <w:r>
              <w:rPr/>
            </w:r>
          </w:p>
          <w:p>
            <w:pPr>
              <w:pStyle w:val="TableContents"/>
              <w:bidi w:val="0"/>
              <w:spacing w:lineRule="auto" w:line="316" w:before="0" w:after="0"/>
              <w:ind w:left="0" w:right="0" w:hanging="371"/>
              <w:jc w:val="left"/>
              <w:rPr/>
            </w:pPr>
            <w:r>
              <w:rPr>
                <w:color w:val="0F0F0F"/>
              </w:rPr>
              <w:t>•</w:t>
            </w:r>
            <w:r>
              <w:rPr>
                <w:rFonts w:ascii="Arial;sans-serif" w:hAnsi="Arial;sans-serif"/>
                <w:b w:val="false"/>
                <w:color w:val="0F0F0F"/>
                <w:sz w:val="22"/>
              </w:rPr>
              <w:t>Any overpayments of salary/bonus/commission/expenses or outstanding repayments of loans made to you by the Company;</w:t>
            </w:r>
          </w:p>
          <w:p>
            <w:pPr>
              <w:pStyle w:val="TableContents"/>
              <w:bidi w:val="0"/>
              <w:spacing w:lineRule="auto" w:line="316" w:before="4" w:after="283"/>
              <w:ind w:left="0" w:right="0" w:hanging="373"/>
              <w:jc w:val="left"/>
              <w:rPr/>
            </w:pPr>
            <w:r>
              <w:rPr>
                <w:color w:val="0F0F0F"/>
              </w:rPr>
              <w:t>•</w:t>
            </w:r>
            <w:r>
              <w:rPr>
                <w:rFonts w:ascii="Arial;sans-serif" w:hAnsi="Arial;sans-serif"/>
                <w:b w:val="false"/>
                <w:color w:val="0F0F0F"/>
                <w:sz w:val="22"/>
              </w:rPr>
              <w:t>Recovery of losses suffered by the Company as a result of your negligence or breach of Company rules (which may include parking or driving related fines)</w:t>
            </w:r>
          </w:p>
          <w:p>
            <w:pPr>
              <w:pStyle w:val="TableContents"/>
              <w:bidi w:val="0"/>
              <w:spacing w:lineRule="auto" w:line="316" w:before="4" w:after="283"/>
              <w:ind w:left="0" w:right="0" w:hanging="370"/>
              <w:jc w:val="left"/>
              <w:rPr/>
            </w:pPr>
            <w:r>
              <w:rPr>
                <w:color w:val="0F0F0F"/>
              </w:rPr>
              <w:t>•</w:t>
            </w:r>
            <w:r>
              <w:rPr>
                <w:rFonts w:ascii="Arial;sans-serif" w:hAnsi="Arial;sans-serif"/>
                <w:b w:val="false"/>
                <w:color w:val="0F0F0F"/>
                <w:sz w:val="22"/>
              </w:rPr>
              <w:t>Holiday taken in excess of the employee's accrued entitlement;</w:t>
            </w:r>
          </w:p>
          <w:p>
            <w:pPr>
              <w:pStyle w:val="TableContents"/>
              <w:bidi w:val="0"/>
              <w:spacing w:lineRule="auto" w:line="316" w:before="2" w:after="283"/>
              <w:ind w:left="0" w:right="0" w:hanging="368"/>
              <w:jc w:val="left"/>
              <w:rPr/>
            </w:pPr>
            <w:r>
              <w:rPr>
                <w:color w:val="0F0F0F"/>
              </w:rPr>
              <w:t>•</w:t>
            </w:r>
            <w:r>
              <w:rPr>
                <w:rFonts w:ascii="Arial;sans-serif" w:hAnsi="Arial;sans-serif"/>
                <w:b w:val="false"/>
                <w:color w:val="0F0F0F"/>
                <w:sz w:val="22"/>
              </w:rPr>
              <w:t>Costs of repairing any damage or loss to Company property caused by the employee;</w:t>
            </w:r>
          </w:p>
          <w:p>
            <w:pPr>
              <w:pStyle w:val="TableContents"/>
              <w:bidi w:val="0"/>
              <w:spacing w:lineRule="auto" w:line="314" w:before="3" w:after="283"/>
              <w:ind w:left="0" w:right="0" w:hanging="365"/>
              <w:jc w:val="left"/>
              <w:rPr/>
            </w:pPr>
            <w:r>
              <w:rPr>
                <w:color w:val="0F0F0F"/>
              </w:rPr>
              <w:t>•</w:t>
            </w:r>
            <w:r>
              <w:rPr>
                <w:rFonts w:ascii="Arial;sans-serif" w:hAnsi="Arial;sans-serif"/>
                <w:b w:val="false"/>
                <w:color w:val="0F0F0F"/>
                <w:sz w:val="22"/>
              </w:rPr>
              <w:t>Outstanding payments relating to a 'salary sacrifice' arrangement etc.</w:t>
            </w:r>
          </w:p>
          <w:p>
            <w:pPr>
              <w:pStyle w:val="TableContents"/>
              <w:bidi w:val="0"/>
              <w:spacing w:lineRule="auto" w:line="314" w:before="3" w:after="283"/>
              <w:ind w:left="0" w:right="0" w:hanging="363"/>
              <w:jc w:val="left"/>
              <w:rPr/>
            </w:pPr>
            <w:r>
              <w:rPr>
                <w:color w:val="0F0F0F"/>
              </w:rPr>
              <w:t>•</w:t>
            </w:r>
            <w:r>
              <w:rPr>
                <w:rFonts w:ascii="Arial;sans-serif" w:hAnsi="Arial;sans-serif"/>
                <w:b w:val="false"/>
                <w:color w:val="0F0F0F"/>
                <w:sz w:val="22"/>
              </w:rPr>
              <w:t>Cost of SIA license (where applicable) - should you leave within 6 months of the commencement of your employment then the full cost of the license may be deducted from your final salary.</w:t>
            </w:r>
          </w:p>
          <w:p>
            <w:pPr>
              <w:pStyle w:val="TableContents"/>
              <w:bidi w:val="0"/>
              <w:spacing w:lineRule="auto" w:line="314" w:before="6" w:after="283"/>
              <w:ind w:left="0" w:right="0" w:hanging="365"/>
              <w:jc w:val="left"/>
              <w:rPr/>
            </w:pPr>
            <w:r>
              <w:rPr>
                <w:color w:val="0F0F0F"/>
              </w:rPr>
              <w:t>•</w:t>
            </w:r>
            <w:r>
              <w:rPr>
                <w:rFonts w:ascii="Arial;sans-serif" w:hAnsi="Arial;sans-serif"/>
                <w:b w:val="false"/>
                <w:color w:val="0F0F0F"/>
                <w:sz w:val="22"/>
              </w:rPr>
              <w:t>If at any time you are requested to return to the Company, property belonging to it and you fail to do so, the Company shall be entitled to withhold any monies due to you from the Company up to the value of the missing property.</w:t>
            </w:r>
          </w:p>
          <w:p>
            <w:pPr>
              <w:pStyle w:val="TableContents"/>
              <w:bidi w:val="0"/>
              <w:spacing w:lineRule="auto" w:line="288" w:before="5" w:after="283"/>
              <w:ind w:left="0" w:right="0" w:hanging="361"/>
              <w:jc w:val="left"/>
              <w:rPr/>
            </w:pPr>
            <w:r>
              <w:rPr>
                <w:color w:val="0F0F0F"/>
              </w:rPr>
              <w:t>•</w:t>
            </w:r>
            <w:r>
              <w:rPr>
                <w:rFonts w:ascii="Arial;sans-serif" w:hAnsi="Arial;sans-serif"/>
                <w:b w:val="false"/>
                <w:color w:val="0F0F0F"/>
                <w:sz w:val="22"/>
              </w:rPr>
              <w:t>In the event of accident or damage to a Company Vehicle</w:t>
            </w:r>
          </w:p>
          <w:p>
            <w:pPr>
              <w:pStyle w:val="TableContents"/>
              <w:bidi w:val="0"/>
              <w:spacing w:lineRule="auto" w:line="316" w:before="33" w:after="283"/>
              <w:ind w:left="0" w:right="0" w:firstLine="1"/>
              <w:jc w:val="left"/>
              <w:rPr>
                <w:rFonts w:ascii="Arial;sans-serif" w:hAnsi="Arial;sans-serif"/>
                <w:b w:val="false"/>
                <w:color w:val="0F0F0F"/>
                <w:sz w:val="22"/>
              </w:rPr>
            </w:pPr>
            <w:r>
              <w:rPr>
                <w:rFonts w:ascii="Arial;sans-serif" w:hAnsi="Arial;sans-serif"/>
                <w:b w:val="false"/>
                <w:color w:val="0F0F0F"/>
                <w:sz w:val="22"/>
              </w:rPr>
              <w:t>/ Hire Vehicle/ Pool Vehicle which is assigned to you, the Company reserves the right to deduct the excess insurance payment from your salary.</w:t>
            </w:r>
          </w:p>
          <w:p>
            <w:pPr>
              <w:pStyle w:val="TableContents"/>
              <w:bidi w:val="0"/>
              <w:spacing w:lineRule="auto" w:line="316" w:before="0" w:after="0"/>
              <w:ind w:left="0" w:right="0" w:hanging="365"/>
              <w:jc w:val="left"/>
              <w:rPr/>
            </w:pPr>
            <w:r>
              <w:rPr>
                <w:color w:val="0F0F0F"/>
              </w:rPr>
              <w:t>•</w:t>
            </w:r>
            <w:r>
              <w:rPr>
                <w:rFonts w:ascii="Arial;sans-serif" w:hAnsi="Arial;sans-serif"/>
                <w:b w:val="false"/>
                <w:color w:val="0F0F0F"/>
                <w:sz w:val="22"/>
              </w:rPr>
              <w:t>If you are in receipt of a Company expenses float and you do not submit an expenses claim form with receipts, prior to leaving, the Company shall be entitled to deduct the value from your final salary</w:t>
            </w:r>
          </w:p>
        </w:tc>
      </w:tr>
      <w:tr>
        <w:trPr/>
        <w:tc>
          <w:tcPr>
            <w:tcW w:w="154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137" w:after="283"/>
              <w:jc w:val="left"/>
              <w:rPr>
                <w:rFonts w:ascii="Arial;sans-serif" w:hAnsi="Arial;sans-serif"/>
                <w:b/>
                <w:color w:val="0F0F0F"/>
                <w:sz w:val="22"/>
              </w:rPr>
            </w:pPr>
            <w:r>
              <w:rPr>
                <w:rFonts w:ascii="Arial;sans-serif" w:hAnsi="Arial;sans-serif"/>
                <w:b/>
                <w:color w:val="0F0F0F"/>
                <w:sz w:val="22"/>
              </w:rPr>
              <w:t>Incentive Plan:</w:t>
            </w:r>
          </w:p>
        </w:tc>
        <w:tc>
          <w:tcPr>
            <w:tcW w:w="8657"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16" w:before="127" w:after="283"/>
              <w:ind w:left="0" w:right="0" w:firstLine="1"/>
              <w:jc w:val="both"/>
              <w:rPr>
                <w:rFonts w:ascii="Arial;sans-serif" w:hAnsi="Arial;sans-serif"/>
                <w:b w:val="false"/>
                <w:color w:val="0F0F0F"/>
                <w:sz w:val="22"/>
              </w:rPr>
            </w:pPr>
            <w:r>
              <w:rPr>
                <w:rFonts w:ascii="Arial;sans-serif" w:hAnsi="Arial;sans-serif"/>
                <w:b w:val="false"/>
                <w:color w:val="0F0F0F"/>
                <w:sz w:val="22"/>
              </w:rPr>
              <w:t>In addition to your annual salary, you are eligible to participate in the Management Incentive Plan (the 'Plan') subject to the terms of the Plan. The Plan is an annual bonus program with a pay-out that varies based on the Company's results and executive performance goals. The Plan provides a target incentive opportunity of up to 100% of eligible earnings that is typically paid in the first calendar quarter following the Plan year. You</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32410"/>
                <wp:effectExtent l="0" t="0" r="0" b="0"/>
                <wp:wrapNone/>
                <wp:docPr id="138" name="Frame136"/>
                <a:graphic xmlns:a="http://schemas.openxmlformats.org/drawingml/2006/main">
                  <a:graphicData uri="http://schemas.microsoft.com/office/word/2010/wordprocessingShape">
                    <wps:wsp>
                      <wps:cNvSpPr txBox="1"/>
                      <wps:spPr>
                        <a:xfrm>
                          <a:off x="0" y="0"/>
                          <a:ext cx="6480175" cy="23241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3</w:t>
                      </w:r>
                    </w:p>
                  </w:txbxContent>
                </v:textbox>
                <w10:wrap type="none"/>
              </v:rect>
            </w:pict>
          </mc:Fallback>
        </mc:AlternateContent>
      </w:r>
    </w:p>
    <w:p>
      <w:pPr>
        <w:pStyle w:val="TextBody"/>
        <w:bidi w:val="0"/>
        <w:spacing w:before="127" w:after="283"/>
        <w:jc w:val="left"/>
        <w:rPr/>
      </w:pPr>
      <w:r>
        <w:rPr/>
      </w:r>
    </w:p>
    <w:tbl>
      <w:tblPr>
        <w:tblW w:w="10205" w:type="dxa"/>
        <w:jc w:val="left"/>
        <w:tblInd w:w="0" w:type="dxa"/>
        <w:tblLayout w:type="fixed"/>
        <w:tblCellMar>
          <w:top w:w="28" w:type="dxa"/>
          <w:left w:w="28" w:type="dxa"/>
          <w:bottom w:w="28" w:type="dxa"/>
          <w:right w:w="28" w:type="dxa"/>
        </w:tblCellMar>
      </w:tblPr>
      <w:tblGrid>
        <w:gridCol w:w="400"/>
        <w:gridCol w:w="351"/>
        <w:gridCol w:w="353"/>
        <w:gridCol w:w="2664"/>
        <w:gridCol w:w="2664"/>
        <w:gridCol w:w="3773"/>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4"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op w:val="single" w:sz="4" w:space="0" w:color="000000"/>
              <w:left w:val="single" w:sz="6" w:space="0" w:color="000000"/>
              <w:right w:val="single" w:sz="6" w:space="0" w:color="000000"/>
            </w:tcBorders>
            <w:tcMar>
              <w:top w:w="30" w:type="dxa"/>
              <w:bottom w:w="0" w:type="dxa"/>
            </w:tcMar>
            <w:vAlign w:val="center"/>
          </w:tcPr>
          <w:p>
            <w:pPr>
              <w:pStyle w:val="TableContents"/>
              <w:bidi w:val="0"/>
              <w:spacing w:lineRule="auto" w:line="314" w:before="130" w:after="283"/>
              <w:ind w:left="0" w:right="0" w:hanging="1"/>
              <w:jc w:val="both"/>
              <w:rPr>
                <w:rFonts w:ascii="Arial;sans-serif" w:hAnsi="Arial;sans-serif"/>
                <w:b w:val="false"/>
                <w:color w:val="0F0F0F"/>
                <w:sz w:val="22"/>
              </w:rPr>
            </w:pPr>
            <w:r>
              <w:rPr>
                <w:rFonts w:ascii="Arial;sans-serif" w:hAnsi="Arial;sans-serif"/>
                <w:b w:val="false"/>
                <w:color w:val="0F0F0F"/>
                <w:sz w:val="22"/>
              </w:rPr>
              <w:t>must be a current employee at the time of payment in order to receive the bonus.</w:t>
            </w:r>
          </w:p>
          <w:p>
            <w:pPr>
              <w:pStyle w:val="TableContents"/>
              <w:bidi w:val="0"/>
              <w:spacing w:before="41" w:after="283"/>
              <w:jc w:val="left"/>
              <w:rPr/>
            </w:pPr>
            <w:r>
              <w:rPr/>
            </w:r>
          </w:p>
          <w:p>
            <w:pPr>
              <w:pStyle w:val="TableContents"/>
              <w:bidi w:val="0"/>
              <w:spacing w:lineRule="auto" w:line="319" w:before="0" w:after="0"/>
              <w:ind w:left="0" w:right="0" w:hanging="6"/>
              <w:jc w:val="both"/>
              <w:rPr>
                <w:rFonts w:ascii="Arial;sans-serif" w:hAnsi="Arial;sans-serif"/>
                <w:b w:val="false"/>
                <w:color w:val="0F0F0F"/>
                <w:sz w:val="22"/>
              </w:rPr>
            </w:pPr>
            <w:r>
              <w:rPr>
                <w:rFonts w:ascii="Arial;sans-serif" w:hAnsi="Arial;sans-serif"/>
                <w:b w:val="false"/>
                <w:color w:val="0F0F0F"/>
                <w:sz w:val="22"/>
              </w:rPr>
              <w:t>The Company's Incentive Plans are designed to address the conditions of an ever-changing marketplace, and the Company cannot make definitive representations concerning the continuation of format or the size of individual awards under the plans. The Company reserves the right to modify or cancel, to the extent permissible under local laws and regulations, each such plan and its terms at any time, at the Company's sole discretion.</w:t>
            </w:r>
          </w:p>
          <w:p>
            <w:pPr>
              <w:pStyle w:val="TableContents"/>
              <w:bidi w:val="0"/>
              <w:spacing w:before="33" w:after="283"/>
              <w:jc w:val="left"/>
              <w:rPr/>
            </w:pPr>
            <w:r>
              <w:rPr/>
            </w:r>
          </w:p>
          <w:p>
            <w:pPr>
              <w:pStyle w:val="TableContents"/>
              <w:bidi w:val="0"/>
              <w:spacing w:lineRule="auto" w:line="316" w:before="1" w:after="283"/>
              <w:ind w:left="0" w:right="0" w:hanging="3"/>
              <w:jc w:val="both"/>
              <w:rPr>
                <w:rFonts w:ascii="Arial;sans-serif" w:hAnsi="Arial;sans-serif"/>
                <w:b w:val="false"/>
                <w:color w:val="0F0F0F"/>
                <w:sz w:val="22"/>
              </w:rPr>
            </w:pPr>
            <w:r>
              <w:rPr>
                <w:rFonts w:ascii="Arial;sans-serif" w:hAnsi="Arial;sans-serif"/>
                <w:b w:val="false"/>
                <w:color w:val="0F0F0F"/>
                <w:sz w:val="22"/>
              </w:rPr>
              <w:t>Plan eligibility requirements and guidelines are available for review on the Company's Intranet website following your start date.</w:t>
            </w:r>
          </w:p>
        </w:tc>
      </w:tr>
      <w:tr>
        <w:trPr/>
        <w:tc>
          <w:tcPr>
            <w:tcW w:w="110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333" w:before="137" w:after="283"/>
              <w:ind w:left="0" w:right="0" w:hanging="2"/>
              <w:jc w:val="left"/>
              <w:rPr>
                <w:rFonts w:ascii="Arial;sans-serif" w:hAnsi="Arial;sans-serif"/>
                <w:b/>
                <w:color w:val="0F0F0F"/>
                <w:sz w:val="22"/>
              </w:rPr>
            </w:pPr>
            <w:r>
              <w:rPr>
                <w:rFonts w:ascii="Arial;sans-serif" w:hAnsi="Arial;sans-serif"/>
                <w:b/>
                <w:color w:val="0F0F0F"/>
                <w:sz w:val="22"/>
              </w:rPr>
              <w:t>Sign-on Equity Grant</w:t>
            </w:r>
          </w:p>
        </w:tc>
        <w:tc>
          <w:tcPr>
            <w:tcW w:w="9101"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38" w:before="127" w:after="283"/>
              <w:ind w:left="0" w:right="0" w:hanging="3"/>
              <w:jc w:val="left"/>
              <w:rPr>
                <w:rFonts w:ascii="Arial;sans-serif" w:hAnsi="Arial;sans-serif"/>
                <w:b w:val="false"/>
                <w:color w:val="0F0F0F"/>
                <w:sz w:val="22"/>
              </w:rPr>
            </w:pPr>
            <w:r>
              <w:rPr>
                <w:rFonts w:ascii="Arial;sans-serif" w:hAnsi="Arial;sans-serif"/>
                <w:b w:val="false"/>
                <w:color w:val="0F0F0F"/>
                <w:sz w:val="22"/>
              </w:rPr>
              <w:t>Subject to your acceptance of this offer and your timely execution of the associated award agreements, you will receive an NCR Voyix Corporation ("Parent Company'') equity award with a grant value of USD$750,000, to be delivered in the form of NCR Voyix Time-Based Restricted Stock Units, as described below. The effective date of the grant ("Grant Date") will be the first day of the month following your start date.</w:t>
            </w:r>
          </w:p>
          <w:p>
            <w:pPr>
              <w:pStyle w:val="TableContents"/>
              <w:bidi w:val="0"/>
              <w:spacing w:before="187" w:after="283"/>
              <w:jc w:val="left"/>
              <w:rPr/>
            </w:pPr>
            <w:r>
              <w:rPr/>
            </w:r>
          </w:p>
          <w:p>
            <w:pPr>
              <w:pStyle w:val="TableContents"/>
              <w:bidi w:val="0"/>
              <w:spacing w:lineRule="auto" w:line="343" w:before="1" w:after="283"/>
              <w:ind w:left="0" w:right="0" w:firstLine="2"/>
              <w:jc w:val="left"/>
              <w:rPr>
                <w:rFonts w:ascii="Arial;sans-serif" w:hAnsi="Arial;sans-serif"/>
                <w:b w:val="false"/>
                <w:color w:val="0F0F0F"/>
                <w:sz w:val="22"/>
              </w:rPr>
            </w:pPr>
            <w:r>
              <w:rPr>
                <w:rFonts w:ascii="Arial;sans-serif" w:hAnsi="Arial;sans-serif"/>
                <w:b w:val="false"/>
                <w:color w:val="0F0F0F"/>
                <w:sz w:val="22"/>
              </w:rPr>
              <w:t>On the Grant Date, NCR Voyix will grant you Time-Based Restricted Stock Units (the ''Time-Based Units"), each of which represents a single share of NCR Voyix common stock. The actual number of Time-Based Units will be determined by taking the value of the award and dividing it by the closing price of NCR Voyix stock on the Grant Date. The result shall be rounded to the nearest whole unit. Subject to your continued employment with NCR Voyix at that time, 100% of the Time-Based Units will vest ratably on an annual basis over three years from the Grant Date. The Time-Based Units will be subject to the standard terms and conditions found in the award agreements.</w:t>
            </w:r>
          </w:p>
          <w:p>
            <w:pPr>
              <w:pStyle w:val="TableContents"/>
              <w:bidi w:val="0"/>
              <w:spacing w:before="0" w:after="0"/>
              <w:jc w:val="left"/>
              <w:rPr/>
            </w:pPr>
            <w:r>
              <w:rPr/>
            </w:r>
          </w:p>
          <w:p>
            <w:pPr>
              <w:pStyle w:val="TableContents"/>
              <w:bidi w:val="0"/>
              <w:spacing w:before="16" w:after="283"/>
              <w:jc w:val="left"/>
              <w:rPr/>
            </w:pPr>
            <w:r>
              <w:rPr/>
            </w:r>
          </w:p>
          <w:p>
            <w:pPr>
              <w:pStyle w:val="TableContents"/>
              <w:bidi w:val="0"/>
              <w:spacing w:lineRule="auto" w:line="343" w:before="0" w:after="0"/>
              <w:ind w:left="0" w:right="0" w:firstLine="1"/>
              <w:jc w:val="left"/>
              <w:rPr>
                <w:rFonts w:ascii="Arial;sans-serif" w:hAnsi="Arial;sans-serif"/>
                <w:b w:val="false"/>
                <w:color w:val="0F0F0F"/>
                <w:sz w:val="22"/>
              </w:rPr>
            </w:pPr>
            <w:r>
              <w:rPr>
                <w:rFonts w:ascii="Arial;sans-serif" w:hAnsi="Arial;sans-serif"/>
                <w:b w:val="false"/>
                <w:color w:val="0F0F0F"/>
                <w:sz w:val="22"/>
              </w:rPr>
              <w:t>Your equity award will be issued under the terms of NCR Voyix Corporation Stock Incentive Plan, as such plan may be amended from time to time, which is administered by Fidelity Investments®. The specific terms and conditions relating to the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32410"/>
                <wp:effectExtent l="0" t="0" r="0" b="0"/>
                <wp:wrapNone/>
                <wp:docPr id="139" name="Frame137"/>
                <a:graphic xmlns:a="http://schemas.openxmlformats.org/drawingml/2006/main">
                  <a:graphicData uri="http://schemas.microsoft.com/office/word/2010/wordprocessingShape">
                    <wps:wsp>
                      <wps:cNvSpPr txBox="1"/>
                      <wps:spPr>
                        <a:xfrm>
                          <a:off x="0" y="0"/>
                          <a:ext cx="6480175" cy="23241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4</w:t>
                      </w:r>
                    </w:p>
                  </w:txbxContent>
                </v:textbox>
                <w10:wrap type="none"/>
              </v:rect>
            </w:pict>
          </mc:Fallback>
        </mc:AlternateConten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662"/>
        <w:gridCol w:w="582"/>
        <w:gridCol w:w="584"/>
        <w:gridCol w:w="2451"/>
        <w:gridCol w:w="2451"/>
        <w:gridCol w:w="3475"/>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7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45" w:before="127" w:after="283"/>
              <w:ind w:left="0" w:right="0" w:firstLine="3"/>
              <w:jc w:val="left"/>
              <w:rPr>
                <w:rFonts w:ascii="Arial;sans-serif" w:hAnsi="Arial;sans-serif"/>
                <w:b w:val="false"/>
                <w:color w:val="0F0F0F"/>
                <w:sz w:val="22"/>
              </w:rPr>
            </w:pPr>
            <w:r>
              <w:rPr>
                <w:rFonts w:ascii="Arial;sans-serif" w:hAnsi="Arial;sans-serif"/>
                <w:b w:val="false"/>
                <w:color w:val="0F0F0F"/>
                <w:sz w:val="22"/>
              </w:rPr>
              <w:t>award are outlined in the award agreement contained on Fidelity's website. Within several weeks of your Grant Date, your award should be loaded to Fidelity's system. You can access your award at www.netbenefits.fidelity.com. Please review the grant information carefully, including the award agreement, and indicate your acceptance of the award and of the grant terms by clicking on the appropriate button within the prescribed time for acceptance. You must accept the award agreement in order to receive the benefits of the award. If you have questions</w:t>
            </w:r>
          </w:p>
          <w:p>
            <w:pPr>
              <w:pStyle w:val="TableContents"/>
              <w:bidi w:val="0"/>
              <w:spacing w:lineRule="auto" w:line="345" w:before="0" w:after="0"/>
              <w:ind w:left="0" w:right="0" w:hanging="4"/>
              <w:jc w:val="left"/>
              <w:rPr/>
            </w:pPr>
            <w:r>
              <w:rPr>
                <w:rFonts w:ascii="Arial;sans-serif" w:hAnsi="Arial;sans-serif"/>
                <w:b w:val="false"/>
                <w:color w:val="0F0F0F"/>
                <w:sz w:val="22"/>
              </w:rPr>
              <w:t xml:space="preserve">about your shares, call the Fidelity Stock Plan Services Line at 1-800-544-9354. For questions that Fidelity is unable to answer, contact NCR by e-mail at </w:t>
            </w:r>
            <w:r>
              <w:rPr>
                <w:rFonts w:ascii="Arial;sans-serif" w:hAnsi="Arial;sans-serif"/>
                <w:b w:val="false"/>
                <w:color w:val="000000"/>
                <w:sz w:val="22"/>
              </w:rPr>
              <w:t>stock.administration@ncr.com</w:t>
            </w:r>
            <w:r>
              <w:rPr>
                <w:rFonts w:ascii="Arial;sans-serif" w:hAnsi="Arial;sans-serif"/>
                <w:b w:val="false"/>
                <w:color w:val="0F0F0F"/>
                <w:sz w:val="22"/>
              </w:rPr>
              <w:t>.</w:t>
            </w:r>
          </w:p>
        </w:tc>
      </w:tr>
      <w:tr>
        <w:trPr/>
        <w:tc>
          <w:tcPr>
            <w:tcW w:w="182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31" w:before="141" w:after="283"/>
              <w:ind w:left="0" w:right="0" w:firstLine="3"/>
              <w:jc w:val="left"/>
              <w:rPr>
                <w:rFonts w:ascii="Arial;sans-serif" w:hAnsi="Arial;sans-serif"/>
                <w:b/>
                <w:color w:val="0F0F0F"/>
                <w:sz w:val="22"/>
              </w:rPr>
            </w:pPr>
            <w:r>
              <w:rPr>
                <w:rFonts w:ascii="Arial;sans-serif" w:hAnsi="Arial;sans-serif"/>
                <w:b/>
                <w:color w:val="0F0F0F"/>
                <w:sz w:val="22"/>
              </w:rPr>
              <w:t>Long-Term Equity Award Incentive Program (LTl) for 2025 and Beyond</w:t>
            </w:r>
          </w:p>
        </w:tc>
        <w:tc>
          <w:tcPr>
            <w:tcW w:w="8377"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38" w:before="132" w:after="283"/>
              <w:ind w:left="0" w:right="0" w:firstLine="4"/>
              <w:jc w:val="both"/>
              <w:rPr>
                <w:rFonts w:ascii="Arial;sans-serif" w:hAnsi="Arial;sans-serif"/>
                <w:b w:val="false"/>
                <w:color w:val="0F0F0F"/>
                <w:sz w:val="22"/>
              </w:rPr>
            </w:pPr>
            <w:r>
              <w:rPr>
                <w:rFonts w:ascii="Arial;sans-serif" w:hAnsi="Arial;sans-serif"/>
                <w:b w:val="false"/>
                <w:color w:val="0F0F0F"/>
                <w:sz w:val="22"/>
              </w:rPr>
              <w:t>As an executive at NCR VOYIX, you are eligible to participate in the annual LTI Program. For 2025, your target award for your position is $1,000,000USD. As an eligible participant, you will be considered for an LTI award based on your individual contributions during the year; your relative performance amongst peers; your future potential to contribute to the Company's success and other factors. LTI awards are discretionary, not guaranteed and are generally granted during first calendar quarter of each year, subject to approval by the Compensation and Human Resource Committee of the Board of Directors of NCR Voyix Corporation.</w:t>
            </w:r>
          </w:p>
        </w:tc>
      </w:tr>
      <w:tr>
        <w:trPr/>
        <w:tc>
          <w:tcPr>
            <w:tcW w:w="1828"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77" w:type="dxa"/>
            <w:gridSpan w:val="3"/>
            <w:tcBorders>
              <w:left w:val="single" w:sz="6" w:space="0" w:color="000000"/>
              <w:right w:val="single" w:sz="6" w:space="0" w:color="000000"/>
            </w:tcBorders>
            <w:tcMar>
              <w:top w:w="0" w:type="dxa"/>
              <w:bottom w:w="0" w:type="dxa"/>
            </w:tcMar>
            <w:vAlign w:val="center"/>
          </w:tcPr>
          <w:p>
            <w:pPr>
              <w:pStyle w:val="TableContents"/>
              <w:bidi w:val="0"/>
              <w:spacing w:lineRule="auto" w:line="343" w:before="109" w:after="283"/>
              <w:ind w:left="0" w:right="0" w:firstLine="1"/>
              <w:jc w:val="left"/>
              <w:rPr>
                <w:rFonts w:ascii="Arial;sans-serif" w:hAnsi="Arial;sans-serif"/>
                <w:b w:val="false"/>
                <w:color w:val="0F0F0F"/>
                <w:sz w:val="22"/>
              </w:rPr>
            </w:pPr>
            <w:r>
              <w:rPr>
                <w:rFonts w:ascii="Arial;sans-serif" w:hAnsi="Arial;sans-serif"/>
                <w:b w:val="false"/>
                <w:color w:val="0F0F0F"/>
                <w:sz w:val="22"/>
              </w:rPr>
              <w:t>You must be a current employee of NCR Voyix on the applicable grant date in order to be eligible to receive any NCR Voyix LTl award. Other award terms are set forth in the plan governing these awards, and you must electronically accept the award agreement each time one is made in order to be eligible to receive its benefit.</w:t>
            </w:r>
          </w:p>
        </w:tc>
      </w:tr>
      <w:tr>
        <w:trPr/>
        <w:tc>
          <w:tcPr>
            <w:tcW w:w="182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333" w:before="137" w:after="283"/>
              <w:ind w:left="0" w:right="0" w:firstLine="1"/>
              <w:jc w:val="left"/>
              <w:rPr>
                <w:rFonts w:ascii="Arial;sans-serif" w:hAnsi="Arial;sans-serif"/>
                <w:b/>
                <w:color w:val="0F0F0F"/>
                <w:sz w:val="22"/>
              </w:rPr>
            </w:pPr>
            <w:r>
              <w:rPr>
                <w:rFonts w:ascii="Arial;sans-serif" w:hAnsi="Arial;sans-serif"/>
                <w:b/>
                <w:color w:val="0F0F0F"/>
                <w:sz w:val="22"/>
              </w:rPr>
              <w:t>Working Time Directive</w:t>
            </w:r>
          </w:p>
        </w:tc>
        <w:tc>
          <w:tcPr>
            <w:tcW w:w="8377"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16" w:before="127" w:after="283"/>
              <w:ind w:left="0" w:right="0" w:firstLine="1"/>
              <w:jc w:val="both"/>
              <w:rPr>
                <w:rFonts w:ascii="Arial;sans-serif" w:hAnsi="Arial;sans-serif"/>
                <w:b w:val="false"/>
                <w:color w:val="0F0F0F"/>
                <w:sz w:val="22"/>
              </w:rPr>
            </w:pPr>
            <w:r>
              <w:rPr>
                <w:rFonts w:ascii="Arial;sans-serif" w:hAnsi="Arial;sans-serif"/>
                <w:b w:val="false"/>
                <w:color w:val="0F0F0F"/>
                <w:sz w:val="22"/>
              </w:rPr>
              <w:t>If you're requested to work in excess of your normal contractual hours, the Company will seek to ensure you do not work on average more than 48 hours in a working week, this includes any secondary employment. Therefore, you must advise us of any additional employment. However, the Company may request that you sign a form to opt out of the working time regulations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32410"/>
                <wp:effectExtent l="0" t="0" r="0" b="0"/>
                <wp:wrapNone/>
                <wp:docPr id="140" name="Frame138"/>
                <a:graphic xmlns:a="http://schemas.openxmlformats.org/drawingml/2006/main">
                  <a:graphicData uri="http://schemas.microsoft.com/office/word/2010/wordprocessingShape">
                    <wps:wsp>
                      <wps:cNvSpPr txBox="1"/>
                      <wps:spPr>
                        <a:xfrm>
                          <a:off x="0" y="0"/>
                          <a:ext cx="6480175" cy="23241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5</w:t>
                      </w:r>
                    </w:p>
                  </w:txbxContent>
                </v:textbox>
                <w10:wrap type="none"/>
              </v:rect>
            </w:pict>
          </mc:Fallback>
        </mc:AlternateContent>
      </w:r>
    </w:p>
    <w:p>
      <w:pPr>
        <w:pStyle w:val="TextBody"/>
        <w:bidi w:val="0"/>
        <w:spacing w:before="105" w:after="1"/>
        <w:jc w:val="left"/>
        <w:rPr/>
      </w:pPr>
      <w:r>
        <w:rPr/>
      </w:r>
    </w:p>
    <w:tbl>
      <w:tblPr>
        <w:tblW w:w="10205" w:type="dxa"/>
        <w:jc w:val="left"/>
        <w:tblInd w:w="0" w:type="dxa"/>
        <w:tblLayout w:type="fixed"/>
        <w:tblCellMar>
          <w:top w:w="28" w:type="dxa"/>
          <w:left w:w="28" w:type="dxa"/>
          <w:bottom w:w="28" w:type="dxa"/>
          <w:right w:w="28" w:type="dxa"/>
        </w:tblCellMar>
      </w:tblPr>
      <w:tblGrid>
        <w:gridCol w:w="547"/>
        <w:gridCol w:w="482"/>
        <w:gridCol w:w="484"/>
        <w:gridCol w:w="2753"/>
        <w:gridCol w:w="2455"/>
        <w:gridCol w:w="3484"/>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6" w:before="139" w:after="283"/>
              <w:ind w:left="0" w:right="0" w:hanging="5"/>
              <w:jc w:val="both"/>
              <w:rPr>
                <w:rFonts w:ascii="Arial;sans-serif" w:hAnsi="Arial;sans-serif"/>
                <w:b w:val="false"/>
                <w:color w:val="0C0C0C"/>
                <w:sz w:val="22"/>
              </w:rPr>
            </w:pPr>
            <w:r>
              <w:rPr>
                <w:rFonts w:ascii="Arial;sans-serif" w:hAnsi="Arial;sans-serif"/>
                <w:b w:val="false"/>
                <w:color w:val="0C0C0C"/>
                <w:sz w:val="22"/>
              </w:rPr>
              <w:t>1998. You have the right to refuse this request, without facing any penalty. Any worker who has not signed the opt-out or who has revoked his/her opt-out will not be requested or permitted to work more than 48 hours in one week, referenced over a 17 week period.</w:t>
            </w:r>
          </w:p>
        </w:tc>
      </w:tr>
      <w:tr>
        <w:trPr/>
        <w:tc>
          <w:tcPr>
            <w:tcW w:w="1513"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40" w:before="0" w:after="283"/>
              <w:jc w:val="left"/>
              <w:rPr>
                <w:rFonts w:ascii="Arial;sans-serif" w:hAnsi="Arial;sans-serif"/>
                <w:b/>
                <w:color w:val="0C0C0C"/>
                <w:sz w:val="22"/>
              </w:rPr>
            </w:pPr>
            <w:r>
              <w:rPr>
                <w:rFonts w:ascii="Arial;sans-serif" w:hAnsi="Arial;sans-serif"/>
                <w:b/>
                <w:color w:val="0C0C0C"/>
                <w:sz w:val="22"/>
              </w:rPr>
              <w:t>Holidays</w:t>
            </w:r>
          </w:p>
        </w:tc>
        <w:tc>
          <w:tcPr>
            <w:tcW w:w="86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134" w:after="283"/>
              <w:ind w:left="0" w:right="0" w:hanging="4"/>
              <w:jc w:val="both"/>
              <w:rPr>
                <w:rFonts w:ascii="Arial;sans-serif" w:hAnsi="Arial;sans-serif"/>
                <w:b w:val="false"/>
                <w:color w:val="0C0C0C"/>
                <w:sz w:val="22"/>
              </w:rPr>
            </w:pPr>
            <w:r>
              <w:rPr>
                <w:rFonts w:ascii="Arial;sans-serif" w:hAnsi="Arial;sans-serif"/>
                <w:b w:val="false"/>
                <w:color w:val="0C0C0C"/>
                <w:sz w:val="22"/>
              </w:rPr>
              <w:t>In addition to Statutory Public Bank Holidays, full time employees working across a 5 day week will be entitled to 30 days paid holiday per calendar year. Part time employees will receive a pro-rated amount of holidays based on the number of days per week that they work. The holiday year runs from January to December each year.</w:t>
            </w:r>
          </w:p>
          <w:p>
            <w:pPr>
              <w:pStyle w:val="TableContents"/>
              <w:bidi w:val="0"/>
              <w:spacing w:before="30" w:after="283"/>
              <w:jc w:val="left"/>
              <w:rPr/>
            </w:pPr>
            <w:r>
              <w:rPr/>
            </w:r>
          </w:p>
          <w:p>
            <w:pPr>
              <w:pStyle w:val="TableContents"/>
              <w:bidi w:val="0"/>
              <w:spacing w:lineRule="auto" w:line="316" w:before="0" w:after="0"/>
              <w:ind w:left="0" w:right="0" w:hanging="1"/>
              <w:jc w:val="both"/>
              <w:rPr>
                <w:rFonts w:ascii="Arial;sans-serif" w:hAnsi="Arial;sans-serif"/>
                <w:b w:val="false"/>
                <w:color w:val="0C0C0C"/>
                <w:sz w:val="22"/>
              </w:rPr>
            </w:pPr>
            <w:r>
              <w:rPr>
                <w:rFonts w:ascii="Arial;sans-serif" w:hAnsi="Arial;sans-serif"/>
                <w:b w:val="false"/>
                <w:color w:val="0C0C0C"/>
                <w:sz w:val="22"/>
              </w:rPr>
              <w:t>Your annual entitlement will accrue at a rate of 2.5 days (or equivalent pro-rata part-time days) per full calendar month worked.</w:t>
            </w:r>
          </w:p>
          <w:p>
            <w:pPr>
              <w:pStyle w:val="TableContents"/>
              <w:bidi w:val="0"/>
              <w:spacing w:before="37" w:after="283"/>
              <w:jc w:val="left"/>
              <w:rPr/>
            </w:pPr>
            <w:r>
              <w:rPr/>
            </w:r>
          </w:p>
          <w:p>
            <w:pPr>
              <w:pStyle w:val="TableContents"/>
              <w:bidi w:val="0"/>
              <w:spacing w:lineRule="auto" w:line="316" w:before="1" w:after="283"/>
              <w:ind w:left="0" w:right="0" w:firstLine="4"/>
              <w:jc w:val="both"/>
              <w:rPr>
                <w:rFonts w:ascii="Arial;sans-serif" w:hAnsi="Arial;sans-serif"/>
                <w:b w:val="false"/>
                <w:color w:val="0C0C0C"/>
                <w:sz w:val="22"/>
              </w:rPr>
            </w:pPr>
            <w:r>
              <w:rPr>
                <w:rFonts w:ascii="Arial;sans-serif" w:hAnsi="Arial;sans-serif"/>
                <w:b w:val="false"/>
                <w:color w:val="0C0C0C"/>
                <w:sz w:val="22"/>
              </w:rPr>
              <w:t>Each business function has their own rules around booking and taking holidays. Please ensure that you familiarise yourself with these.</w:t>
            </w:r>
          </w:p>
          <w:p>
            <w:pPr>
              <w:pStyle w:val="TableContents"/>
              <w:bidi w:val="0"/>
              <w:spacing w:lineRule="auto" w:line="314" w:before="0" w:after="0"/>
              <w:ind w:left="0" w:right="0" w:hanging="2"/>
              <w:jc w:val="both"/>
              <w:rPr>
                <w:rFonts w:ascii="Arial;sans-serif" w:hAnsi="Arial;sans-serif"/>
                <w:b w:val="false"/>
                <w:color w:val="0C0C0C"/>
                <w:sz w:val="22"/>
              </w:rPr>
            </w:pPr>
            <w:r>
              <w:rPr>
                <w:rFonts w:ascii="Arial;sans-serif" w:hAnsi="Arial;sans-serif"/>
                <w:b w:val="false"/>
                <w:color w:val="0C0C0C"/>
                <w:sz w:val="22"/>
              </w:rPr>
              <w:t>In the event that you terminate your Employment with NCR VOYIX your Manager will calculate any accrued holidays that you may have left to be paid out. If you have exceeded your holiday entitlement, your final pay will be reduced by the appropriate amount. Your accrued holiday entitlement on termination will be calculated as follows (2 days per calendar month x the number of months year-to-date; less any accrued holidays taken year-to-date).</w:t>
            </w:r>
          </w:p>
        </w:tc>
      </w:tr>
      <w:tr>
        <w:trPr/>
        <w:tc>
          <w:tcPr>
            <w:tcW w:w="1513" w:type="dxa"/>
            <w:gridSpan w:val="3"/>
            <w:tcBorders>
              <w:top w:val="single" w:sz="4" w:space="0" w:color="000000"/>
              <w:left w:val="single" w:sz="8" w:space="0" w:color="000000"/>
              <w:bottom w:val="single" w:sz="4" w:space="0" w:color="000000"/>
            </w:tcBorders>
            <w:tcMar>
              <w:top w:w="30" w:type="dxa"/>
              <w:bottom w:w="30" w:type="dxa"/>
              <w:right w:w="0" w:type="dxa"/>
            </w:tcMar>
            <w:vAlign w:val="center"/>
          </w:tcPr>
          <w:p>
            <w:pPr>
              <w:pStyle w:val="TableContents"/>
              <w:bidi w:val="0"/>
              <w:spacing w:lineRule="auto" w:line="333" w:before="139" w:after="283"/>
              <w:ind w:left="0" w:right="0" w:hanging="1"/>
              <w:jc w:val="left"/>
              <w:rPr>
                <w:rFonts w:ascii="Arial;sans-serif" w:hAnsi="Arial;sans-serif"/>
                <w:b/>
                <w:color w:val="0C0C0C"/>
                <w:sz w:val="22"/>
              </w:rPr>
            </w:pPr>
            <w:r>
              <w:rPr>
                <w:rFonts w:ascii="Arial;sans-serif" w:hAnsi="Arial;sans-serif"/>
                <w:b/>
                <w:color w:val="0C0C0C"/>
                <w:sz w:val="22"/>
              </w:rPr>
              <w:t>Background Check</w:t>
            </w:r>
          </w:p>
        </w:tc>
        <w:tc>
          <w:tcPr>
            <w:tcW w:w="8692" w:type="dxa"/>
            <w:gridSpan w:val="3"/>
            <w:tcBorders>
              <w:top w:val="single" w:sz="8" w:space="0" w:color="000000"/>
              <w:left w:val="single" w:sz="8" w:space="0" w:color="000000"/>
              <w:bottom w:val="single" w:sz="4" w:space="0" w:color="000000"/>
              <w:right w:val="single" w:sz="8" w:space="0" w:color="000000"/>
            </w:tcBorders>
            <w:tcMar>
              <w:top w:w="30" w:type="dxa"/>
              <w:bottom w:w="30" w:type="dxa"/>
            </w:tcMar>
            <w:vAlign w:val="center"/>
          </w:tcPr>
          <w:p>
            <w:pPr>
              <w:pStyle w:val="TableContents"/>
              <w:bidi w:val="0"/>
              <w:spacing w:lineRule="auto" w:line="316" w:before="130" w:after="283"/>
              <w:ind w:left="0" w:right="0" w:hanging="7"/>
              <w:jc w:val="both"/>
              <w:rPr>
                <w:rFonts w:ascii="Arial;sans-serif" w:hAnsi="Arial;sans-serif"/>
                <w:b w:val="false"/>
                <w:color w:val="0C0C0C"/>
                <w:sz w:val="22"/>
              </w:rPr>
            </w:pPr>
            <w:r>
              <w:rPr>
                <w:rFonts w:ascii="Arial;sans-serif" w:hAnsi="Arial;sans-serif"/>
                <w:b w:val="false"/>
                <w:color w:val="0C0C0C"/>
                <w:sz w:val="22"/>
              </w:rPr>
              <w:t>This offer of employment is conditioned upon the successful completion of a background check. The background check may be performed by the Company, at its discretion, or by an outside agency. Before the background check is performed, you will be asked to provide your authorization for the Company to procure the background check for employment purposes. If the results of your background check are not satisfactory to the Company, your offer may be rescinded, or your employment may be terminated immediately.</w:t>
            </w:r>
          </w:p>
          <w:p>
            <w:pPr>
              <w:pStyle w:val="TableContents"/>
              <w:bidi w:val="0"/>
              <w:spacing w:before="39" w:after="283"/>
              <w:jc w:val="left"/>
              <w:rPr/>
            </w:pPr>
            <w:r>
              <w:rPr/>
            </w:r>
          </w:p>
          <w:p>
            <w:pPr>
              <w:pStyle w:val="TableContents"/>
              <w:bidi w:val="0"/>
              <w:spacing w:lineRule="auto" w:line="316" w:before="1" w:after="283"/>
              <w:ind w:left="0" w:right="0" w:hanging="6"/>
              <w:jc w:val="both"/>
              <w:rPr>
                <w:rFonts w:ascii="Arial;sans-serif" w:hAnsi="Arial;sans-serif"/>
                <w:b w:val="false"/>
                <w:color w:val="0C0C0C"/>
                <w:sz w:val="22"/>
              </w:rPr>
            </w:pPr>
            <w:r>
              <w:rPr>
                <w:rFonts w:ascii="Arial;sans-serif" w:hAnsi="Arial;sans-serif"/>
                <w:b w:val="false"/>
                <w:color w:val="0C0C0C"/>
                <w:sz w:val="22"/>
              </w:rPr>
              <w:t>You understand and agree that, if required, the Company may provide its customers with verification that you have passed certain background check requirements before you will be permitted to service those accounts.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32410"/>
                <wp:effectExtent l="0" t="0" r="0" b="0"/>
                <wp:wrapNone/>
                <wp:docPr id="141" name="Frame139"/>
                <a:graphic xmlns:a="http://schemas.openxmlformats.org/drawingml/2006/main">
                  <a:graphicData uri="http://schemas.microsoft.com/office/word/2010/wordprocessingShape">
                    <wps:wsp>
                      <wps:cNvSpPr txBox="1"/>
                      <wps:spPr>
                        <a:xfrm>
                          <a:off x="0" y="0"/>
                          <a:ext cx="6480175" cy="23241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6</w:t>
                      </w:r>
                    </w:p>
                  </w:txbxContent>
                </v:textbox>
                <w10:wrap type="none"/>
              </v:rect>
            </w:pict>
          </mc:Fallback>
        </mc:AlternateContent>
      </w:r>
    </w:p>
    <w:p>
      <w:pPr>
        <w:pStyle w:val="TextBody"/>
        <w:bidi w:val="0"/>
        <w:spacing w:before="113" w:after="283"/>
        <w:jc w:val="left"/>
        <w:rPr/>
      </w:pPr>
      <w:r>
        <w:rPr/>
      </w:r>
    </w:p>
    <w:tbl>
      <w:tblPr>
        <w:tblW w:w="10205" w:type="dxa"/>
        <w:jc w:val="left"/>
        <w:tblInd w:w="0" w:type="dxa"/>
        <w:tblLayout w:type="fixed"/>
        <w:tblCellMar>
          <w:top w:w="28" w:type="dxa"/>
          <w:left w:w="28" w:type="dxa"/>
          <w:bottom w:w="28" w:type="dxa"/>
          <w:right w:w="28" w:type="dxa"/>
        </w:tblCellMar>
      </w:tblPr>
      <w:tblGrid>
        <w:gridCol w:w="522"/>
        <w:gridCol w:w="458"/>
        <w:gridCol w:w="459"/>
        <w:gridCol w:w="2564"/>
        <w:gridCol w:w="2564"/>
        <w:gridCol w:w="3638"/>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6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165" w:after="283"/>
              <w:jc w:val="left"/>
              <w:rPr/>
            </w:pPr>
            <w:r>
              <w:rPr/>
            </w:r>
          </w:p>
          <w:p>
            <w:pPr>
              <w:pStyle w:val="TableContents"/>
              <w:bidi w:val="0"/>
              <w:spacing w:lineRule="auto" w:line="316" w:before="1" w:after="283"/>
              <w:ind w:left="0" w:right="0" w:hanging="1"/>
              <w:jc w:val="both"/>
              <w:rPr>
                <w:rFonts w:ascii="Arial;sans-serif" w:hAnsi="Arial;sans-serif"/>
                <w:b w:val="false"/>
                <w:color w:val="0F0F0F"/>
                <w:sz w:val="22"/>
              </w:rPr>
            </w:pPr>
            <w:r>
              <w:rPr>
                <w:rFonts w:ascii="Arial;sans-serif" w:hAnsi="Arial;sans-serif"/>
                <w:b w:val="false"/>
                <w:color w:val="0F0F0F"/>
                <w:sz w:val="22"/>
              </w:rPr>
              <w:t>NCR VOYIX reserves the right to conduct periodic background checks based on business necessity, including upon Customer demand or if the Company has reasonable cause to believe an employee would no longer be able to pass a background check. Questionable issues will be brought forward to and addressed by Global Security and a local HR Representative.</w:t>
            </w:r>
          </w:p>
          <w:p>
            <w:pPr>
              <w:pStyle w:val="TableContents"/>
              <w:bidi w:val="0"/>
              <w:spacing w:before="45" w:after="283"/>
              <w:jc w:val="left"/>
              <w:rPr/>
            </w:pPr>
            <w:r>
              <w:rPr/>
            </w:r>
          </w:p>
          <w:p>
            <w:pPr>
              <w:pStyle w:val="TableContents"/>
              <w:bidi w:val="0"/>
              <w:spacing w:lineRule="auto" w:line="316" w:before="0" w:after="0"/>
              <w:ind w:left="0" w:right="0" w:firstLine="5"/>
              <w:jc w:val="both"/>
              <w:rPr/>
            </w:pPr>
            <w:r>
              <w:rPr>
                <w:rFonts w:ascii="Arial;sans-serif" w:hAnsi="Arial;sans-serif"/>
                <w:b w:val="false"/>
                <w:color w:val="0F0F0F"/>
                <w:sz w:val="22"/>
              </w:rPr>
              <w:t xml:space="preserve">Further, it remains your responsibility to disclose to your reporting Manager, any change, such as a new criminal charge </w:t>
            </w:r>
            <w:r>
              <w:rPr>
                <w:rFonts w:ascii="Arial;sans-serif" w:hAnsi="Arial;sans-serif"/>
                <w:b w:val="false"/>
                <w:i/>
                <w:color w:val="0F0F0F"/>
                <w:sz w:val="22"/>
              </w:rPr>
              <w:t xml:space="preserve">I </w:t>
            </w:r>
            <w:r>
              <w:rPr>
                <w:rFonts w:ascii="Arial;sans-serif" w:hAnsi="Arial;sans-serif"/>
                <w:b w:val="false"/>
                <w:color w:val="0F0F0F"/>
                <w:sz w:val="22"/>
              </w:rPr>
              <w:t>conviction, bankruptcy, a significant increase in or anything else that could potentially impact your suitability for your current role. The impact of the disclosed information will then be the subject of an internal review. Subsequent action as a result of such disclosure will depend on the severity of the issue and will consider the best interests of both you and NCR VOYIX.</w:t>
            </w:r>
          </w:p>
          <w:p>
            <w:pPr>
              <w:pStyle w:val="TableContents"/>
              <w:bidi w:val="0"/>
              <w:spacing w:before="31" w:after="283"/>
              <w:jc w:val="left"/>
              <w:rPr/>
            </w:pPr>
            <w:r>
              <w:rPr/>
            </w:r>
          </w:p>
          <w:p>
            <w:pPr>
              <w:pStyle w:val="TableContents"/>
              <w:bidi w:val="0"/>
              <w:spacing w:lineRule="auto" w:line="314" w:before="0" w:after="0"/>
              <w:ind w:left="0" w:right="0" w:hanging="2"/>
              <w:jc w:val="both"/>
              <w:rPr>
                <w:rFonts w:ascii="Arial;sans-serif" w:hAnsi="Arial;sans-serif"/>
                <w:b w:val="false"/>
                <w:color w:val="0F0F0F"/>
                <w:sz w:val="22"/>
              </w:rPr>
            </w:pPr>
            <w:r>
              <w:rPr>
                <w:rFonts w:ascii="Arial;sans-serif" w:hAnsi="Arial;sans-serif"/>
                <w:b w:val="false"/>
                <w:color w:val="0F0F0F"/>
                <w:sz w:val="22"/>
              </w:rPr>
              <w:t>You also understand that if the Company hires you, the Company may, where allowed by law or by the terms of your authorization, obtain additional background reports pertaining to you, without asking for your authorization again, throughout your employment.</w:t>
            </w:r>
          </w:p>
        </w:tc>
      </w:tr>
      <w:tr>
        <w:trPr/>
        <w:tc>
          <w:tcPr>
            <w:tcW w:w="14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28" w:before="137" w:after="283"/>
              <w:ind w:left="0" w:right="0" w:hanging="4"/>
              <w:jc w:val="left"/>
              <w:rPr>
                <w:rFonts w:ascii="Arial;sans-serif" w:hAnsi="Arial;sans-serif"/>
                <w:b/>
                <w:color w:val="0F0F0F"/>
                <w:sz w:val="22"/>
              </w:rPr>
            </w:pPr>
            <w:r>
              <w:rPr>
                <w:rFonts w:ascii="Arial;sans-serif" w:hAnsi="Arial;sans-serif"/>
                <w:b/>
                <w:color w:val="0F0F0F"/>
                <w:sz w:val="22"/>
              </w:rPr>
              <w:t>Collective Bargaining</w:t>
            </w:r>
          </w:p>
        </w:tc>
        <w:tc>
          <w:tcPr>
            <w:tcW w:w="876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14" w:before="127" w:after="283"/>
              <w:ind w:left="0" w:right="0" w:hanging="12"/>
              <w:jc w:val="left"/>
              <w:rPr>
                <w:rFonts w:ascii="Arial;sans-serif" w:hAnsi="Arial;sans-serif"/>
                <w:b w:val="false"/>
                <w:color w:val="0F0F0F"/>
                <w:sz w:val="22"/>
              </w:rPr>
            </w:pPr>
            <w:r>
              <w:rPr>
                <w:rFonts w:ascii="Arial;sans-serif" w:hAnsi="Arial;sans-serif"/>
                <w:b w:val="false"/>
                <w:color w:val="0F0F0F"/>
                <w:sz w:val="22"/>
              </w:rPr>
              <w:t>There is no collective agreement in force in respect of your employment at 'the Company'.</w:t>
            </w:r>
          </w:p>
        </w:tc>
      </w:tr>
      <w:tr>
        <w:trPr/>
        <w:tc>
          <w:tcPr>
            <w:tcW w:w="143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137" w:after="283"/>
              <w:jc w:val="left"/>
              <w:rPr>
                <w:rFonts w:ascii="Arial;sans-serif" w:hAnsi="Arial;sans-serif"/>
                <w:b/>
                <w:color w:val="0F0F0F"/>
                <w:sz w:val="22"/>
              </w:rPr>
            </w:pPr>
            <w:r>
              <w:rPr>
                <w:rFonts w:ascii="Arial;sans-serif" w:hAnsi="Arial;sans-serif"/>
                <w:b/>
                <w:color w:val="0F0F0F"/>
                <w:sz w:val="22"/>
              </w:rPr>
              <w:t>Notice Period</w:t>
            </w:r>
          </w:p>
        </w:tc>
        <w:tc>
          <w:tcPr>
            <w:tcW w:w="8766"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16" w:before="127" w:after="283"/>
              <w:ind w:left="0" w:right="0" w:hanging="2"/>
              <w:jc w:val="both"/>
              <w:rPr>
                <w:rFonts w:ascii="Arial;sans-serif" w:hAnsi="Arial;sans-serif"/>
                <w:b w:val="false"/>
                <w:color w:val="0F0F0F"/>
                <w:sz w:val="22"/>
              </w:rPr>
            </w:pPr>
            <w:r>
              <w:rPr>
                <w:rFonts w:ascii="Arial;sans-serif" w:hAnsi="Arial;sans-serif"/>
                <w:b w:val="false"/>
                <w:color w:val="0F0F0F"/>
                <w:sz w:val="22"/>
              </w:rPr>
              <w:t>If you wish to resign from the Company, you must give 12-weeks' notice in writing irrespective of your length of service. The Company may at its discretion make payment in lieu of all or part of this notice period, in which case you would not be required to work your notice or a part of it. Payment in lieu of notice or any part of notice will be based on base salary only.</w:t>
            </w:r>
          </w:p>
          <w:p>
            <w:pPr>
              <w:pStyle w:val="TableContents"/>
              <w:bidi w:val="0"/>
              <w:spacing w:before="32" w:after="283"/>
              <w:jc w:val="left"/>
              <w:rPr/>
            </w:pPr>
            <w:r>
              <w:rPr/>
            </w:r>
          </w:p>
          <w:p>
            <w:pPr>
              <w:pStyle w:val="TableContents"/>
              <w:bidi w:val="0"/>
              <w:spacing w:lineRule="auto" w:line="316" w:before="0" w:after="0"/>
              <w:jc w:val="both"/>
              <w:rPr>
                <w:rFonts w:ascii="Arial;sans-serif" w:hAnsi="Arial;sans-serif"/>
                <w:b w:val="false"/>
                <w:color w:val="0F0F0F"/>
                <w:sz w:val="22"/>
              </w:rPr>
            </w:pPr>
            <w:r>
              <w:rPr>
                <w:rFonts w:ascii="Arial;sans-serif" w:hAnsi="Arial;sans-serif"/>
                <w:b w:val="false"/>
                <w:color w:val="0F0F0F"/>
                <w:sz w:val="22"/>
              </w:rPr>
              <w:t>The Company reserves the right to place you on garden leave during notice periods with the specific arrangements for any period of garden leave to be notified to you by the Company at its discretion.</w:t>
            </w:r>
          </w:p>
          <w:p>
            <w:pPr>
              <w:pStyle w:val="TableContents"/>
              <w:bidi w:val="0"/>
              <w:spacing w:before="43" w:after="283"/>
              <w:jc w:val="left"/>
              <w:rPr/>
            </w:pPr>
            <w:r>
              <w:rPr/>
            </w:r>
          </w:p>
          <w:p>
            <w:pPr>
              <w:pStyle w:val="TableContents"/>
              <w:bidi w:val="0"/>
              <w:spacing w:lineRule="auto" w:line="314" w:before="0" w:after="0"/>
              <w:ind w:left="0" w:right="0" w:hanging="1"/>
              <w:jc w:val="both"/>
              <w:rPr>
                <w:rFonts w:ascii="Arial;sans-serif" w:hAnsi="Arial;sans-serif"/>
                <w:b w:val="false"/>
                <w:color w:val="0F0F0F"/>
                <w:sz w:val="22"/>
              </w:rPr>
            </w:pPr>
            <w:r>
              <w:rPr>
                <w:rFonts w:ascii="Arial;sans-serif" w:hAnsi="Arial;sans-serif"/>
                <w:b w:val="false"/>
                <w:color w:val="0F0F0F"/>
                <w:sz w:val="22"/>
              </w:rPr>
              <w:t>Should the Company terminate your employment (other than as a result of gross misconduct or if there are other grounds for summary termination), you are entitled to receive 12 weeks' notice. Payment in lieu of notice or any part of notice may be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32410"/>
                <wp:effectExtent l="0" t="0" r="0" b="0"/>
                <wp:wrapNone/>
                <wp:docPr id="142" name="Frame140"/>
                <a:graphic xmlns:a="http://schemas.openxmlformats.org/drawingml/2006/main">
                  <a:graphicData uri="http://schemas.microsoft.com/office/word/2010/wordprocessingShape">
                    <wps:wsp>
                      <wps:cNvSpPr txBox="1"/>
                      <wps:spPr>
                        <a:xfrm>
                          <a:off x="0" y="0"/>
                          <a:ext cx="6480175" cy="23241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7</w:t>
                      </w:r>
                    </w:p>
                  </w:txbxContent>
                </v:textbox>
                <w10:wrap type="none"/>
              </v:rect>
            </w:pict>
          </mc:Fallback>
        </mc:AlternateContent>
      </w:r>
    </w:p>
    <w:p>
      <w:pPr>
        <w:pStyle w:val="TextBody"/>
        <w:bidi w:val="0"/>
        <w:spacing w:before="122" w:after="283"/>
        <w:jc w:val="left"/>
        <w:rPr/>
      </w:pPr>
      <w:r>
        <w:rPr/>
      </w:r>
    </w:p>
    <w:tbl>
      <w:tblPr>
        <w:tblW w:w="10205" w:type="dxa"/>
        <w:jc w:val="left"/>
        <w:tblInd w:w="0" w:type="dxa"/>
        <w:tblLayout w:type="fixed"/>
        <w:tblCellMar>
          <w:top w:w="28" w:type="dxa"/>
          <w:left w:w="28" w:type="dxa"/>
          <w:bottom w:w="28" w:type="dxa"/>
          <w:right w:w="28" w:type="dxa"/>
        </w:tblCellMar>
      </w:tblPr>
      <w:tblGrid>
        <w:gridCol w:w="534"/>
        <w:gridCol w:w="470"/>
        <w:gridCol w:w="471"/>
        <w:gridCol w:w="2726"/>
        <w:gridCol w:w="2480"/>
        <w:gridCol w:w="3524"/>
      </w:tblGrid>
      <w:tr>
        <w:trPr/>
        <w:tc>
          <w:tcPr>
            <w:tcW w:w="53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op w:val="single" w:sz="4"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op w:val="single" w:sz="4" w:space="0" w:color="000000"/>
              <w:left w:val="single" w:sz="6" w:space="0" w:color="000000"/>
              <w:right w:val="single" w:sz="4" w:space="0" w:color="000000"/>
            </w:tcBorders>
            <w:tcMar>
              <w:top w:w="30" w:type="dxa"/>
              <w:bottom w:w="0" w:type="dxa"/>
            </w:tcMar>
            <w:vAlign w:val="center"/>
          </w:tcPr>
          <w:p>
            <w:pPr>
              <w:pStyle w:val="TableContents"/>
              <w:bidi w:val="0"/>
              <w:spacing w:lineRule="auto" w:line="316" w:before="130" w:after="283"/>
              <w:ind w:left="0" w:right="0" w:hanging="1"/>
              <w:jc w:val="both"/>
              <w:rPr>
                <w:rFonts w:ascii="Arial;sans-serif" w:hAnsi="Arial;sans-serif"/>
                <w:b w:val="false"/>
                <w:color w:val="0E0E0E"/>
                <w:sz w:val="22"/>
              </w:rPr>
            </w:pPr>
            <w:r>
              <w:rPr>
                <w:rFonts w:ascii="Arial;sans-serif" w:hAnsi="Arial;sans-serif"/>
                <w:b w:val="false"/>
                <w:color w:val="0E0E0E"/>
                <w:sz w:val="22"/>
              </w:rPr>
              <w:t>made by the Company and any such payment will be based on base salary only.</w:t>
            </w:r>
          </w:p>
          <w:p>
            <w:pPr>
              <w:pStyle w:val="TableContents"/>
              <w:bidi w:val="0"/>
              <w:spacing w:before="40" w:after="283"/>
              <w:jc w:val="left"/>
              <w:rPr/>
            </w:pPr>
            <w:r>
              <w:rPr/>
            </w:r>
          </w:p>
          <w:p>
            <w:pPr>
              <w:pStyle w:val="TableContents"/>
              <w:bidi w:val="0"/>
              <w:spacing w:lineRule="auto" w:line="316" w:before="1" w:after="283"/>
              <w:ind w:left="0" w:right="0" w:hanging="9"/>
              <w:jc w:val="both"/>
              <w:rPr>
                <w:rFonts w:ascii="Arial;sans-serif" w:hAnsi="Arial;sans-serif"/>
                <w:b w:val="false"/>
                <w:color w:val="0E0E0E"/>
                <w:sz w:val="22"/>
              </w:rPr>
            </w:pPr>
            <w:r>
              <w:rPr>
                <w:rFonts w:ascii="Arial;sans-serif" w:hAnsi="Arial;sans-serif"/>
                <w:b w:val="false"/>
                <w:color w:val="0E0E0E"/>
                <w:sz w:val="22"/>
              </w:rPr>
              <w:t>In cases of gross misconduct or where there are grounds for summary termination, to the Company may terminate your employment without notice or payment in lieu of notice.</w:t>
            </w:r>
          </w:p>
        </w:tc>
      </w:tr>
      <w:tr>
        <w:trPr/>
        <w:tc>
          <w:tcPr>
            <w:tcW w:w="14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36" w:before="146" w:after="283"/>
              <w:jc w:val="both"/>
              <w:rPr>
                <w:rFonts w:ascii="Arial;sans-serif" w:hAnsi="Arial;sans-serif"/>
                <w:b/>
                <w:color w:val="0E0E0E"/>
                <w:sz w:val="22"/>
              </w:rPr>
            </w:pPr>
            <w:r>
              <w:rPr>
                <w:rFonts w:ascii="Arial;sans-serif" w:hAnsi="Arial;sans-serif"/>
                <w:b/>
                <w:color w:val="0E0E0E"/>
                <w:sz w:val="22"/>
              </w:rPr>
              <w:t>Lay off and Short-time Working</w:t>
            </w:r>
          </w:p>
        </w:tc>
        <w:tc>
          <w:tcPr>
            <w:tcW w:w="8730"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319" w:before="238" w:after="283"/>
              <w:ind w:left="0" w:right="0" w:hanging="5"/>
              <w:jc w:val="both"/>
              <w:rPr>
                <w:rFonts w:ascii="Arial;sans-serif" w:hAnsi="Arial;sans-serif"/>
                <w:b w:val="false"/>
                <w:color w:val="0E0E0E"/>
                <w:sz w:val="22"/>
              </w:rPr>
            </w:pPr>
            <w:r>
              <w:rPr>
                <w:rFonts w:ascii="Arial;sans-serif" w:hAnsi="Arial;sans-serif"/>
                <w:b w:val="false"/>
                <w:color w:val="0E0E0E"/>
                <w:sz w:val="22"/>
              </w:rPr>
              <w:t>Your right to receive remuneration is dependent on you being provided by the Company with work of the kind which you are employed to do. The Company reserves the right in its absolute discretion to impose a lay off with no pay or to impose short-time working with a pro rata reduction in pay.</w:t>
            </w:r>
          </w:p>
          <w:p>
            <w:pPr>
              <w:pStyle w:val="TableContents"/>
              <w:bidi w:val="0"/>
              <w:spacing w:before="12" w:after="283"/>
              <w:jc w:val="left"/>
              <w:rPr/>
            </w:pPr>
            <w:r>
              <w:rPr/>
            </w:r>
          </w:p>
          <w:p>
            <w:pPr>
              <w:pStyle w:val="TableContents"/>
              <w:bidi w:val="0"/>
              <w:spacing w:lineRule="auto" w:line="316" w:before="0" w:after="0"/>
              <w:ind w:left="0" w:right="0" w:hanging="8"/>
              <w:jc w:val="both"/>
              <w:rPr>
                <w:rFonts w:ascii="Arial;sans-serif" w:hAnsi="Arial;sans-serif"/>
                <w:b w:val="false"/>
                <w:color w:val="0E0E0E"/>
                <w:sz w:val="22"/>
              </w:rPr>
            </w:pPr>
            <w:r>
              <w:rPr>
                <w:rFonts w:ascii="Arial;sans-serif" w:hAnsi="Arial;sans-serif"/>
                <w:b w:val="false"/>
                <w:color w:val="0E0E0E"/>
                <w:sz w:val="22"/>
              </w:rPr>
              <w:t>The Company may in its absolute discretion determine the duration of any period of lay off or short-time working.</w:t>
            </w:r>
          </w:p>
          <w:p>
            <w:pPr>
              <w:pStyle w:val="TableContents"/>
              <w:bidi w:val="0"/>
              <w:spacing w:before="21" w:after="283"/>
              <w:jc w:val="left"/>
              <w:rPr/>
            </w:pPr>
            <w:r>
              <w:rPr/>
            </w:r>
          </w:p>
          <w:p>
            <w:pPr>
              <w:pStyle w:val="TableContents"/>
              <w:bidi w:val="0"/>
              <w:spacing w:lineRule="auto" w:line="314" w:before="1" w:after="283"/>
              <w:ind w:left="0" w:right="0" w:firstLine="2"/>
              <w:jc w:val="both"/>
              <w:rPr>
                <w:rFonts w:ascii="Arial;sans-serif" w:hAnsi="Arial;sans-serif"/>
                <w:b w:val="false"/>
                <w:color w:val="0E0E0E"/>
                <w:sz w:val="22"/>
              </w:rPr>
            </w:pPr>
            <w:r>
              <w:rPr>
                <w:rFonts w:ascii="Arial;sans-serif" w:hAnsi="Arial;sans-serif"/>
                <w:b w:val="false"/>
                <w:color w:val="0E0E0E"/>
                <w:sz w:val="22"/>
              </w:rPr>
              <w:t>During any period of lay off or short-time working you must remain contactable and available for work if required. You may in certain circumstances be entitled to receive a guarantee payment in which case the Company will comply with its statutory obligations.</w:t>
            </w:r>
          </w:p>
          <w:p>
            <w:pPr>
              <w:pStyle w:val="TableContents"/>
              <w:bidi w:val="0"/>
              <w:spacing w:before="19" w:after="283"/>
              <w:jc w:val="left"/>
              <w:rPr/>
            </w:pPr>
            <w:r>
              <w:rPr/>
            </w:r>
          </w:p>
          <w:p>
            <w:pPr>
              <w:pStyle w:val="TableContents"/>
              <w:bidi w:val="0"/>
              <w:spacing w:lineRule="auto" w:line="314" w:before="0" w:after="0"/>
              <w:ind w:left="0" w:right="0" w:hanging="7"/>
              <w:jc w:val="both"/>
              <w:rPr>
                <w:rFonts w:ascii="Arial;sans-serif" w:hAnsi="Arial;sans-serif"/>
                <w:b w:val="false"/>
                <w:color w:val="0E0E0E"/>
                <w:sz w:val="22"/>
              </w:rPr>
            </w:pPr>
            <w:r>
              <w:rPr>
                <w:rFonts w:ascii="Arial;sans-serif" w:hAnsi="Arial;sans-serif"/>
                <w:b w:val="false"/>
                <w:color w:val="0E0E0E"/>
                <w:sz w:val="22"/>
              </w:rPr>
              <w:t>The Company shall endeavor to exhaust all other possible alternatives before imposing short - term working or lay off.</w:t>
            </w:r>
          </w:p>
        </w:tc>
      </w:tr>
      <w:tr>
        <w:trPr/>
        <w:tc>
          <w:tcPr>
            <w:tcW w:w="147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31" w:before="141" w:after="283"/>
              <w:ind w:left="0" w:right="0" w:hanging="1"/>
              <w:jc w:val="both"/>
              <w:rPr>
                <w:rFonts w:ascii="Arial;sans-serif" w:hAnsi="Arial;sans-serif"/>
                <w:b/>
                <w:color w:val="0E0E0E"/>
                <w:sz w:val="22"/>
              </w:rPr>
            </w:pPr>
            <w:r>
              <w:rPr>
                <w:rFonts w:ascii="Arial;sans-serif" w:hAnsi="Arial;sans-serif"/>
                <w:b/>
                <w:color w:val="0E0E0E"/>
                <w:sz w:val="22"/>
              </w:rPr>
              <w:t>Return of Company Property</w:t>
            </w:r>
          </w:p>
        </w:tc>
        <w:tc>
          <w:tcPr>
            <w:tcW w:w="8730"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316" w:before="127" w:after="283"/>
              <w:ind w:left="0" w:right="0" w:hanging="1"/>
              <w:jc w:val="both"/>
              <w:rPr>
                <w:rFonts w:ascii="Arial;sans-serif" w:hAnsi="Arial;sans-serif"/>
                <w:b w:val="false"/>
                <w:color w:val="0E0E0E"/>
                <w:sz w:val="22"/>
              </w:rPr>
            </w:pPr>
            <w:r>
              <w:rPr>
                <w:rFonts w:ascii="Arial;sans-serif" w:hAnsi="Arial;sans-serif"/>
                <w:b w:val="false"/>
                <w:color w:val="0E0E0E"/>
                <w:sz w:val="22"/>
              </w:rPr>
              <w:t>Upon termination of your employment, or at any other time at the Company's request, you will immediately return to the Company or its authorised representative, any Company property issued to you.</w:t>
            </w:r>
          </w:p>
        </w:tc>
      </w:tr>
      <w:tr>
        <w:trPr/>
        <w:tc>
          <w:tcPr>
            <w:tcW w:w="1475"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328" w:before="141" w:after="283"/>
              <w:ind w:left="0" w:right="0" w:hanging="5"/>
              <w:jc w:val="left"/>
              <w:rPr>
                <w:rFonts w:ascii="Arial;sans-serif" w:hAnsi="Arial;sans-serif"/>
                <w:b/>
                <w:color w:val="0E0E0E"/>
                <w:sz w:val="22"/>
              </w:rPr>
            </w:pPr>
            <w:r>
              <w:rPr>
                <w:rFonts w:ascii="Arial;sans-serif" w:hAnsi="Arial;sans-serif"/>
                <w:b/>
                <w:color w:val="0E0E0E"/>
                <w:sz w:val="22"/>
              </w:rPr>
              <w:t>Data Protection</w:t>
            </w:r>
          </w:p>
        </w:tc>
        <w:tc>
          <w:tcPr>
            <w:tcW w:w="8730" w:type="dxa"/>
            <w:gridSpan w:val="3"/>
            <w:tcBorders>
              <w:top w:val="single" w:sz="6" w:space="0" w:color="000000"/>
              <w:left w:val="single" w:sz="6" w:space="0" w:color="000000"/>
              <w:bottom w:val="single" w:sz="4" w:space="0" w:color="000000"/>
              <w:right w:val="single" w:sz="4" w:space="0" w:color="000000"/>
            </w:tcBorders>
            <w:tcMar>
              <w:top w:w="30" w:type="dxa"/>
              <w:bottom w:w="30" w:type="dxa"/>
            </w:tcMar>
            <w:vAlign w:val="center"/>
          </w:tcPr>
          <w:p>
            <w:pPr>
              <w:pStyle w:val="TableContents"/>
              <w:bidi w:val="0"/>
              <w:spacing w:lineRule="auto" w:line="316" w:before="127" w:after="283"/>
              <w:jc w:val="both"/>
              <w:rPr>
                <w:rFonts w:ascii="Arial;sans-serif" w:hAnsi="Arial;sans-serif"/>
                <w:b w:val="false"/>
                <w:color w:val="0E0E0E"/>
                <w:sz w:val="22"/>
              </w:rPr>
            </w:pPr>
            <w:r>
              <w:rPr>
                <w:rFonts w:ascii="Arial;sans-serif" w:hAnsi="Arial;sans-serif"/>
                <w:b w:val="false"/>
                <w:color w:val="0E0E0E"/>
                <w:sz w:val="22"/>
              </w:rPr>
              <w:t>In order to keep and maintain any records relating to your employment under this Agreement it will be necessary for the Company to process personal data relating to you on computer and in hard copy form. Examples of personal data include (but are not limited to) your contact details, disciplinary record, any grievances raised, your personnel file and any sensitive personal data such as your religious beliefs, your ethnic or racial origin and information relating to your physical and mental health. Further, in order to pay your salary and provide other benefits, the Company may also need to obtain from you details of your bank account and other financial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32410"/>
                <wp:effectExtent l="0" t="0" r="0" b="0"/>
                <wp:wrapNone/>
                <wp:docPr id="143" name="Frame141"/>
                <a:graphic xmlns:a="http://schemas.openxmlformats.org/drawingml/2006/main">
                  <a:graphicData uri="http://schemas.microsoft.com/office/word/2010/wordprocessingShape">
                    <wps:wsp>
                      <wps:cNvSpPr txBox="1"/>
                      <wps:spPr>
                        <a:xfrm>
                          <a:off x="0" y="0"/>
                          <a:ext cx="6480175" cy="23241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8</w:t>
                      </w:r>
                    </w:p>
                  </w:txbxContent>
                </v:textbox>
                <w10:wrap type="none"/>
              </v:rect>
            </w:pict>
          </mc:Fallback>
        </mc:AlternateContent>
      </w:r>
    </w:p>
    <w:p>
      <w:pPr>
        <w:pStyle w:val="TextBody"/>
        <w:bidi w:val="0"/>
        <w:spacing w:before="103" w:after="283"/>
        <w:jc w:val="left"/>
        <w:rPr/>
      </w:pPr>
      <w:r>
        <w:rPr/>
      </w:r>
    </w:p>
    <w:tbl>
      <w:tblPr>
        <w:tblW w:w="10205" w:type="dxa"/>
        <w:jc w:val="left"/>
        <w:tblInd w:w="0" w:type="dxa"/>
        <w:tblLayout w:type="fixed"/>
        <w:tblCellMar>
          <w:top w:w="28" w:type="dxa"/>
          <w:left w:w="28" w:type="dxa"/>
          <w:bottom w:w="28" w:type="dxa"/>
          <w:right w:w="28" w:type="dxa"/>
        </w:tblCellMar>
      </w:tblPr>
      <w:tblGrid>
        <w:gridCol w:w="551"/>
        <w:gridCol w:w="484"/>
        <w:gridCol w:w="487"/>
        <w:gridCol w:w="2669"/>
        <w:gridCol w:w="2487"/>
        <w:gridCol w:w="3527"/>
      </w:tblGrid>
      <w:tr>
        <w:trPr/>
        <w:tc>
          <w:tcPr>
            <w:tcW w:w="5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3527"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8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16" w:before="127" w:after="283"/>
              <w:ind w:left="0" w:right="0" w:hanging="2"/>
              <w:jc w:val="both"/>
              <w:rPr>
                <w:rFonts w:ascii="Arial;sans-serif" w:hAnsi="Arial;sans-serif"/>
                <w:b w:val="false"/>
                <w:color w:val="0F0F0F"/>
                <w:sz w:val="22"/>
              </w:rPr>
            </w:pPr>
            <w:r>
              <w:rPr>
                <w:rFonts w:ascii="Arial;sans-serif" w:hAnsi="Arial;sans-serif"/>
                <w:b w:val="false"/>
                <w:color w:val="0F0F0F"/>
                <w:sz w:val="22"/>
              </w:rPr>
              <w:t>You consent to the holding, processing and disclosure of such data both inside and, where necessary, outside the European Economic Area.</w:t>
            </w:r>
          </w:p>
          <w:p>
            <w:pPr>
              <w:pStyle w:val="TableContents"/>
              <w:bidi w:val="0"/>
              <w:spacing w:before="42" w:after="283"/>
              <w:jc w:val="left"/>
              <w:rPr/>
            </w:pPr>
            <w:r>
              <w:rPr/>
            </w:r>
          </w:p>
          <w:p>
            <w:pPr>
              <w:pStyle w:val="TableContents"/>
              <w:bidi w:val="0"/>
              <w:spacing w:lineRule="auto" w:line="319" w:before="0" w:after="0"/>
              <w:ind w:left="0" w:right="0" w:hanging="2"/>
              <w:jc w:val="both"/>
              <w:rPr>
                <w:rFonts w:ascii="Arial;sans-serif" w:hAnsi="Arial;sans-serif"/>
                <w:b w:val="false"/>
                <w:color w:val="0F0F0F"/>
                <w:sz w:val="22"/>
              </w:rPr>
            </w:pPr>
            <w:r>
              <w:rPr>
                <w:rFonts w:ascii="Arial;sans-serif" w:hAnsi="Arial;sans-serif"/>
                <w:b w:val="false"/>
                <w:color w:val="0F0F0F"/>
                <w:sz w:val="22"/>
              </w:rPr>
              <w:t>To the extent that it is reasonably necessary in connection with your employment and the Company's responsibilities as an employer, you agree that this data may be disclosed to others, including other employees of the Company or any Group Company, the Company's professional advisers, H.M. Revenue &amp; Customs or other taxation authority, the police and other regulatory authorities.</w:t>
            </w:r>
          </w:p>
        </w:tc>
      </w:tr>
      <w:tr>
        <w:trPr/>
        <w:tc>
          <w:tcPr>
            <w:tcW w:w="152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28" w:before="146" w:after="283"/>
              <w:ind w:left="0" w:right="0" w:hanging="3"/>
              <w:jc w:val="left"/>
              <w:rPr>
                <w:rFonts w:ascii="Arial;sans-serif" w:hAnsi="Arial;sans-serif"/>
                <w:b/>
                <w:color w:val="0F0F0F"/>
                <w:sz w:val="22"/>
              </w:rPr>
            </w:pPr>
            <w:r>
              <w:rPr>
                <w:rFonts w:ascii="Arial;sans-serif" w:hAnsi="Arial;sans-serif"/>
                <w:b/>
                <w:color w:val="0F0F0F"/>
                <w:sz w:val="22"/>
              </w:rPr>
              <w:t>Security Awareness</w:t>
            </w:r>
          </w:p>
        </w:tc>
        <w:tc>
          <w:tcPr>
            <w:tcW w:w="868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16" w:before="132" w:after="283"/>
              <w:ind w:left="0" w:right="0" w:firstLine="3"/>
              <w:jc w:val="both"/>
              <w:rPr>
                <w:rFonts w:ascii="Arial;sans-serif" w:hAnsi="Arial;sans-serif"/>
                <w:b w:val="false"/>
                <w:color w:val="0F0F0F"/>
                <w:sz w:val="22"/>
              </w:rPr>
            </w:pPr>
            <w:r>
              <w:rPr>
                <w:rFonts w:ascii="Arial;sans-serif" w:hAnsi="Arial;sans-serif"/>
                <w:b w:val="false"/>
                <w:color w:val="0F0F0F"/>
                <w:sz w:val="22"/>
              </w:rPr>
              <w:t>It is crucial that NCR VOYIX operates with the highest level of security to maintain its reputation in the marketplace and reduce any potential risk to the Company. As part of your orientation to the Company, all employees, including senior management, are required to complete NCR VOYIX Security Awareness training. The training must be completed within 30 days of your start date. Directions for accessing the training will be provided via email after your start date.</w:t>
            </w:r>
          </w:p>
          <w:p>
            <w:pPr>
              <w:pStyle w:val="TableContents"/>
              <w:bidi w:val="0"/>
              <w:spacing w:before="29" w:after="283"/>
              <w:jc w:val="left"/>
              <w:rPr/>
            </w:pPr>
            <w:r>
              <w:rPr/>
            </w:r>
          </w:p>
          <w:p>
            <w:pPr>
              <w:pStyle w:val="TableContents"/>
              <w:bidi w:val="0"/>
              <w:spacing w:lineRule="auto" w:line="314" w:before="0" w:after="0"/>
              <w:ind w:left="0" w:right="0" w:hanging="2"/>
              <w:jc w:val="both"/>
              <w:rPr>
                <w:rFonts w:ascii="Arial;sans-serif" w:hAnsi="Arial;sans-serif"/>
                <w:b w:val="false"/>
                <w:color w:val="0F0F0F"/>
                <w:sz w:val="22"/>
              </w:rPr>
            </w:pPr>
            <w:r>
              <w:rPr>
                <w:rFonts w:ascii="Arial;sans-serif" w:hAnsi="Arial;sans-serif"/>
                <w:b w:val="false"/>
                <w:color w:val="0F0F0F"/>
                <w:sz w:val="22"/>
              </w:rPr>
              <w:t>The 30-minute web-based training course educates employees on the importance of information security and how to protect NCR VOYIX data. Upon completion of this course, you will be able to identify NCRVOYIX's security policy and standards, understand data classification and handling, identify security practices for electronic communications, and define social engineering. As part of NCR VOYIX's ongoing commitment to securing the data of our company, customers and employees, you will be required to participate in Security Awareness training annually.</w:t>
            </w:r>
          </w:p>
          <w:p>
            <w:pPr>
              <w:pStyle w:val="TableContents"/>
              <w:bidi w:val="0"/>
              <w:spacing w:before="49" w:after="283"/>
              <w:jc w:val="left"/>
              <w:rPr/>
            </w:pPr>
            <w:r>
              <w:rPr/>
            </w:r>
          </w:p>
          <w:p>
            <w:pPr>
              <w:pStyle w:val="TableContents"/>
              <w:bidi w:val="0"/>
              <w:spacing w:lineRule="auto" w:line="316" w:before="1" w:after="283"/>
              <w:ind w:left="0" w:right="0" w:firstLine="2"/>
              <w:jc w:val="both"/>
              <w:rPr>
                <w:rFonts w:ascii="Arial;sans-serif" w:hAnsi="Arial;sans-serif"/>
                <w:b w:val="false"/>
                <w:color w:val="0F0F0F"/>
                <w:sz w:val="22"/>
              </w:rPr>
            </w:pPr>
            <w:r>
              <w:rPr>
                <w:rFonts w:ascii="Arial;sans-serif" w:hAnsi="Arial;sans-serif"/>
                <w:b w:val="false"/>
                <w:color w:val="0F0F0F"/>
                <w:sz w:val="22"/>
              </w:rPr>
              <w:t>Your completion of NCR VOYIX Security Awareness training demonstrates your personal commitment to information security and protecting the NCR VOYIX brand.</w:t>
            </w:r>
          </w:p>
        </w:tc>
      </w:tr>
      <w:tr>
        <w:trPr/>
        <w:tc>
          <w:tcPr>
            <w:tcW w:w="152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333" w:before="141" w:after="283"/>
              <w:ind w:left="0" w:right="0" w:hanging="1"/>
              <w:jc w:val="left"/>
              <w:rPr>
                <w:rFonts w:ascii="Arial;sans-serif" w:hAnsi="Arial;sans-serif"/>
                <w:b/>
                <w:color w:val="0F0F0F"/>
                <w:sz w:val="22"/>
              </w:rPr>
            </w:pPr>
            <w:r>
              <w:rPr>
                <w:rFonts w:ascii="Arial;sans-serif" w:hAnsi="Arial;sans-serif"/>
                <w:b/>
                <w:color w:val="0F0F0F"/>
                <w:sz w:val="22"/>
              </w:rPr>
              <w:t>NCR Voyix Code of Conduct</w:t>
            </w:r>
          </w:p>
        </w:tc>
        <w:tc>
          <w:tcPr>
            <w:tcW w:w="8683"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16" w:before="127" w:after="283"/>
              <w:ind w:left="0" w:right="0" w:firstLine="1"/>
              <w:jc w:val="both"/>
              <w:rPr>
                <w:rFonts w:ascii="Arial;sans-serif" w:hAnsi="Arial;sans-serif"/>
                <w:b w:val="false"/>
                <w:color w:val="0F0F0F"/>
                <w:sz w:val="22"/>
              </w:rPr>
            </w:pPr>
            <w:r>
              <w:rPr>
                <w:rFonts w:ascii="Arial;sans-serif" w:hAnsi="Arial;sans-serif"/>
                <w:b w:val="false"/>
                <w:color w:val="0F0F0F"/>
                <w:sz w:val="22"/>
              </w:rPr>
              <w:t>At NCR VOYIX, we expect that every employee will exemplify our Shared Values and our Code of Conduct every day, in all that they do for NCR VOYIX. NCR VOYIX reinforces its commitment to living its Code of Conduct by requiring all NCR VOYIX employees, including senior management, to complete an annual training and certification course on the Code of Conduct. While we recognize there are local laws and regulations that must also be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32410"/>
                <wp:effectExtent l="0" t="0" r="0" b="0"/>
                <wp:wrapNone/>
                <wp:docPr id="144" name="Frame142"/>
                <a:graphic xmlns:a="http://schemas.openxmlformats.org/drawingml/2006/main">
                  <a:graphicData uri="http://schemas.microsoft.com/office/word/2010/wordprocessingShape">
                    <wps:wsp>
                      <wps:cNvSpPr txBox="1"/>
                      <wps:spPr>
                        <a:xfrm>
                          <a:off x="0" y="0"/>
                          <a:ext cx="6480175" cy="23241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9</w:t>
                      </w:r>
                    </w:p>
                  </w:txbxContent>
                </v:textbox>
                <w10:wrap type="none"/>
              </v:rect>
            </w:pict>
          </mc:Fallback>
        </mc:AlternateContent>
      </w:r>
    </w:p>
    <w:p>
      <w:pPr>
        <w:pStyle w:val="TextBody"/>
        <w:bidi w:val="0"/>
        <w:spacing w:before="163"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6" w:space="0" w:color="000000"/>
              <w:left w:val="single" w:sz="4" w:space="0" w:color="000000"/>
              <w:bottom w:val="single" w:sz="6" w:space="0" w:color="000000"/>
              <w:right w:val="single" w:sz="6" w:space="0" w:color="000000"/>
            </w:tcBorders>
            <w:tcMar>
              <w:top w:w="30" w:type="dxa"/>
              <w:bottom w:w="30" w:type="dxa"/>
            </w:tcMar>
            <w:vAlign w:val="center"/>
          </w:tcPr>
          <w:p>
            <w:pPr>
              <w:pStyle w:val="TableContents"/>
              <w:bidi w:val="0"/>
              <w:spacing w:lineRule="auto" w:line="314" w:before="132" w:after="283"/>
              <w:ind w:left="0" w:right="0" w:hanging="4"/>
              <w:jc w:val="both"/>
              <w:rPr>
                <w:rFonts w:ascii="Arial;sans-serif" w:hAnsi="Arial;sans-serif"/>
                <w:b w:val="false"/>
                <w:color w:val="0F0F0F"/>
                <w:sz w:val="22"/>
              </w:rPr>
            </w:pPr>
            <w:r>
              <w:rPr>
                <w:rFonts w:ascii="Arial;sans-serif" w:hAnsi="Arial;sans-serif"/>
                <w:b w:val="false"/>
                <w:color w:val="0F0F0F"/>
                <w:sz w:val="22"/>
              </w:rPr>
              <w:t>followed, it is important that all employees understand and adhere to our global standard of business conduct.</w:t>
            </w:r>
          </w:p>
          <w:p>
            <w:pPr>
              <w:pStyle w:val="TableContents"/>
              <w:bidi w:val="0"/>
              <w:spacing w:before="46" w:after="283"/>
              <w:jc w:val="left"/>
              <w:rPr/>
            </w:pPr>
            <w:r>
              <w:rPr/>
            </w:r>
          </w:p>
          <w:p>
            <w:pPr>
              <w:pStyle w:val="TableContents"/>
              <w:bidi w:val="0"/>
              <w:spacing w:lineRule="auto" w:line="316" w:before="0" w:after="0"/>
              <w:ind w:left="0" w:right="0" w:firstLine="4"/>
              <w:jc w:val="both"/>
              <w:rPr>
                <w:rFonts w:ascii="Arial;sans-serif" w:hAnsi="Arial;sans-serif"/>
                <w:b w:val="false"/>
                <w:color w:val="0F0F0F"/>
                <w:sz w:val="22"/>
              </w:rPr>
            </w:pPr>
            <w:r>
              <w:rPr>
                <w:rFonts w:ascii="Arial;sans-serif" w:hAnsi="Arial;sans-serif"/>
                <w:b w:val="false"/>
                <w:color w:val="0F0F0F"/>
                <w:sz w:val="22"/>
              </w:rPr>
              <w:t>As part of your new NCR VOYIX employee orientation, you must agree to complete NCR VOYIX's Code of Conduct training and certification course within 30 days of your start date. Employees with computer access will complete a 30-minute web-based training and certification module. Directions for accessing the training will be provided via email after your start date. Employees who do not have computer access will attend an in-person training session that reviews the code. At the completion of that session, each employee must complete a Code of Conduct training and certification form. Your completion of the Company's Code of Conduct training and certification course demonstrates your personal commitment to conducting business legally and ethically.</w:t>
            </w:r>
          </w:p>
        </w:tc>
      </w:tr>
    </w:tbl>
    <w:p>
      <w:pPr>
        <w:pStyle w:val="TextBody"/>
        <w:bidi w:val="0"/>
        <w:spacing w:lineRule="auto" w:line="288" w:before="36" w:after="283"/>
        <w:jc w:val="left"/>
        <w:rPr>
          <w:rFonts w:ascii="Arial;sans-serif" w:hAnsi="Arial;sans-serif"/>
          <w:b/>
          <w:color w:val="0F0F0F"/>
          <w:sz w:val="22"/>
        </w:rPr>
      </w:pPr>
      <w:r>
        <w:rPr>
          <w:rFonts w:ascii="Arial;sans-serif" w:hAnsi="Arial;sans-serif"/>
          <w:b/>
          <w:color w:val="0F0F0F"/>
          <w:sz w:val="22"/>
        </w:rPr>
        <w:t>Accepting the offer of employment</w:t>
      </w:r>
    </w:p>
    <w:p>
      <w:pPr>
        <w:pStyle w:val="TextBody"/>
        <w:bidi w:val="0"/>
        <w:spacing w:before="85" w:after="283"/>
        <w:jc w:val="left"/>
        <w:rPr/>
      </w:pPr>
      <w:r>
        <w:rPr/>
      </w:r>
    </w:p>
    <w:p>
      <w:pPr>
        <w:pStyle w:val="TextBody"/>
        <w:bidi w:val="0"/>
        <w:spacing w:lineRule="auto" w:line="314" w:before="1" w:after="283"/>
        <w:ind w:left="0" w:right="0" w:firstLine="3"/>
        <w:jc w:val="both"/>
        <w:rPr>
          <w:rFonts w:ascii="Arial;sans-serif" w:hAnsi="Arial;sans-serif"/>
          <w:b w:val="false"/>
          <w:color w:val="0F0F0F"/>
          <w:sz w:val="22"/>
        </w:rPr>
      </w:pPr>
      <w:r>
        <w:rPr>
          <w:rFonts w:ascii="Arial;sans-serif" w:hAnsi="Arial;sans-serif"/>
          <w:b w:val="false"/>
          <w:color w:val="0F0F0F"/>
          <w:sz w:val="22"/>
        </w:rPr>
        <w:t>By accepting and signing this offer of employment you acknowledge that the Contract of Employment between yourself and the Company consists of the Particulars of Employment and the Statement of Terms and Conditions of Employment and all other documents expressly referred to in the Contract of Employment.</w:t>
      </w:r>
    </w:p>
    <w:p>
      <w:pPr>
        <w:pStyle w:val="TextBody"/>
        <w:bidi w:val="0"/>
        <w:spacing w:before="44" w:after="283"/>
        <w:jc w:val="left"/>
        <w:rPr/>
      </w:pPr>
      <w:r>
        <w:rPr/>
      </w:r>
    </w:p>
    <w:p>
      <w:pPr>
        <w:pStyle w:val="TextBody"/>
        <w:bidi w:val="0"/>
        <w:spacing w:lineRule="auto" w:line="314" w:before="0" w:after="0"/>
        <w:ind w:left="0" w:right="0" w:hanging="2"/>
        <w:jc w:val="both"/>
        <w:rPr>
          <w:rFonts w:ascii="Arial;sans-serif" w:hAnsi="Arial;sans-serif"/>
          <w:b w:val="false"/>
          <w:color w:val="0F0F0F"/>
          <w:sz w:val="22"/>
        </w:rPr>
      </w:pPr>
      <w:r>
        <w:rPr>
          <w:rFonts w:ascii="Arial;sans-serif" w:hAnsi="Arial;sans-serif"/>
          <w:b w:val="false"/>
          <w:color w:val="0F0F0F"/>
          <w:sz w:val="22"/>
        </w:rPr>
        <w:t>You further acknowledge that you have read the Contract of Employment and understand that your employment offer is conditional upon a successful background check.</w:t>
      </w:r>
    </w:p>
    <w:p>
      <w:pPr>
        <w:pStyle w:val="TextBody"/>
        <w:bidi w:val="0"/>
        <w:spacing w:before="46" w:after="283"/>
        <w:jc w:val="left"/>
        <w:rPr/>
      </w:pPr>
      <w:r>
        <w:rPr/>
      </w:r>
    </w:p>
    <w:p>
      <w:pPr>
        <w:pStyle w:val="TextBody"/>
        <w:bidi w:val="0"/>
        <w:spacing w:lineRule="auto" w:line="288" w:before="0" w:after="0"/>
        <w:jc w:val="left"/>
        <w:rPr>
          <w:rFonts w:ascii="Arial;sans-serif" w:hAnsi="Arial;sans-serif"/>
          <w:b/>
          <w:color w:val="0F0F0F"/>
          <w:sz w:val="22"/>
        </w:rPr>
      </w:pPr>
      <w:r>
        <w:rPr>
          <w:rFonts w:ascii="Arial;sans-serif" w:hAnsi="Arial;sans-serif"/>
          <w:b/>
          <w:color w:val="0F0F0F"/>
          <w:sz w:val="22"/>
        </w:rPr>
        <w:t>Authorisation</w:t>
      </w:r>
    </w:p>
    <w:p>
      <w:pPr>
        <w:pStyle w:val="TextBody"/>
        <w:bidi w:val="0"/>
        <w:spacing w:before="85" w:after="283"/>
        <w:jc w:val="left"/>
        <w:rPr/>
      </w:pPr>
      <w:r>
        <w:rPr/>
      </w:r>
    </w:p>
    <w:p>
      <w:pPr>
        <w:pStyle w:val="TextBody"/>
        <w:bidi w:val="0"/>
        <w:spacing w:lineRule="auto" w:line="288" w:before="0" w:after="0"/>
        <w:jc w:val="left"/>
        <w:rPr>
          <w:rFonts w:ascii="Arial;sans-serif" w:hAnsi="Arial;sans-serif"/>
          <w:b w:val="false"/>
          <w:color w:val="0F0F0F"/>
          <w:sz w:val="22"/>
        </w:rPr>
      </w:pPr>
      <w:r>
        <w:rPr>
          <w:rFonts w:ascii="Arial;sans-serif" w:hAnsi="Arial;sans-serif"/>
          <w:b w:val="false"/>
          <w:color w:val="0F0F0F"/>
          <w:sz w:val="22"/>
        </w:rPr>
        <w:t>Signed on behalf of the Company,</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0"/>
          <w:u w:val="single"/>
        </w:rPr>
        <w:t>/s/ Claire Standfield</w:t>
      </w:r>
    </w:p>
    <w:p>
      <w:pPr>
        <w:pStyle w:val="TextBody"/>
        <w:bidi w:val="0"/>
        <w:spacing w:lineRule="auto" w:line="288" w:before="0" w:after="0"/>
        <w:ind w:left="0" w:right="0" w:firstLine="720"/>
        <w:jc w:val="left"/>
        <w:rPr/>
      </w:pPr>
      <w:r>
        <w:rPr>
          <w:rFonts w:ascii="Arial;sans-serif" w:hAnsi="Arial;sans-serif"/>
          <w:b/>
          <w:color w:val="000000"/>
          <w:sz w:val="20"/>
        </w:rPr>
        <w:t>Claire Standfield                        </w:t>
      </w:r>
      <w:r>
        <w:rPr>
          <w:rFonts w:ascii="Arial;sans-serif" w:hAnsi="Arial;sans-serif"/>
          <w:b w:val="false"/>
          <w:color w:val="000000"/>
          <w:sz w:val="20"/>
        </w:rPr>
        <w:t>November 1, 2024</w:t>
      </w:r>
      <w:r>
        <w:rPr>
          <w:color w:val="000000"/>
        </w:rPr>
        <w:t>            </w:t>
      </w:r>
    </w:p>
    <w:p>
      <w:pPr>
        <w:pStyle w:val="TextBody"/>
        <w:bidi w:val="0"/>
        <w:spacing w:lineRule="auto" w:line="288" w:before="0" w:after="0"/>
        <w:jc w:val="left"/>
        <w:rPr>
          <w:color w:val="000000"/>
        </w:rPr>
      </w:pPr>
      <w:r>
        <w:rPr>
          <w:color w:val="000000"/>
        </w:rPr>
        <w:t>    </w:t>
      </w:r>
      <w:r>
        <w:rPr>
          <w:rFonts w:ascii="Arial;sans-serif" w:hAnsi="Arial;sans-serif"/>
          <w:b/>
          <w:color w:val="000000"/>
          <w:sz w:val="20"/>
        </w:rPr>
        <w:t>Executive Director, HR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32410"/>
                <wp:effectExtent l="0" t="0" r="0" b="0"/>
                <wp:wrapNone/>
                <wp:docPr id="145" name="Frame143"/>
                <a:graphic xmlns:a="http://schemas.openxmlformats.org/drawingml/2006/main">
                  <a:graphicData uri="http://schemas.microsoft.com/office/word/2010/wordprocessingShape">
                    <wps:wsp>
                      <wps:cNvSpPr txBox="1"/>
                      <wps:spPr>
                        <a:xfrm>
                          <a:off x="0" y="0"/>
                          <a:ext cx="6480175" cy="23241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r>
                              <w:br w:type="page"/>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61" w:after="283"/>
        <w:jc w:val="left"/>
        <w:rPr/>
      </w:pPr>
      <w:r>
        <w:rPr/>
      </w:r>
    </w:p>
    <w:p>
      <w:pPr>
        <w:pStyle w:val="TextBody"/>
        <w:bidi w:val="0"/>
        <w:spacing w:lineRule="auto" w:line="345" w:before="0" w:after="0"/>
        <w:ind w:left="0" w:right="0" w:hanging="6"/>
        <w:jc w:val="both"/>
        <w:rPr>
          <w:rFonts w:ascii="Arial;sans-serif" w:hAnsi="Arial;sans-serif"/>
          <w:b w:val="false"/>
          <w:color w:val="0F0F0F"/>
          <w:sz w:val="22"/>
        </w:rPr>
      </w:pPr>
      <w:r>
        <w:rPr>
          <w:rFonts w:ascii="Arial;sans-serif" w:hAnsi="Arial;sans-serif"/>
          <w:b w:val="false"/>
          <w:color w:val="0F0F0F"/>
          <w:sz w:val="22"/>
        </w:rPr>
        <w:t>I confirm my acceptance and agreement to the Contract of Employment. I understand that the Contract of Employment supersedes and replaces any other terms and conditions previously communicated either verbally or in writing with effect from the Start Date.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131313"/>
          <w:sz w:val="20"/>
          <w:u w:val="single"/>
        </w:rPr>
        <w:t>/s/ Darren Wilson</w:t>
      </w:r>
      <w:r>
        <w:rPr>
          <w:color w:val="131313"/>
        </w:rPr>
        <w:t>                        </w:t>
      </w:r>
      <w:r>
        <w:rPr>
          <w:rFonts w:ascii="Arial;sans-serif" w:hAnsi="Arial;sans-serif"/>
          <w:b w:val="false"/>
          <w:color w:val="131313"/>
          <w:sz w:val="20"/>
        </w:rPr>
        <w:t>November 1, 2024    Darren Wilson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Arial;sans-serif" w:hAnsi="Arial;sans-serif"/>
          <w:b/>
          <w:color w:val="1D1D1D"/>
          <w:sz w:val="22"/>
        </w:rPr>
      </w:pPr>
      <w:r>
        <w:rPr>
          <w:rFonts w:ascii="Arial;sans-serif" w:hAnsi="Arial;sans-serif"/>
          <w:b/>
          <w:color w:val="1D1D1D"/>
          <w:sz w:val="22"/>
        </w:rPr>
        <w:t>I confirm my start date to be November 1,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ind w:left="0" w:right="0" w:hanging="2"/>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32410"/>
                <wp:effectExtent l="0" t="0" r="0" b="0"/>
                <wp:wrapNone/>
                <wp:docPr id="146" name="Frame144"/>
                <a:graphic xmlns:a="http://schemas.openxmlformats.org/drawingml/2006/main">
                  <a:graphicData uri="http://schemas.microsoft.com/office/word/2010/wordprocessingShape">
                    <wps:wsp>
                      <wps:cNvSpPr txBox="1"/>
                      <wps:spPr>
                        <a:xfrm>
                          <a:off x="0" y="0"/>
                          <a:ext cx="6480175" cy="23241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Consumer Sensitive (Confidential)</w:t>
                      </w:r>
                    </w:p>
                    <w:p>
                      <w:pPr>
                        <w:pStyle w:val="TextBody"/>
                        <w:bidi w:val="0"/>
                        <w:spacing w:lineRule="auto" w:line="268" w:before="0" w:after="0"/>
                        <w:jc w:val="center"/>
                        <w:rPr>
                          <w:rFonts w:ascii="Arial;sans-serif" w:hAnsi="Arial;sans-serif"/>
                          <w:b w:val="false"/>
                          <w:color w:val="161616"/>
                          <w:sz w:val="15"/>
                        </w:rPr>
                      </w:pPr>
                      <w:r>
                        <w:rPr>
                          <w:rFonts w:ascii="Arial;sans-serif" w:hAnsi="Arial;sans-serif"/>
                          <w:b w:val="false"/>
                          <w:color w:val="161616"/>
                          <w:sz w:val="15"/>
                        </w:rPr>
                        <w:t>11</w:t>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9" w:before="0" w:after="0"/>
        <w:ind w:left="0" w:right="0" w:hanging="2"/>
        <w:jc w:val="right"/>
        <w:rPr>
          <w:rFonts w:ascii="Arial;sans-serif" w:hAnsi="Arial;sans-serif"/>
          <w:b/>
          <w:color w:val="000000"/>
          <w:sz w:val="18"/>
        </w:rPr>
      </w:pPr>
      <w:r>
        <w:rPr>
          <w:rFonts w:ascii="Arial;sans-serif" w:hAnsi="Arial;sans-serif"/>
          <w:b/>
          <w:color w:val="000000"/>
          <w:sz w:val="18"/>
        </w:rPr>
        <w:t>Exhibit 10.30</w:t>
      </w:r>
    </w:p>
    <w:p>
      <w:pPr>
        <w:pStyle w:val="TextBody"/>
        <w:bidi w:val="0"/>
        <w:spacing w:lineRule="auto" w:line="369" w:before="0" w:after="0"/>
        <w:ind w:left="0" w:right="0" w:firstLine="900"/>
        <w:jc w:val="left"/>
        <w:rPr>
          <w:rFonts w:ascii="Arial;sans-serif" w:hAnsi="Arial;sans-serif"/>
          <w:b w:val="false"/>
          <w:color w:val="131313"/>
          <w:sz w:val="18"/>
        </w:rPr>
      </w:pPr>
      <w:r>
        <w:rPr>
          <w:rFonts w:ascii="Arial;sans-serif" w:hAnsi="Arial;sans-serif"/>
          <w:b w:val="false"/>
          <w:color w:val="131313"/>
          <w:sz w:val="18"/>
        </w:rPr>
        <w:t xml:space="preserve">864 Spring St.NW </w:t>
      </w:r>
    </w:p>
    <w:p>
      <w:pPr>
        <w:pStyle w:val="TextBody"/>
        <w:bidi w:val="0"/>
        <w:spacing w:lineRule="auto" w:line="369" w:before="0" w:after="0"/>
        <w:ind w:left="0" w:right="0" w:firstLine="900"/>
        <w:jc w:val="left"/>
        <w:rPr>
          <w:rFonts w:ascii="Arial;sans-serif" w:hAnsi="Arial;sans-serif"/>
          <w:b w:val="false"/>
          <w:color w:val="131313"/>
          <w:sz w:val="18"/>
        </w:rPr>
      </w:pPr>
      <w:r>
        <w:rPr>
          <w:rFonts w:ascii="Arial;sans-serif" w:hAnsi="Arial;sans-serif"/>
          <w:b w:val="false"/>
          <w:color w:val="131313"/>
          <w:sz w:val="18"/>
        </w:rPr>
        <w:t>Atlanta, GA30308</w:t>
      </w:r>
    </w:p>
    <w:p>
      <w:pPr>
        <w:pStyle w:val="TextBody"/>
        <w:bidi w:val="0"/>
        <w:spacing w:lineRule="auto" w:line="288" w:before="0" w:after="0"/>
        <w:ind w:left="0" w:right="0" w:firstLine="900"/>
        <w:jc w:val="left"/>
        <w:rPr>
          <w:rFonts w:ascii="Arial;sans-serif" w:hAnsi="Arial;sans-serif"/>
          <w:b w:val="false"/>
          <w:color w:val="131313"/>
          <w:sz w:val="18"/>
        </w:rPr>
      </w:pPr>
      <w:r>
        <w:rPr>
          <w:rFonts w:ascii="Arial;sans-serif" w:hAnsi="Arial;sans-serif"/>
          <w:b w:val="false"/>
          <w:color w:val="131313"/>
          <w:sz w:val="18"/>
        </w:rPr>
        <w:t>ncrvoyix.com</w:t>
      </w:r>
    </w:p>
    <w:p>
      <w:pPr>
        <w:pStyle w:val="TextBody"/>
        <w:bidi w:val="0"/>
        <w:spacing w:before="0" w:after="0"/>
        <w:jc w:val="left"/>
        <w:rPr/>
      </w:pPr>
      <w:r>
        <w:rPr/>
      </w:r>
    </w:p>
    <w:p>
      <w:pPr>
        <w:pStyle w:val="TextBody"/>
        <w:bidi w:val="0"/>
        <w:spacing w:before="69"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3" w:after="283"/>
        <w:jc w:val="left"/>
        <w:rPr/>
      </w:pPr>
      <w:r>
        <w:rPr/>
      </w:r>
    </w:p>
    <w:p>
      <w:pPr>
        <w:pStyle w:val="TextBody"/>
        <w:bidi w:val="0"/>
        <w:spacing w:lineRule="auto" w:line="288" w:before="0" w:after="0"/>
        <w:jc w:val="left"/>
        <w:rPr>
          <w:rFonts w:ascii="Arial;sans-serif" w:hAnsi="Arial;sans-serif"/>
          <w:b w:val="false"/>
          <w:color w:val="131313"/>
          <w:sz w:val="23"/>
        </w:rPr>
      </w:pPr>
      <w:r>
        <w:rPr>
          <w:rFonts w:ascii="Arial;sans-serif" w:hAnsi="Arial;sans-serif"/>
          <w:b w:val="false"/>
          <w:color w:val="131313"/>
          <w:sz w:val="23"/>
        </w:rPr>
        <w:t>December 8, 2023</w:t>
      </w:r>
    </w:p>
    <w:p>
      <w:pPr>
        <w:pStyle w:val="TextBody"/>
        <w:bidi w:val="0"/>
        <w:spacing w:before="254" w:after="283"/>
        <w:jc w:val="left"/>
        <w:rPr/>
      </w:pPr>
      <w:r>
        <w:rPr/>
      </w:r>
    </w:p>
    <w:p>
      <w:pPr>
        <w:pStyle w:val="TextBody"/>
        <w:bidi w:val="0"/>
        <w:spacing w:before="47" w:after="283"/>
        <w:jc w:val="left"/>
        <w:rPr/>
      </w:pPr>
      <w:r>
        <w:rPr/>
      </w:r>
    </w:p>
    <w:p>
      <w:pPr>
        <w:pStyle w:val="TextBody"/>
        <w:bidi w:val="0"/>
        <w:spacing w:lineRule="auto" w:line="288" w:before="0" w:after="0"/>
        <w:jc w:val="left"/>
        <w:rPr>
          <w:rFonts w:ascii="Arial;sans-serif" w:hAnsi="Arial;sans-serif"/>
          <w:b w:val="false"/>
          <w:color w:val="131313"/>
          <w:sz w:val="23"/>
        </w:rPr>
      </w:pPr>
      <w:r>
        <w:rPr>
          <w:rFonts w:ascii="Arial;sans-serif" w:hAnsi="Arial;sans-serif"/>
          <w:b w:val="false"/>
          <w:color w:val="131313"/>
          <w:sz w:val="23"/>
        </w:rPr>
        <w:t>Dear Beimnet "Benny,"</w:t>
      </w:r>
    </w:p>
    <w:p>
      <w:pPr>
        <w:pStyle w:val="TextBody"/>
        <w:bidi w:val="0"/>
        <w:spacing w:before="163" w:after="283"/>
        <w:jc w:val="left"/>
        <w:rPr/>
      </w:pPr>
      <w:r>
        <w:rPr/>
      </w:r>
    </w:p>
    <w:p>
      <w:pPr>
        <w:pStyle w:val="TextBody"/>
        <w:bidi w:val="0"/>
        <w:spacing w:lineRule="auto" w:line="316" w:before="0" w:after="0"/>
        <w:ind w:left="0" w:right="0" w:hanging="2"/>
        <w:jc w:val="left"/>
        <w:rPr>
          <w:rFonts w:ascii="Arial;sans-serif" w:hAnsi="Arial;sans-serif"/>
          <w:b w:val="false"/>
          <w:color w:val="131313"/>
          <w:sz w:val="23"/>
        </w:rPr>
      </w:pPr>
      <w:r>
        <w:rPr>
          <w:rFonts w:ascii="Arial;sans-serif" w:hAnsi="Arial;sans-serif"/>
          <w:b w:val="false"/>
          <w:color w:val="131313"/>
          <w:sz w:val="23"/>
        </w:rPr>
        <w:t>Welcome to NCR Voyix, a global technology company that runs the everyday transactions that make your life easier.</w:t>
      </w:r>
    </w:p>
    <w:p>
      <w:pPr>
        <w:pStyle w:val="TextBody"/>
        <w:bidi w:val="0"/>
        <w:spacing w:lineRule="auto" w:line="321" w:before="214" w:after="283"/>
        <w:ind w:left="0" w:right="0" w:hanging="2"/>
        <w:jc w:val="left"/>
        <w:rPr>
          <w:rFonts w:ascii="Arial;sans-serif" w:hAnsi="Arial;sans-serif"/>
          <w:b w:val="false"/>
          <w:color w:val="131313"/>
          <w:sz w:val="23"/>
        </w:rPr>
      </w:pPr>
      <w:r>
        <w:rPr>
          <w:rFonts w:ascii="Arial;sans-serif" w:hAnsi="Arial;sans-serif"/>
          <w:b w:val="false"/>
          <w:color w:val="131313"/>
          <w:sz w:val="23"/>
        </w:rPr>
        <w:t>With a global presence in 35 countries, our employees around the world offer a broad perspective and range of skills that enable our customers to make every customer interaction with their business an exceptional experience.</w:t>
      </w:r>
    </w:p>
    <w:p>
      <w:pPr>
        <w:pStyle w:val="TextBody"/>
        <w:bidi w:val="0"/>
        <w:spacing w:lineRule="auto" w:line="321" w:before="214" w:after="283"/>
        <w:ind w:left="0" w:right="0" w:firstLine="5"/>
        <w:jc w:val="both"/>
        <w:rPr>
          <w:rFonts w:ascii="Arial;sans-serif" w:hAnsi="Arial;sans-serif"/>
          <w:b w:val="false"/>
          <w:color w:val="131313"/>
          <w:sz w:val="23"/>
        </w:rPr>
      </w:pPr>
      <w:r>
        <w:rPr>
          <w:rFonts w:ascii="Arial;sans-serif" w:hAnsi="Arial;sans-serif"/>
          <w:b w:val="false"/>
          <w:color w:val="131313"/>
          <w:sz w:val="23"/>
        </w:rPr>
        <w:t>We are pleased to present you with this offer of employment at NCR Voyix. I am certain you will be a key contributor to this organization. On behalf of my team, we look forward to you joining us.</w:t>
      </w:r>
    </w:p>
    <w:p>
      <w:pPr>
        <w:pStyle w:val="TextBody"/>
        <w:bidi w:val="0"/>
        <w:spacing w:before="122" w:after="283"/>
        <w:jc w:val="left"/>
        <w:rPr/>
      </w:pPr>
      <w:r>
        <w:rPr/>
      </w:r>
    </w:p>
    <w:p>
      <w:pPr>
        <w:pStyle w:val="TextBody"/>
        <w:bidi w:val="0"/>
        <w:spacing w:lineRule="auto" w:line="288" w:before="0" w:after="0"/>
        <w:jc w:val="left"/>
        <w:rPr/>
      </w:pPr>
      <w:r>
        <w:rPr>
          <w:rFonts w:ascii="Arial;sans-serif" w:hAnsi="Arial;sans-serif"/>
          <w:b w:val="false"/>
          <w:color w:val="131313"/>
          <w:sz w:val="23"/>
        </w:rPr>
        <w:t>Employer (</w:t>
      </w:r>
      <w:r>
        <w:rPr>
          <w:rFonts w:ascii="Arial;sans-serif" w:hAnsi="Arial;sans-serif"/>
          <w:b/>
          <w:color w:val="131313"/>
          <w:sz w:val="23"/>
        </w:rPr>
        <w:t>Legal Entity</w:t>
      </w:r>
      <w:r>
        <w:rPr>
          <w:rFonts w:ascii="Arial;sans-serif" w:hAnsi="Arial;sans-serif"/>
          <w:b w:val="false"/>
          <w:color w:val="131313"/>
          <w:sz w:val="23"/>
        </w:rPr>
        <w:t>):</w:t>
      </w:r>
    </w:p>
    <w:p>
      <w:pPr>
        <w:pStyle w:val="TextBody"/>
        <w:bidi w:val="0"/>
        <w:spacing w:lineRule="auto" w:line="288" w:before="120" w:after="283"/>
        <w:jc w:val="left"/>
        <w:rPr>
          <w:rFonts w:ascii="Arial;sans-serif" w:hAnsi="Arial;sans-serif"/>
          <w:b w:val="false"/>
          <w:color w:val="131313"/>
          <w:sz w:val="23"/>
        </w:rPr>
      </w:pPr>
      <w:r>
        <w:rPr>
          <w:rFonts w:ascii="Arial;sans-serif" w:hAnsi="Arial;sans-serif"/>
          <w:b w:val="false"/>
          <w:color w:val="131313"/>
          <w:sz w:val="23"/>
        </w:rPr>
        <w:t>NCR Corporation (the 'Company')</w:t>
      </w:r>
    </w:p>
    <w:p>
      <w:pPr>
        <w:pStyle w:val="TextBody"/>
        <w:bidi w:val="0"/>
        <w:spacing w:before="173" w:after="283"/>
        <w:jc w:val="left"/>
        <w:rPr/>
      </w:pPr>
      <w:r>
        <w:rPr/>
      </w:r>
    </w:p>
    <w:p>
      <w:pPr>
        <w:pStyle w:val="TextBody"/>
        <w:bidi w:val="0"/>
        <w:spacing w:lineRule="auto" w:line="288" w:before="0" w:after="0"/>
        <w:jc w:val="left"/>
        <w:rPr>
          <w:rFonts w:ascii="Arial;sans-serif" w:hAnsi="Arial;sans-serif"/>
          <w:b w:val="false"/>
          <w:color w:val="131313"/>
          <w:sz w:val="23"/>
        </w:rPr>
      </w:pPr>
      <w:r>
        <w:rPr>
          <w:rFonts w:ascii="Arial;sans-serif" w:hAnsi="Arial;sans-serif"/>
          <w:b w:val="false"/>
          <w:color w:val="131313"/>
          <w:sz w:val="23"/>
        </w:rPr>
        <w:t>Position:</w:t>
      </w:r>
    </w:p>
    <w:p>
      <w:pPr>
        <w:pStyle w:val="TextBody"/>
        <w:bidi w:val="0"/>
        <w:spacing w:lineRule="auto" w:line="288" w:before="120" w:after="283"/>
        <w:jc w:val="left"/>
        <w:rPr>
          <w:rFonts w:ascii="Arial;sans-serif" w:hAnsi="Arial;sans-serif"/>
          <w:b w:val="false"/>
          <w:color w:val="131313"/>
          <w:sz w:val="23"/>
        </w:rPr>
      </w:pPr>
      <w:r>
        <w:rPr>
          <w:rFonts w:ascii="Arial;sans-serif" w:hAnsi="Arial;sans-serif"/>
          <w:b w:val="false"/>
          <w:color w:val="131313"/>
          <w:sz w:val="23"/>
        </w:rPr>
        <w:t>Your title upon hire will be Executive Vice President &amp; President, Restaurants.</w:t>
      </w:r>
    </w:p>
    <w:p>
      <w:pPr>
        <w:pStyle w:val="TextBody"/>
        <w:bidi w:val="0"/>
        <w:spacing w:before="177" w:after="283"/>
        <w:jc w:val="left"/>
        <w:rPr/>
      </w:pPr>
      <w:r>
        <w:rPr/>
      </w:r>
    </w:p>
    <w:p>
      <w:pPr>
        <w:pStyle w:val="TextBody"/>
        <w:bidi w:val="0"/>
        <w:spacing w:lineRule="auto" w:line="288" w:before="1" w:after="283"/>
        <w:jc w:val="left"/>
        <w:rPr>
          <w:rFonts w:ascii="Arial;sans-serif" w:hAnsi="Arial;sans-serif"/>
          <w:b w:val="false"/>
          <w:color w:val="131313"/>
          <w:sz w:val="23"/>
        </w:rPr>
      </w:pPr>
      <w:r>
        <w:rPr>
          <w:rFonts w:ascii="Arial;sans-serif" w:hAnsi="Arial;sans-serif"/>
          <w:b w:val="false"/>
          <w:color w:val="131313"/>
          <w:sz w:val="23"/>
        </w:rPr>
        <w:t>Job Grade:</w:t>
      </w:r>
    </w:p>
    <w:p>
      <w:pPr>
        <w:pStyle w:val="TextBody"/>
        <w:bidi w:val="0"/>
        <w:spacing w:lineRule="auto" w:line="288" w:before="115" w:after="283"/>
        <w:jc w:val="left"/>
        <w:rPr>
          <w:rFonts w:ascii="Arial;sans-serif" w:hAnsi="Arial;sans-serif"/>
          <w:b w:val="false"/>
          <w:color w:val="131313"/>
          <w:sz w:val="23"/>
        </w:rPr>
      </w:pPr>
      <w:r>
        <w:rPr>
          <w:rFonts w:ascii="Arial;sans-serif" w:hAnsi="Arial;sans-serif"/>
          <w:b w:val="false"/>
          <w:color w:val="131313"/>
          <w:sz w:val="23"/>
        </w:rPr>
        <w:t>ES</w:t>
      </w:r>
    </w:p>
    <w:p>
      <w:pPr>
        <w:pStyle w:val="TextBody"/>
        <w:bidi w:val="0"/>
        <w:spacing w:before="249" w:after="283"/>
        <w:jc w:val="left"/>
        <w:rPr/>
      </w:pPr>
      <w:r>
        <w:rPr/>
      </w:r>
    </w:p>
    <w:p>
      <w:pPr>
        <w:pStyle w:val="TextBody"/>
        <w:bidi w:val="0"/>
        <w:spacing w:lineRule="auto" w:line="288" w:before="0" w:after="0"/>
        <w:ind w:left="0" w:right="0" w:hanging="6"/>
        <w:jc w:val="left"/>
        <w:rPr>
          <w:rFonts w:ascii="Arial;sans-serif" w:hAnsi="Arial;sans-serif"/>
          <w:b w:val="false"/>
          <w:color w:val="131313"/>
          <w:sz w:val="23"/>
        </w:rPr>
      </w:pPr>
      <w:r>
        <w:rPr>
          <w:rFonts w:ascii="Arial;sans-serif" w:hAnsi="Arial;sans-serif"/>
          <w:b w:val="false"/>
          <w:color w:val="131313"/>
          <w:sz w:val="23"/>
        </w:rPr>
        <w:t>Reporting To:</w:t>
      </w:r>
    </w:p>
    <w:p>
      <w:pPr>
        <w:pStyle w:val="TextBody"/>
        <w:bidi w:val="0"/>
        <w:spacing w:lineRule="auto" w:line="288" w:before="120" w:after="283"/>
        <w:jc w:val="left"/>
        <w:rPr>
          <w:rFonts w:ascii="Arial;sans-serif" w:hAnsi="Arial;sans-serif"/>
          <w:b w:val="false"/>
          <w:color w:val="131313"/>
          <w:sz w:val="23"/>
        </w:rPr>
      </w:pPr>
      <w:r>
        <w:rPr>
          <w:rFonts w:ascii="Arial;sans-serif" w:hAnsi="Arial;sans-serif"/>
          <w:b w:val="false"/>
          <w:color w:val="131313"/>
          <w:sz w:val="23"/>
        </w:rPr>
        <w:t>David Wilkinson</w:t>
      </w:r>
    </w:p>
    <w:p>
      <w:pPr>
        <w:pStyle w:val="TextBody"/>
        <w:bidi w:val="0"/>
        <w:spacing w:before="235" w:after="283"/>
        <w:jc w:val="left"/>
        <w:rPr/>
      </w:pPr>
      <w:r>
        <w:rPr/>
      </w:r>
    </w:p>
    <w:p>
      <w:pPr>
        <w:pStyle w:val="TextBody"/>
        <w:bidi w:val="0"/>
        <w:spacing w:lineRule="auto" w:line="288" w:before="0" w:after="0"/>
        <w:jc w:val="left"/>
        <w:rPr>
          <w:rFonts w:ascii="Arial;sans-serif" w:hAnsi="Arial;sans-serif"/>
          <w:b w:val="false"/>
          <w:color w:val="131313"/>
          <w:sz w:val="23"/>
        </w:rPr>
      </w:pPr>
      <w:r>
        <w:rPr>
          <w:rFonts w:ascii="Arial;sans-serif" w:hAnsi="Arial;sans-serif"/>
          <w:b w:val="false"/>
          <w:color w:val="131313"/>
          <w:sz w:val="23"/>
        </w:rPr>
        <w:t>Business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12" w:after="283"/>
        <w:jc w:val="left"/>
        <w:rPr/>
      </w:pPr>
      <w:r>
        <w:rPr/>
      </w:r>
    </w:p>
    <w:p>
      <w:pPr>
        <w:pStyle w:val="TextBody"/>
        <w:bidi w:val="0"/>
        <w:spacing w:before="0" w:after="0"/>
        <w:jc w:val="left"/>
        <w:rPr/>
      </w:pPr>
      <w:r>
        <w:rPr/>
      </w:r>
    </w:p>
    <w:p>
      <w:pPr>
        <w:pStyle w:val="TextBody"/>
        <w:bidi w:val="0"/>
        <w:spacing w:before="183" w:after="283"/>
        <w:jc w:val="left"/>
        <w:rPr/>
      </w:pPr>
      <w:r>
        <w:rPr/>
      </w:r>
    </w:p>
    <w:p>
      <w:pPr>
        <w:pStyle w:val="TextBody"/>
        <w:bidi w:val="0"/>
        <w:spacing w:lineRule="auto" w:line="943" w:before="0" w:after="0"/>
        <w:ind w:left="0" w:right="0" w:hanging="2"/>
        <w:jc w:val="left"/>
        <w:rPr>
          <w:rFonts w:ascii="Arial;sans-serif" w:hAnsi="Arial;sans-serif"/>
          <w:b w:val="false"/>
          <w:color w:val="111111"/>
          <w:sz w:val="23"/>
        </w:rPr>
      </w:pPr>
      <w:r>
        <w:rPr>
          <w:rFonts w:ascii="Arial;sans-serif" w:hAnsi="Arial;sans-serif"/>
          <w:b w:val="false"/>
          <w:color w:val="111111"/>
          <w:sz w:val="23"/>
        </w:rPr>
        <w:t>Restaurants Location:</w:t>
      </w:r>
    </w:p>
    <w:p>
      <w:pPr>
        <w:pStyle w:val="TextBody"/>
        <w:bidi w:val="0"/>
        <w:spacing w:lineRule="auto" w:line="288" w:before="128" w:after="283"/>
        <w:jc w:val="left"/>
        <w:rPr>
          <w:rFonts w:ascii="Arial;sans-serif" w:hAnsi="Arial;sans-serif"/>
          <w:b w:val="false"/>
          <w:color w:val="111111"/>
          <w:sz w:val="23"/>
        </w:rPr>
      </w:pPr>
      <w:r>
        <w:rPr>
          <w:rFonts w:ascii="Arial;sans-serif" w:hAnsi="Arial;sans-serif"/>
          <w:b w:val="false"/>
          <w:color w:val="111111"/>
          <w:sz w:val="23"/>
        </w:rPr>
        <w:t>Atlanta, GA</w: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111111"/>
          <w:sz w:val="23"/>
        </w:rPr>
      </w:pPr>
      <w:r>
        <w:rPr>
          <w:rFonts w:ascii="Arial;sans-serif" w:hAnsi="Arial;sans-serif"/>
          <w:b w:val="false"/>
          <w:color w:val="111111"/>
          <w:sz w:val="23"/>
        </w:rPr>
        <w:t>Start Date:</w:t>
      </w:r>
    </w:p>
    <w:p>
      <w:pPr>
        <w:pStyle w:val="TextBody"/>
        <w:bidi w:val="0"/>
        <w:spacing w:lineRule="auto" w:line="288" w:before="120" w:after="283"/>
        <w:jc w:val="left"/>
        <w:rPr>
          <w:rFonts w:ascii="Arial;sans-serif" w:hAnsi="Arial;sans-serif"/>
          <w:b w:val="false"/>
          <w:color w:val="111111"/>
          <w:sz w:val="23"/>
        </w:rPr>
      </w:pPr>
      <w:r>
        <w:rPr>
          <w:rFonts w:ascii="Arial;sans-serif" w:hAnsi="Arial;sans-serif"/>
          <w:b w:val="false"/>
          <w:color w:val="111111"/>
          <w:sz w:val="23"/>
        </w:rPr>
        <w:t>TBD</w:t>
      </w:r>
    </w:p>
    <w:p>
      <w:pPr>
        <w:pStyle w:val="TextBody"/>
        <w:bidi w:val="0"/>
        <w:spacing w:before="168" w:after="283"/>
        <w:jc w:val="left"/>
        <w:rPr/>
      </w:pPr>
      <w:r>
        <w:rPr/>
      </w:r>
    </w:p>
    <w:p>
      <w:pPr>
        <w:pStyle w:val="TextBody"/>
        <w:bidi w:val="0"/>
        <w:spacing w:lineRule="auto" w:line="288" w:before="0" w:after="0"/>
        <w:jc w:val="left"/>
        <w:rPr>
          <w:rFonts w:ascii="Arial;sans-serif" w:hAnsi="Arial;sans-serif"/>
          <w:b/>
          <w:color w:val="111111"/>
          <w:sz w:val="23"/>
        </w:rPr>
      </w:pPr>
      <w:r>
        <w:rPr>
          <w:rFonts w:ascii="Arial;sans-serif" w:hAnsi="Arial;sans-serif"/>
          <w:b/>
          <w:color w:val="111111"/>
          <w:sz w:val="23"/>
        </w:rPr>
        <w:t>Base Salary:</w:t>
      </w:r>
    </w:p>
    <w:p>
      <w:pPr>
        <w:pStyle w:val="TextBody"/>
        <w:bidi w:val="0"/>
        <w:spacing w:lineRule="auto" w:line="288" w:before="120" w:after="283"/>
        <w:jc w:val="left"/>
        <w:rPr>
          <w:rFonts w:ascii="Arial;sans-serif" w:hAnsi="Arial;sans-serif"/>
          <w:b w:val="false"/>
          <w:color w:val="111111"/>
          <w:sz w:val="23"/>
        </w:rPr>
      </w:pPr>
      <w:r>
        <w:rPr>
          <w:rFonts w:ascii="Arial;sans-serif" w:hAnsi="Arial;sans-serif"/>
          <w:b w:val="false"/>
          <w:color w:val="111111"/>
          <w:sz w:val="23"/>
        </w:rPr>
        <w:t>Your annual base salary will be $400,000 per year, commencing as of your Start Date.</w:t>
      </w:r>
    </w:p>
    <w:p>
      <w:pPr>
        <w:pStyle w:val="TextBody"/>
        <w:bidi w:val="0"/>
        <w:spacing w:lineRule="auto" w:line="321" w:before="250" w:after="283"/>
        <w:ind w:left="0" w:right="0" w:hanging="2"/>
        <w:jc w:val="left"/>
        <w:rPr>
          <w:rFonts w:ascii="Arial;sans-serif" w:hAnsi="Arial;sans-serif"/>
          <w:b w:val="false"/>
          <w:color w:val="111111"/>
          <w:sz w:val="23"/>
        </w:rPr>
      </w:pPr>
      <w:r>
        <w:rPr>
          <w:rFonts w:ascii="Arial;sans-serif" w:hAnsi="Arial;sans-serif"/>
          <w:b w:val="false"/>
          <w:color w:val="111111"/>
          <w:sz w:val="23"/>
        </w:rPr>
        <w:t>The Company operates on a bi-weekly pay schedule. Payday is scheduled five days following the close of each pay period.</w:t>
      </w:r>
    </w:p>
    <w:p>
      <w:pPr>
        <w:pStyle w:val="TextBody"/>
        <w:bidi w:val="0"/>
        <w:spacing w:lineRule="auto" w:line="288" w:before="208" w:after="283"/>
        <w:jc w:val="left"/>
        <w:rPr/>
      </w:pPr>
      <w:r>
        <w:rPr>
          <w:rFonts w:ascii="Arial;sans-serif" w:hAnsi="Arial;sans-serif"/>
          <w:b/>
          <w:color w:val="111111"/>
          <w:sz w:val="23"/>
        </w:rPr>
        <w:t>Management Incentive Plan -</w:t>
      </w:r>
      <w:r>
        <w:rPr>
          <w:color w:val="111111"/>
        </w:rPr>
        <w:t xml:space="preserve"> </w:t>
      </w:r>
      <w:r>
        <w:rPr>
          <w:rFonts w:ascii="Arial;sans-serif" w:hAnsi="Arial;sans-serif"/>
          <w:b/>
          <w:color w:val="111111"/>
          <w:sz w:val="23"/>
        </w:rPr>
        <w:t>MIP:</w:t>
      </w:r>
    </w:p>
    <w:p>
      <w:pPr>
        <w:pStyle w:val="TextBody"/>
        <w:bidi w:val="0"/>
        <w:spacing w:lineRule="auto" w:line="321" w:before="125" w:after="283"/>
        <w:ind w:left="0" w:right="0" w:hanging="2"/>
        <w:jc w:val="left"/>
        <w:rPr>
          <w:rFonts w:ascii="Arial;sans-serif" w:hAnsi="Arial;sans-serif"/>
          <w:b w:val="false"/>
          <w:color w:val="111111"/>
          <w:sz w:val="23"/>
        </w:rPr>
      </w:pPr>
      <w:r>
        <w:rPr>
          <w:rFonts w:ascii="Arial;sans-serif" w:hAnsi="Arial;sans-serif"/>
          <w:b w:val="false"/>
          <w:color w:val="111111"/>
          <w:sz w:val="23"/>
        </w:rPr>
        <w:t>Effective upon your start date, you will participate in NCR Management Incentive Plan ("MIP"), subject to the terms of the MIP. The MIP is an annual bonus program with a payout that varies based on NCR Voyix's results, your organization's results, and your individual performance; it is payable in the first calendar quarter following the plan year.</w:t>
      </w:r>
    </w:p>
    <w:p>
      <w:pPr>
        <w:pStyle w:val="TextBody"/>
        <w:bidi w:val="0"/>
        <w:spacing w:before="51" w:after="283"/>
        <w:jc w:val="left"/>
        <w:rPr/>
      </w:pPr>
      <w:r>
        <w:rPr/>
      </w:r>
    </w:p>
    <w:p>
      <w:pPr>
        <w:pStyle w:val="TextBody"/>
        <w:bidi w:val="0"/>
        <w:spacing w:lineRule="auto" w:line="348" w:before="0" w:after="0"/>
        <w:ind w:left="0" w:right="0" w:hanging="2"/>
        <w:jc w:val="left"/>
        <w:rPr>
          <w:rFonts w:ascii="Arial;sans-serif" w:hAnsi="Arial;sans-serif"/>
          <w:b w:val="false"/>
          <w:color w:val="111111"/>
          <w:sz w:val="23"/>
        </w:rPr>
      </w:pPr>
      <w:r>
        <w:rPr>
          <w:rFonts w:ascii="Arial;sans-serif" w:hAnsi="Arial;sans-serif"/>
          <w:b w:val="false"/>
          <w:color w:val="111111"/>
          <w:sz w:val="23"/>
        </w:rPr>
        <w:t>Your MIP incentive opportunity for the 2024 year will be 100% of base. Your MIP payout for the 2024 plan year will be payable to you in or about March 2025.</w:t>
      </w:r>
    </w:p>
    <w:p>
      <w:pPr>
        <w:pStyle w:val="TextBody"/>
        <w:bidi w:val="0"/>
        <w:spacing w:before="107" w:after="283"/>
        <w:jc w:val="left"/>
        <w:rPr/>
      </w:pPr>
      <w:r>
        <w:rPr/>
      </w:r>
    </w:p>
    <w:p>
      <w:pPr>
        <w:pStyle w:val="TextBody"/>
        <w:bidi w:val="0"/>
        <w:spacing w:lineRule="auto" w:line="324" w:before="0" w:after="0"/>
        <w:ind w:left="0" w:right="0" w:hanging="6"/>
        <w:jc w:val="left"/>
        <w:rPr>
          <w:rFonts w:ascii="Arial;sans-serif" w:hAnsi="Arial;sans-serif"/>
          <w:b w:val="false"/>
          <w:color w:val="111111"/>
          <w:sz w:val="23"/>
        </w:rPr>
      </w:pPr>
      <w:r>
        <w:rPr>
          <w:rFonts w:ascii="Arial;sans-serif" w:hAnsi="Arial;sans-serif"/>
          <w:b w:val="false"/>
          <w:color w:val="111111"/>
          <w:sz w:val="23"/>
        </w:rPr>
        <w:t>Please note that the MIP guidelines are subject to change from time to time, which will be determined at the discretion of the Committee. You must be a current employee at the time of payment in order to receive the bonus payout.</w:t>
      </w:r>
    </w:p>
    <w:p>
      <w:pPr>
        <w:pStyle w:val="TextBody"/>
        <w:bidi w:val="0"/>
        <w:spacing w:before="124" w:after="283"/>
        <w:jc w:val="left"/>
        <w:rPr/>
      </w:pPr>
      <w:r>
        <w:rPr/>
      </w:r>
    </w:p>
    <w:p>
      <w:pPr>
        <w:pStyle w:val="TextBody"/>
        <w:bidi w:val="0"/>
        <w:spacing w:lineRule="auto" w:line="288" w:before="0" w:after="0"/>
        <w:jc w:val="left"/>
        <w:rPr>
          <w:rFonts w:ascii="Arial;sans-serif" w:hAnsi="Arial;sans-serif"/>
          <w:b/>
          <w:color w:val="111111"/>
          <w:sz w:val="23"/>
        </w:rPr>
      </w:pPr>
      <w:r>
        <w:rPr>
          <w:rFonts w:ascii="Arial;sans-serif" w:hAnsi="Arial;sans-serif"/>
          <w:b/>
          <w:color w:val="111111"/>
          <w:sz w:val="23"/>
        </w:rPr>
        <w:t>Sign-On Bonus:</w:t>
      </w:r>
    </w:p>
    <w:p>
      <w:pPr>
        <w:pStyle w:val="TextBody"/>
        <w:bidi w:val="0"/>
        <w:spacing w:lineRule="auto" w:line="345" w:before="130" w:after="283"/>
        <w:ind w:left="0" w:right="0" w:hanging="2"/>
        <w:jc w:val="left"/>
        <w:rPr>
          <w:rFonts w:ascii="Arial;sans-serif" w:hAnsi="Arial;sans-serif"/>
          <w:b w:val="false"/>
          <w:color w:val="111111"/>
          <w:sz w:val="23"/>
        </w:rPr>
      </w:pPr>
      <w:r>
        <w:rPr>
          <w:rFonts w:ascii="Arial;sans-serif" w:hAnsi="Arial;sans-serif"/>
          <w:b w:val="false"/>
          <w:color w:val="111111"/>
          <w:sz w:val="23"/>
        </w:rPr>
        <w:t>You are eligible to receive a sign-on bonus in the amount of $200,000 (minus applicable taxes). This sum is only payable after completion of sixty (60) days of continuous and satisfactory service with NCR.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37" w:after="283"/>
        <w:jc w:val="left"/>
        <w:rPr/>
      </w:pPr>
      <w:r>
        <w:rPr/>
      </w:r>
    </w:p>
    <w:p>
      <w:pPr>
        <w:pStyle w:val="TextBody"/>
        <w:bidi w:val="0"/>
        <w:spacing w:lineRule="auto" w:line="348" w:before="0" w:after="0"/>
        <w:ind w:left="0" w:right="0" w:hanging="5"/>
        <w:jc w:val="left"/>
        <w:rPr>
          <w:rFonts w:ascii="Arial;sans-serif" w:hAnsi="Arial;sans-serif"/>
          <w:b w:val="false"/>
          <w:color w:val="0F0F0F"/>
          <w:sz w:val="23"/>
        </w:rPr>
      </w:pPr>
      <w:r>
        <w:rPr>
          <w:rFonts w:ascii="Arial;sans-serif" w:hAnsi="Arial;sans-serif"/>
          <w:b w:val="false"/>
          <w:color w:val="0F0F0F"/>
          <w:sz w:val="23"/>
        </w:rPr>
        <w:t>Please be aware that if you resign your position within twelve (12) months of your first day of employment with NCR that you will be required to repay the sign-on bonus in the full amount. It is your responsibility to contact your manager to arrange for repayment of the sign-on bonus within 60 days of your resignation if you resign within twelve months.</w:t>
      </w:r>
    </w:p>
    <w:p>
      <w:pPr>
        <w:pStyle w:val="TextBody"/>
        <w:bidi w:val="0"/>
        <w:spacing w:before="196" w:after="283"/>
        <w:jc w:val="left"/>
        <w:rPr/>
      </w:pPr>
      <w:r>
        <w:rPr/>
      </w:r>
    </w:p>
    <w:p>
      <w:pPr>
        <w:pStyle w:val="TextBody"/>
        <w:bidi w:val="0"/>
        <w:spacing w:lineRule="auto" w:line="288" w:before="0" w:after="0"/>
        <w:jc w:val="left"/>
        <w:rPr>
          <w:rFonts w:ascii="Arial;sans-serif" w:hAnsi="Arial;sans-serif"/>
          <w:b/>
          <w:color w:val="0F0F0F"/>
          <w:sz w:val="23"/>
        </w:rPr>
      </w:pPr>
      <w:r>
        <w:rPr>
          <w:rFonts w:ascii="Arial;sans-serif" w:hAnsi="Arial;sans-serif"/>
          <w:b/>
          <w:color w:val="0F0F0F"/>
          <w:sz w:val="23"/>
        </w:rPr>
        <w:t>Equity Award:</w:t>
      </w:r>
    </w:p>
    <w:p>
      <w:pPr>
        <w:pStyle w:val="TextBody"/>
        <w:bidi w:val="0"/>
        <w:spacing w:lineRule="auto" w:line="350" w:before="120" w:after="283"/>
        <w:ind w:left="0" w:right="0" w:hanging="1"/>
        <w:jc w:val="left"/>
        <w:rPr>
          <w:rFonts w:ascii="Arial;sans-serif" w:hAnsi="Arial;sans-serif"/>
          <w:b w:val="false"/>
          <w:color w:val="0F0F0F"/>
          <w:sz w:val="23"/>
        </w:rPr>
      </w:pPr>
      <w:r>
        <w:rPr>
          <w:rFonts w:ascii="Arial;sans-serif" w:hAnsi="Arial;sans-serif"/>
          <w:b w:val="false"/>
          <w:color w:val="0F0F0F"/>
          <w:sz w:val="23"/>
        </w:rPr>
        <w:t>Subject to your acceptance of this offer and your timely execution of the associated award agreements, you will receive an NCR Voyix equity award with a grant value of US$ 225,000, to be delivered in the form of NCR Time-Based Restricted Stock Units, as described below. The effective date of the grant ("Grant Date") will be the first day of the calendar month following approval of the grant, or the first day of the month following your employment date, whichever is later.</w:t>
      </w:r>
    </w:p>
    <w:p>
      <w:pPr>
        <w:pStyle w:val="TextBody"/>
        <w:bidi w:val="0"/>
        <w:spacing w:before="178" w:after="283"/>
        <w:jc w:val="left"/>
        <w:rPr/>
      </w:pPr>
      <w:r>
        <w:rPr/>
      </w:r>
    </w:p>
    <w:p>
      <w:pPr>
        <w:pStyle w:val="TextBody"/>
        <w:bidi w:val="0"/>
        <w:spacing w:lineRule="auto" w:line="350" w:before="0" w:after="0"/>
        <w:ind w:left="0" w:right="0" w:firstLine="2"/>
        <w:jc w:val="left"/>
        <w:rPr>
          <w:rFonts w:ascii="Arial;sans-serif" w:hAnsi="Arial;sans-serif"/>
          <w:b w:val="false"/>
          <w:color w:val="0F0F0F"/>
          <w:sz w:val="23"/>
        </w:rPr>
      </w:pPr>
      <w:r>
        <w:rPr>
          <w:rFonts w:ascii="Arial;sans-serif" w:hAnsi="Arial;sans-serif"/>
          <w:b w:val="false"/>
          <w:color w:val="0F0F0F"/>
          <w:sz w:val="23"/>
        </w:rPr>
        <w:t>On the Grant Date, NCR Voyix will grant you Time-Based Restricted Stock Units (the "Time-Based Units"), each of which represents a single share of NCR Voyix common stock. The actual number of Time-Based Units will be determined by taking the value of the award and dividing it by the closing price of NCR Voyix stock on the Grant Date. The result shall be rounded to the nearest whole unit. Subject to your continued employment with NCR Voyix at that time, 100% of the Time-Based Units will vest ratably on an annual basis over three years from the Grant Date. The Time-Based Units will be subject to the standard terms and conditions found in the award agreements.</w:t>
      </w:r>
    </w:p>
    <w:p>
      <w:pPr>
        <w:pStyle w:val="TextBody"/>
        <w:bidi w:val="0"/>
        <w:spacing w:before="116" w:after="283"/>
        <w:jc w:val="left"/>
        <w:rPr/>
      </w:pPr>
      <w:r>
        <w:rPr/>
      </w:r>
    </w:p>
    <w:p>
      <w:pPr>
        <w:pStyle w:val="TextBody"/>
        <w:bidi w:val="0"/>
        <w:spacing w:lineRule="auto" w:line="350" w:before="0" w:after="0"/>
        <w:ind w:left="0" w:right="0" w:firstLine="3"/>
        <w:jc w:val="left"/>
        <w:rPr>
          <w:rFonts w:ascii="Arial;sans-serif" w:hAnsi="Arial;sans-serif"/>
          <w:b w:val="false"/>
          <w:color w:val="0F0F0F"/>
          <w:sz w:val="23"/>
        </w:rPr>
      </w:pPr>
      <w:r>
        <w:rPr>
          <w:rFonts w:ascii="Arial;sans-serif" w:hAnsi="Arial;sans-serif"/>
          <w:b w:val="false"/>
          <w:color w:val="0F0F0F"/>
          <w:sz w:val="23"/>
        </w:rPr>
        <w:t>Your equity award will be issued under the terms of NCR Stock Incentive Plan, which is administered by Fidelity Investments®. The specific terms and conditions relating to the award are outlined in the award agreement contained on Fidelity's website. Within several weeks of your Grant Date, your award should be loaded to Fidelity's system. You can access your award at www.netbenefits.fidelity.com. Please review the grant information carefully, including the award agreement, and indicate your acceptance of the award and of the grant terms by clicking on the appropriate button within the prescribed time for acceptance. You must accept the award agreement in order to receive the benefits of the award. If you have questions about your shares, call the Fidelity Stock Plan Services Line at 1-800-544-9354. 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38" w:after="283"/>
        <w:jc w:val="left"/>
        <w:rPr/>
      </w:pPr>
      <w:r>
        <w:rPr/>
      </w:r>
    </w:p>
    <w:p>
      <w:pPr>
        <w:pStyle w:val="TextBody"/>
        <w:bidi w:val="0"/>
        <w:spacing w:lineRule="auto" w:line="352" w:before="0" w:after="0"/>
        <w:ind w:left="0" w:right="0" w:hanging="6"/>
        <w:jc w:val="left"/>
        <w:rPr/>
      </w:pPr>
      <w:r>
        <w:rPr>
          <w:rFonts w:ascii="Arial;sans-serif" w:hAnsi="Arial;sans-serif"/>
          <w:b w:val="false"/>
          <w:color w:val="111111"/>
          <w:sz w:val="23"/>
        </w:rPr>
        <w:t xml:space="preserve">questions that Fidelity </w:t>
      </w:r>
      <w:r>
        <w:rPr>
          <w:rFonts w:ascii="Arial;sans-serif" w:hAnsi="Arial;sans-serif"/>
          <w:b w:val="false"/>
          <w:color w:val="1F1F1F"/>
          <w:sz w:val="23"/>
        </w:rPr>
        <w:t xml:space="preserve">is </w:t>
      </w:r>
      <w:r>
        <w:rPr>
          <w:rFonts w:ascii="Arial;sans-serif" w:hAnsi="Arial;sans-serif"/>
          <w:b w:val="false"/>
          <w:color w:val="111111"/>
          <w:sz w:val="23"/>
        </w:rPr>
        <w:t xml:space="preserve">unable to answer, contact NCR by e-mail at </w:t>
      </w:r>
      <w:r>
        <w:rPr>
          <w:rFonts w:ascii="Arial;sans-serif" w:hAnsi="Arial;sans-serif"/>
          <w:b w:val="false"/>
          <w:color w:val="232649"/>
          <w:sz w:val="23"/>
        </w:rPr>
        <w:t>stock.administration@</w:t>
      </w:r>
      <w:r>
        <w:rPr>
          <w:rFonts w:ascii="Arial;sans-serif" w:hAnsi="Arial;sans-serif"/>
          <w:b w:val="false"/>
          <w:color w:val="030A46"/>
          <w:sz w:val="23"/>
        </w:rPr>
        <w:t>ncr.com</w:t>
      </w:r>
      <w:r>
        <w:rPr>
          <w:rFonts w:ascii="Arial;sans-serif" w:hAnsi="Arial;sans-serif"/>
          <w:b w:val="false"/>
          <w:color w:val="111111"/>
          <w:sz w:val="23"/>
        </w:rPr>
        <w:t>.</w:t>
      </w:r>
    </w:p>
    <w:p>
      <w:pPr>
        <w:pStyle w:val="TextBody"/>
        <w:bidi w:val="0"/>
        <w:spacing w:before="188" w:after="283"/>
        <w:jc w:val="left"/>
        <w:rPr/>
      </w:pPr>
      <w:r>
        <w:rPr/>
      </w:r>
    </w:p>
    <w:p>
      <w:pPr>
        <w:pStyle w:val="TextBody"/>
        <w:bidi w:val="0"/>
        <w:spacing w:lineRule="auto" w:line="288" w:before="0" w:after="0"/>
        <w:jc w:val="left"/>
        <w:rPr>
          <w:rFonts w:ascii="Arial;sans-serif" w:hAnsi="Arial;sans-serif"/>
          <w:b w:val="false"/>
          <w:color w:val="111111"/>
          <w:sz w:val="23"/>
        </w:rPr>
      </w:pPr>
      <w:r>
        <w:rPr>
          <w:rFonts w:ascii="Arial;sans-serif" w:hAnsi="Arial;sans-serif"/>
          <w:b w:val="false"/>
          <w:color w:val="111111"/>
          <w:sz w:val="23"/>
        </w:rPr>
        <w:t>Long-term Equity Incentive program (LTI) for 2024 and beyond:</w:t>
      </w:r>
    </w:p>
    <w:p>
      <w:pPr>
        <w:pStyle w:val="TextBody"/>
        <w:bidi w:val="0"/>
        <w:spacing w:lineRule="auto" w:line="350" w:before="72" w:after="283"/>
        <w:ind w:left="0" w:right="0" w:hanging="1"/>
        <w:jc w:val="left"/>
        <w:rPr>
          <w:rFonts w:ascii="Arial;sans-serif" w:hAnsi="Arial;sans-serif"/>
          <w:b w:val="false"/>
          <w:color w:val="111111"/>
          <w:sz w:val="23"/>
        </w:rPr>
      </w:pPr>
      <w:r>
        <w:rPr>
          <w:rFonts w:ascii="Arial;sans-serif" w:hAnsi="Arial;sans-serif"/>
          <w:b w:val="false"/>
          <w:color w:val="111111"/>
          <w:sz w:val="23"/>
        </w:rPr>
        <w:t>As an executive at NCR Voyix, you will continue to participate in the annual Management Long-Term Incentive (LTI) Equity Award Program. For 2024, your target incentive award will be $900,000 and comprised of grants of the same type and in the same proportion as are awarded to other senior executives of NCR Voyix. As an eligible participant, you will be considered for an LTI equity award based on your individual contributions, your relative performance amongst peers, as well as your future potential to contribute to NCR Voyix's success. LTI equity awards are not guaranteed and are generally granted during February of each year, subject to approval by the Committee of the NCR Board of Directors.</w:t>
      </w:r>
    </w:p>
    <w:p>
      <w:pPr>
        <w:pStyle w:val="TextBody"/>
        <w:bidi w:val="0"/>
        <w:spacing w:before="174" w:after="283"/>
        <w:jc w:val="left"/>
        <w:rPr/>
      </w:pPr>
      <w:r>
        <w:rPr/>
      </w:r>
    </w:p>
    <w:p>
      <w:pPr>
        <w:pStyle w:val="TextBody"/>
        <w:bidi w:val="0"/>
        <w:spacing w:lineRule="auto" w:line="348" w:before="0" w:after="0"/>
        <w:ind w:left="0" w:right="0" w:firstLine="3"/>
        <w:jc w:val="left"/>
        <w:rPr/>
      </w:pPr>
      <w:r>
        <w:rPr>
          <w:rFonts w:ascii="Arial;sans-serif" w:hAnsi="Arial;sans-serif"/>
          <w:b w:val="false"/>
          <w:color w:val="111111"/>
          <w:sz w:val="23"/>
        </w:rPr>
        <w:t xml:space="preserve">You must be a current employee of NCR Voyix on the applicable grant date in order to be eligible to receive any NCR Voyix LTl equity award. Other award terms are set forth in the plan governing these awards, and you must electronically accept the award agreement each </w:t>
      </w:r>
      <w:r>
        <w:rPr>
          <w:rFonts w:ascii="Arial;sans-serif" w:hAnsi="Arial;sans-serif"/>
          <w:b w:val="false"/>
          <w:color w:val="1F1F1F"/>
          <w:sz w:val="23"/>
        </w:rPr>
        <w:t xml:space="preserve">time </w:t>
      </w:r>
      <w:r>
        <w:rPr>
          <w:rFonts w:ascii="Arial;sans-serif" w:hAnsi="Arial;sans-serif"/>
          <w:b w:val="false"/>
          <w:color w:val="111111"/>
          <w:sz w:val="23"/>
        </w:rPr>
        <w:t>one is made in order to be eligible to receive its benefit.</w:t>
      </w:r>
    </w:p>
    <w:p>
      <w:pPr>
        <w:pStyle w:val="TextBody"/>
        <w:bidi w:val="0"/>
        <w:spacing w:before="0" w:after="0"/>
        <w:jc w:val="left"/>
        <w:rPr/>
      </w:pPr>
      <w:r>
        <w:rPr/>
      </w:r>
    </w:p>
    <w:p>
      <w:pPr>
        <w:pStyle w:val="TextBody"/>
        <w:bidi w:val="0"/>
        <w:spacing w:before="0" w:after="0"/>
        <w:jc w:val="left"/>
        <w:rPr/>
      </w:pPr>
      <w:r>
        <w:rPr/>
      </w:r>
    </w:p>
    <w:p>
      <w:pPr>
        <w:pStyle w:val="TextBody"/>
        <w:bidi w:val="0"/>
        <w:spacing w:before="47" w:after="283"/>
        <w:jc w:val="left"/>
        <w:rPr/>
      </w:pPr>
      <w:r>
        <w:rPr/>
      </w:r>
    </w:p>
    <w:p>
      <w:pPr>
        <w:pStyle w:val="TextBody"/>
        <w:bidi w:val="0"/>
        <w:spacing w:lineRule="auto" w:line="288" w:before="0" w:after="0"/>
        <w:jc w:val="left"/>
        <w:rPr/>
      </w:pPr>
      <w:r>
        <w:rPr>
          <w:rFonts w:ascii="Arial;sans-serif" w:hAnsi="Arial;sans-serif"/>
          <w:b/>
          <w:color w:val="111111"/>
          <w:sz w:val="23"/>
        </w:rPr>
        <w:t>Section 409A of the Code</w:t>
      </w:r>
      <w:r>
        <w:rPr>
          <w:rFonts w:ascii="Arial;sans-serif" w:hAnsi="Arial;sans-serif"/>
          <w:b w:val="false"/>
          <w:color w:val="111111"/>
          <w:sz w:val="23"/>
        </w:rPr>
        <w:t>:</w:t>
      </w:r>
    </w:p>
    <w:p>
      <w:pPr>
        <w:pStyle w:val="TextBody"/>
        <w:bidi w:val="0"/>
        <w:spacing w:lineRule="auto" w:line="324" w:before="120" w:after="283"/>
        <w:ind w:left="0" w:right="0" w:hanging="2"/>
        <w:jc w:val="left"/>
        <w:rPr>
          <w:rFonts w:ascii="Arial;sans-serif" w:hAnsi="Arial;sans-serif"/>
          <w:b w:val="false"/>
          <w:color w:val="111111"/>
          <w:sz w:val="23"/>
        </w:rPr>
      </w:pPr>
      <w:r>
        <w:rPr>
          <w:rFonts w:ascii="Arial;sans-serif" w:hAnsi="Arial;sans-serif"/>
          <w:b w:val="false"/>
          <w:color w:val="111111"/>
          <w:sz w:val="23"/>
        </w:rPr>
        <w:t>While the tax treatment of the payments and benefits provided under this letter is not warranted or guaranteed, it is intended that such payments and benefits shall either be exempt from, or comply with, the requirements of Section 409A of the Internal Revenue Code of 1986, as amended (the "Code"). This letter shall be construed, administered and governed in a manner that effects such intent. In particular, and without limiting the foregoing, any reimbursements or in-kind benefits provided under this letter that are taxable benefits (and are not disability pay or death benefit plans within the meaning of Section 409A of the Code) shall be subject to the following rules:</w:t>
      </w:r>
    </w:p>
    <w:p>
      <w:pPr>
        <w:pStyle w:val="TextBody"/>
        <w:bidi w:val="0"/>
        <w:spacing w:lineRule="auto" w:line="316" w:before="0" w:after="0"/>
        <w:ind w:left="0" w:right="0" w:hanging="360"/>
        <w:jc w:val="left"/>
        <w:rPr/>
      </w:pPr>
      <w:r>
        <w:rPr>
          <w:color w:val="000000"/>
        </w:rPr>
        <w:t>•</w:t>
      </w:r>
      <w:r>
        <w:rPr>
          <w:rFonts w:ascii="Arial;sans-serif" w:hAnsi="Arial;sans-serif"/>
          <w:b w:val="false"/>
          <w:color w:val="111111"/>
          <w:sz w:val="23"/>
        </w:rPr>
        <w:t>Any such reimbursements shall be paid no later than the end of the calendar year next following the calendar year in which you incur the reimbursable expenses.</w:t>
      </w:r>
    </w:p>
    <w:p>
      <w:pPr>
        <w:pStyle w:val="TextBody"/>
        <w:bidi w:val="0"/>
        <w:spacing w:lineRule="auto" w:line="314" w:before="17" w:after="283"/>
        <w:ind w:left="0" w:right="0" w:hanging="360"/>
        <w:jc w:val="left"/>
        <w:rPr/>
      </w:pPr>
      <w:r>
        <w:rPr>
          <w:color w:val="000000"/>
        </w:rPr>
        <w:t>•</w:t>
      </w:r>
      <w:r>
        <w:rPr>
          <w:rFonts w:ascii="Arial;sans-serif" w:hAnsi="Arial;sans-serif"/>
          <w:b w:val="false"/>
          <w:color w:val="111111"/>
          <w:sz w:val="23"/>
        </w:rPr>
        <w:t xml:space="preserve">The amount of reimbursable expenses or </w:t>
      </w:r>
      <w:r>
        <w:rPr>
          <w:rFonts w:ascii="Arial;sans-serif" w:hAnsi="Arial;sans-serif"/>
          <w:b w:val="false"/>
          <w:color w:val="1F1F1F"/>
          <w:sz w:val="23"/>
        </w:rPr>
        <w:t xml:space="preserve">in-kind </w:t>
      </w:r>
      <w:r>
        <w:rPr>
          <w:rFonts w:ascii="Arial;sans-serif" w:hAnsi="Arial;sans-serif"/>
          <w:b w:val="false"/>
          <w:color w:val="111111"/>
          <w:sz w:val="23"/>
        </w:rPr>
        <w:t>benefits that NCR is obligated to pay or provide during any given calendar year shall not affect the amount of reimbursable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74"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4" w:before="17" w:after="283"/>
        <w:jc w:val="left"/>
        <w:rPr>
          <w:rFonts w:ascii="Arial;sans-serif" w:hAnsi="Arial;sans-serif"/>
          <w:b w:val="false"/>
          <w:color w:val="111111"/>
          <w:sz w:val="23"/>
        </w:rPr>
      </w:pPr>
      <w:r>
        <w:rPr>
          <w:rFonts w:ascii="Arial;sans-serif" w:hAnsi="Arial;sans-serif"/>
          <w:b w:val="false"/>
          <w:color w:val="111111"/>
          <w:sz w:val="23"/>
        </w:rPr>
        <w:t>expenses or in-kind benefits that NCR is obligated to pay or provide during any</w:t>
      </w:r>
    </w:p>
    <w:p>
      <w:pPr>
        <w:pStyle w:val="TextBody"/>
        <w:bidi w:val="0"/>
        <w:spacing w:lineRule="auto" w:line="314" w:before="17" w:after="283"/>
        <w:jc w:val="left"/>
        <w:rPr>
          <w:rFonts w:ascii="Arial;sans-serif" w:hAnsi="Arial;sans-serif"/>
          <w:b w:val="false"/>
          <w:color w:val="111111"/>
          <w:sz w:val="23"/>
        </w:rPr>
      </w:pPr>
      <w:r>
        <w:rPr>
          <w:rFonts w:ascii="Arial;sans-serif" w:hAnsi="Arial;sans-serif"/>
          <w:b w:val="false"/>
          <w:color w:val="111111"/>
          <w:sz w:val="23"/>
        </w:rPr>
        <w:t>other calendar year.</w:t>
      </w:r>
    </w:p>
    <w:p>
      <w:pPr>
        <w:pStyle w:val="TextBody"/>
        <w:bidi w:val="0"/>
        <w:spacing w:lineRule="auto" w:line="314" w:before="17" w:after="283"/>
        <w:ind w:left="0" w:right="0" w:hanging="360"/>
        <w:jc w:val="left"/>
        <w:rPr/>
      </w:pPr>
      <w:r>
        <w:rPr>
          <w:color w:val="111111"/>
        </w:rPr>
        <w:t>•</w:t>
      </w:r>
      <w:r>
        <w:rPr>
          <w:rFonts w:ascii="Arial;sans-serif" w:hAnsi="Arial;sans-serif"/>
          <w:b w:val="false"/>
          <w:color w:val="111111"/>
          <w:sz w:val="23"/>
        </w:rPr>
        <w:t>Your right to have NCR Voyix reimburse expenses or provide in-kind benefits may not be liquidated or exchanged for any other benefit.</w:t>
      </w:r>
    </w:p>
    <w:p>
      <w:pPr>
        <w:pStyle w:val="TextBody"/>
        <w:bidi w:val="0"/>
        <w:spacing w:before="166" w:after="283"/>
        <w:jc w:val="left"/>
        <w:rPr/>
      </w:pPr>
      <w:r>
        <w:rPr/>
      </w:r>
    </w:p>
    <w:p>
      <w:pPr>
        <w:pStyle w:val="TextBody"/>
        <w:bidi w:val="0"/>
        <w:spacing w:lineRule="auto" w:line="324" w:before="0" w:after="0"/>
        <w:ind w:left="0" w:right="0" w:firstLine="4"/>
        <w:jc w:val="left"/>
        <w:rPr>
          <w:rFonts w:ascii="Arial;sans-serif" w:hAnsi="Arial;sans-serif"/>
          <w:b w:val="false"/>
          <w:color w:val="0F0F0F"/>
          <w:sz w:val="23"/>
        </w:rPr>
      </w:pPr>
      <w:r>
        <w:rPr>
          <w:rFonts w:ascii="Arial;sans-serif" w:hAnsi="Arial;sans-serif"/>
          <w:b w:val="false"/>
          <w:color w:val="0F0F0F"/>
          <w:sz w:val="23"/>
        </w:rPr>
        <w:t>Notwithstanding any other provision of this letter, NCR Voyix may withhold from any amounts payable hereunder, or any other benefits received pursuant hereto, such minimum federal, state and/or local taxes as shall be required to be withheld under any applicable law or regulation.</w:t>
      </w:r>
    </w:p>
    <w:p>
      <w:pPr>
        <w:pStyle w:val="TextBody"/>
        <w:bidi w:val="0"/>
        <w:spacing w:before="122" w:after="283"/>
        <w:jc w:val="left"/>
        <w:rPr/>
      </w:pPr>
      <w:r>
        <w:rPr/>
      </w:r>
    </w:p>
    <w:p>
      <w:pPr>
        <w:pStyle w:val="TextBody"/>
        <w:bidi w:val="0"/>
        <w:spacing w:lineRule="auto" w:line="288" w:before="0" w:after="0"/>
        <w:jc w:val="left"/>
        <w:rPr>
          <w:rFonts w:ascii="Arial;sans-serif" w:hAnsi="Arial;sans-serif"/>
          <w:b/>
          <w:color w:val="0F0F0F"/>
          <w:sz w:val="23"/>
        </w:rPr>
      </w:pPr>
      <w:r>
        <w:rPr>
          <w:rFonts w:ascii="Arial;sans-serif" w:hAnsi="Arial;sans-serif"/>
          <w:b/>
          <w:color w:val="0F0F0F"/>
          <w:sz w:val="23"/>
        </w:rPr>
        <w:t>Vacation/Holidays:</w:t>
      </w:r>
    </w:p>
    <w:p>
      <w:pPr>
        <w:pStyle w:val="TextBody"/>
        <w:bidi w:val="0"/>
        <w:spacing w:lineRule="auto" w:line="321" w:before="120" w:after="283"/>
        <w:ind w:left="0" w:right="0" w:hanging="1"/>
        <w:jc w:val="left"/>
        <w:rPr>
          <w:rFonts w:ascii="Arial;sans-serif" w:hAnsi="Arial;sans-serif"/>
          <w:b w:val="false"/>
          <w:color w:val="0F0F0F"/>
          <w:sz w:val="23"/>
        </w:rPr>
      </w:pPr>
      <w:r>
        <w:rPr>
          <w:rFonts w:ascii="Arial;sans-serif" w:hAnsi="Arial;sans-serif"/>
          <w:b w:val="false"/>
          <w:color w:val="0F0F0F"/>
          <w:sz w:val="23"/>
        </w:rPr>
        <w:t>Under the Company's vacation policy, you are entitled to receive paid vacation days and holidays. Eligible vacation is based on grade level or years of The Company service, whichever provides the greater benefit. A detailed breakdown of the vacation benefit can be found in the 'Benefits Summary' document.</w:t>
      </w:r>
    </w:p>
    <w:p>
      <w:pPr>
        <w:pStyle w:val="TextBody"/>
        <w:bidi w:val="0"/>
        <w:spacing w:lineRule="auto" w:line="321" w:before="3" w:after="283"/>
        <w:ind w:left="0" w:right="0" w:hanging="2"/>
        <w:jc w:val="left"/>
        <w:rPr>
          <w:rFonts w:ascii="Arial;sans-serif" w:hAnsi="Arial;sans-serif"/>
          <w:b w:val="false"/>
          <w:color w:val="0F0F0F"/>
          <w:sz w:val="23"/>
        </w:rPr>
      </w:pPr>
      <w:r>
        <w:rPr>
          <w:rFonts w:ascii="Arial;sans-serif" w:hAnsi="Arial;sans-serif"/>
          <w:b w:val="false"/>
          <w:color w:val="0F0F0F"/>
          <w:sz w:val="23"/>
        </w:rPr>
        <w:t>The Company also provides six (6) Floating Holidays, which can be used at any time during the year while recognizing customer and business needs. In the first year of hire, the number of available floating holidays is prorated.</w:t>
      </w:r>
    </w:p>
    <w:p>
      <w:pPr>
        <w:pStyle w:val="TextBody"/>
        <w:bidi w:val="0"/>
        <w:spacing w:lineRule="auto" w:line="288" w:before="3" w:after="283"/>
        <w:jc w:val="left"/>
        <w:rPr>
          <w:rFonts w:ascii="Arial;sans-serif" w:hAnsi="Arial;sans-serif"/>
          <w:b w:val="false"/>
          <w:color w:val="0F0F0F"/>
          <w:sz w:val="23"/>
        </w:rPr>
      </w:pPr>
      <w:r>
        <w:rPr>
          <w:rFonts w:ascii="Arial;sans-serif" w:hAnsi="Arial;sans-serif"/>
          <w:b w:val="false"/>
          <w:color w:val="0F0F0F"/>
          <w:sz w:val="23"/>
        </w:rPr>
        <w:t>Additionally, The Company recognizes the following as paid holidays:</w:t>
      </w:r>
    </w:p>
    <w:p>
      <w:pPr>
        <w:pStyle w:val="TextBody"/>
        <w:bidi w:val="0"/>
        <w:spacing w:lineRule="auto" w:line="321" w:before="67" w:after="283"/>
        <w:ind w:left="0" w:right="0" w:firstLine="7"/>
        <w:jc w:val="left"/>
        <w:rPr>
          <w:rFonts w:ascii="Arial;sans-serif" w:hAnsi="Arial;sans-serif"/>
          <w:b w:val="false"/>
          <w:color w:val="0F0F0F"/>
          <w:sz w:val="23"/>
        </w:rPr>
      </w:pPr>
      <w:r>
        <w:rPr>
          <w:rFonts w:ascii="Arial;sans-serif" w:hAnsi="Arial;sans-serif"/>
          <w:b w:val="false"/>
          <w:color w:val="0F0F0F"/>
          <w:sz w:val="23"/>
        </w:rPr>
        <w:t>New Year's Day, Martin Luther King Day, Memorial Day, Independence Day, Labor Day, Thanksgiving Day, and Christmas Day.</w:t>
      </w:r>
    </w:p>
    <w:p>
      <w:pPr>
        <w:pStyle w:val="TextBody"/>
        <w:bidi w:val="0"/>
        <w:spacing w:before="40" w:after="283"/>
        <w:jc w:val="left"/>
        <w:rPr/>
      </w:pPr>
      <w:r>
        <w:rPr/>
      </w:r>
    </w:p>
    <w:p>
      <w:pPr>
        <w:pStyle w:val="TextBody"/>
        <w:bidi w:val="0"/>
        <w:spacing w:lineRule="auto" w:line="288" w:before="0" w:after="0"/>
        <w:jc w:val="left"/>
        <w:rPr>
          <w:rFonts w:ascii="Arial;sans-serif" w:hAnsi="Arial;sans-serif"/>
          <w:b/>
          <w:color w:val="0F0F0F"/>
          <w:sz w:val="23"/>
        </w:rPr>
      </w:pPr>
      <w:r>
        <w:rPr>
          <w:rFonts w:ascii="Arial;sans-serif" w:hAnsi="Arial;sans-serif"/>
          <w:b/>
          <w:color w:val="0F0F0F"/>
          <w:sz w:val="23"/>
        </w:rPr>
        <w:t>Executive Severance Benefits:</w:t>
      </w:r>
    </w:p>
    <w:p>
      <w:pPr>
        <w:pStyle w:val="TextBody"/>
        <w:bidi w:val="0"/>
        <w:spacing w:lineRule="auto" w:line="350" w:before="125" w:after="283"/>
        <w:ind w:left="0" w:right="0" w:firstLine="7"/>
        <w:jc w:val="left"/>
        <w:rPr>
          <w:rFonts w:ascii="Arial;sans-serif" w:hAnsi="Arial;sans-serif"/>
          <w:b w:val="false"/>
          <w:color w:val="0F0F0F"/>
          <w:sz w:val="23"/>
        </w:rPr>
      </w:pPr>
      <w:r>
        <w:rPr>
          <w:rFonts w:ascii="Arial;sans-serif" w:hAnsi="Arial;sans-serif"/>
          <w:b w:val="false"/>
          <w:color w:val="0F0F0F"/>
          <w:sz w:val="23"/>
        </w:rPr>
        <w:t>You will participate in and be subject to the terms of NCR Executive Severance Plan and its Change-in-Control Severance Plan. You are accorded under the Change-in-Control Plan a ''Tier II" benefit plan upon joining NCR. For purposes of the Executive Severance Plan, "Cash Severance" shall equal the sum of 1.0 times your base salary plus your then-current MIP target bonus. To receive any severance benefits, you are required to execute NCR standard form of general release of all claims in a form reasonably acceptable to NCR, as set out in the plans. Each plan is subject to amendment or termination by the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71"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7" w:after="283"/>
        <w:jc w:val="left"/>
        <w:rPr/>
      </w:pPr>
      <w:r>
        <w:rPr/>
      </w:r>
    </w:p>
    <w:p>
      <w:pPr>
        <w:pStyle w:val="TextBody"/>
        <w:bidi w:val="0"/>
        <w:spacing w:lineRule="auto" w:line="288" w:before="0" w:after="0"/>
        <w:jc w:val="left"/>
        <w:rPr>
          <w:rFonts w:ascii="Arial;sans-serif" w:hAnsi="Arial;sans-serif"/>
          <w:b/>
          <w:color w:val="0F0F0F"/>
          <w:sz w:val="23"/>
        </w:rPr>
      </w:pPr>
      <w:r>
        <w:rPr>
          <w:rFonts w:ascii="Arial;sans-serif" w:hAnsi="Arial;sans-serif"/>
          <w:b/>
          <w:color w:val="0F0F0F"/>
          <w:sz w:val="23"/>
        </w:rPr>
        <w:t>Benefits:</w:t>
      </w:r>
    </w:p>
    <w:p>
      <w:pPr>
        <w:pStyle w:val="TextBody"/>
        <w:bidi w:val="0"/>
        <w:spacing w:lineRule="auto" w:line="324" w:before="125" w:after="283"/>
        <w:ind w:left="0" w:right="0" w:hanging="3"/>
        <w:jc w:val="left"/>
        <w:rPr>
          <w:rFonts w:ascii="Arial;sans-serif" w:hAnsi="Arial;sans-serif"/>
          <w:b w:val="false"/>
          <w:color w:val="0F0F0F"/>
          <w:sz w:val="23"/>
        </w:rPr>
      </w:pPr>
      <w:r>
        <w:rPr>
          <w:rFonts w:ascii="Arial;sans-serif" w:hAnsi="Arial;sans-serif"/>
          <w:b w:val="false"/>
          <w:color w:val="0F0F0F"/>
          <w:sz w:val="23"/>
        </w:rPr>
        <w:t>You are eligible for benefits to be effective on the first day of employment with the Company. You have 31 days from your date of hire to enroll for health insurance (medical, dental and vision benefits) as well as other disability and life insurance plans. If you do not enroll for coverage within the first 31 days of your employment, you will be defaulted into Core Benefits for Basic Life Insurance, Core Short-Term and Long-Term Disability Insurance only. During this timeframe you will also have the opportunity to cover your eligible dependents retroactive to your first day of employment.</w:t>
      </w:r>
    </w:p>
    <w:p>
      <w:pPr>
        <w:pStyle w:val="TextBody"/>
        <w:bidi w:val="0"/>
        <w:spacing w:lineRule="auto" w:line="328" w:before="1" w:after="283"/>
        <w:ind w:left="0" w:right="0" w:hanging="10"/>
        <w:jc w:val="left"/>
        <w:rPr>
          <w:rFonts w:ascii="Arial;sans-serif" w:hAnsi="Arial;sans-serif"/>
          <w:b w:val="false"/>
          <w:color w:val="0F0F0F"/>
          <w:sz w:val="23"/>
        </w:rPr>
      </w:pPr>
      <w:r>
        <w:rPr>
          <w:rFonts w:ascii="Arial;sans-serif" w:hAnsi="Arial;sans-serif"/>
          <w:b w:val="false"/>
          <w:color w:val="0F0F0F"/>
          <w:sz w:val="23"/>
        </w:rPr>
        <w:t>If you are a rehire and were not fully vested in the company matching contributions when you separated and you are rehired within five years of your separation date, special rules apply.</w:t>
      </w:r>
    </w:p>
    <w:p>
      <w:pPr>
        <w:pStyle w:val="TextBody"/>
        <w:bidi w:val="0"/>
        <w:spacing w:lineRule="auto" w:line="321" w:before="0" w:after="0"/>
        <w:ind w:left="0" w:right="0" w:firstLine="3"/>
        <w:jc w:val="left"/>
        <w:rPr>
          <w:rFonts w:ascii="Arial;sans-serif" w:hAnsi="Arial;sans-serif"/>
          <w:b w:val="false"/>
          <w:color w:val="0F0F0F"/>
          <w:sz w:val="23"/>
        </w:rPr>
      </w:pPr>
      <w:r>
        <w:rPr>
          <w:rFonts w:ascii="Arial;sans-serif" w:hAnsi="Arial;sans-serif"/>
          <w:b w:val="false"/>
          <w:color w:val="0F0F0F"/>
          <w:sz w:val="23"/>
        </w:rPr>
        <w:t>A summary indicating to what you are entitled is provided in the 'Benefits Summary' Document.</w:t>
      </w:r>
    </w:p>
    <w:p>
      <w:pPr>
        <w:pStyle w:val="TextBody"/>
        <w:bidi w:val="0"/>
        <w:spacing w:before="64" w:after="283"/>
        <w:jc w:val="left"/>
        <w:rPr/>
      </w:pPr>
      <w:r>
        <w:rPr/>
      </w:r>
    </w:p>
    <w:p>
      <w:pPr>
        <w:pStyle w:val="TextBody"/>
        <w:bidi w:val="0"/>
        <w:spacing w:lineRule="auto" w:line="288" w:before="0" w:after="0"/>
        <w:jc w:val="left"/>
        <w:rPr>
          <w:rFonts w:ascii="Arial;sans-serif" w:hAnsi="Arial;sans-serif"/>
          <w:b/>
          <w:color w:val="0F0F0F"/>
          <w:sz w:val="23"/>
        </w:rPr>
      </w:pPr>
      <w:r>
        <w:rPr>
          <w:rFonts w:ascii="Arial;sans-serif" w:hAnsi="Arial;sans-serif"/>
          <w:b/>
          <w:color w:val="0F0F0F"/>
          <w:sz w:val="23"/>
        </w:rPr>
        <w:t>Employee Stock Purchase Plan:</w:t>
      </w:r>
    </w:p>
    <w:p>
      <w:pPr>
        <w:pStyle w:val="TextBody"/>
        <w:bidi w:val="0"/>
        <w:spacing w:lineRule="auto" w:line="321" w:before="116" w:after="283"/>
        <w:ind w:left="0" w:right="0" w:hanging="3"/>
        <w:jc w:val="left"/>
        <w:rPr>
          <w:rFonts w:ascii="Arial;sans-serif" w:hAnsi="Arial;sans-serif"/>
          <w:b w:val="false"/>
          <w:color w:val="0F0F0F"/>
          <w:sz w:val="23"/>
        </w:rPr>
      </w:pPr>
      <w:r>
        <w:rPr>
          <w:rFonts w:ascii="Arial;sans-serif" w:hAnsi="Arial;sans-serif"/>
          <w:b w:val="false"/>
          <w:color w:val="0F0F0F"/>
          <w:sz w:val="23"/>
        </w:rPr>
        <w:t>The Employee Stock Purchase Plan gives all full-time employees the opportunity to become owners in the Company and enter into a long-term savings plan whilst participating in the growth of the company. Employees can put up to 10% of their gross pay up to US$25,000 per year into the Plan.</w:t>
      </w:r>
    </w:p>
    <w:p>
      <w:pPr>
        <w:pStyle w:val="TextBody"/>
        <w:bidi w:val="0"/>
        <w:spacing w:before="127" w:after="283"/>
        <w:jc w:val="left"/>
        <w:rPr/>
      </w:pPr>
      <w:r>
        <w:rPr/>
      </w:r>
    </w:p>
    <w:p>
      <w:pPr>
        <w:pStyle w:val="TextBody"/>
        <w:bidi w:val="0"/>
        <w:spacing w:lineRule="auto" w:line="288" w:before="1" w:after="283"/>
        <w:jc w:val="left"/>
        <w:rPr>
          <w:rFonts w:ascii="Arial;sans-serif" w:hAnsi="Arial;sans-serif"/>
          <w:b/>
          <w:color w:val="0F0F0F"/>
          <w:sz w:val="23"/>
        </w:rPr>
      </w:pPr>
      <w:r>
        <w:rPr>
          <w:rFonts w:ascii="Arial;sans-serif" w:hAnsi="Arial;sans-serif"/>
          <w:b/>
          <w:color w:val="0F0F0F"/>
          <w:sz w:val="23"/>
        </w:rPr>
        <w:t>Variations:</w:t>
      </w:r>
    </w:p>
    <w:p>
      <w:pPr>
        <w:pStyle w:val="TextBody"/>
        <w:bidi w:val="0"/>
        <w:spacing w:lineRule="auto" w:line="321" w:before="120" w:after="283"/>
        <w:ind w:left="0" w:right="0" w:hanging="7"/>
        <w:jc w:val="left"/>
        <w:rPr>
          <w:rFonts w:ascii="Arial;sans-serif" w:hAnsi="Arial;sans-serif"/>
          <w:b w:val="false"/>
          <w:color w:val="0F0F0F"/>
          <w:sz w:val="23"/>
        </w:rPr>
      </w:pPr>
      <w:r>
        <w:rPr>
          <w:rFonts w:ascii="Arial;sans-serif" w:hAnsi="Arial;sans-serif"/>
          <w:b w:val="false"/>
          <w:color w:val="0F0F0F"/>
          <w:sz w:val="23"/>
        </w:rPr>
        <w:t>The Company reserves the right to make reasonable changes to any of the terms of your employment. You will be notified in writing of any changes as soon as possible and in any event within one month of the change.</w:t>
      </w:r>
    </w:p>
    <w:p>
      <w:pPr>
        <w:pStyle w:val="TextBody"/>
        <w:bidi w:val="0"/>
        <w:spacing w:lineRule="auto" w:line="324" w:before="7" w:after="283"/>
        <w:ind w:left="0" w:right="0" w:hanging="12"/>
        <w:jc w:val="left"/>
        <w:rPr>
          <w:rFonts w:ascii="Arial;sans-serif" w:hAnsi="Arial;sans-serif"/>
          <w:b w:val="false"/>
          <w:color w:val="0F0F0F"/>
          <w:sz w:val="23"/>
        </w:rPr>
      </w:pPr>
      <w:r>
        <w:rPr>
          <w:rFonts w:ascii="Arial;sans-serif" w:hAnsi="Arial;sans-serif"/>
          <w:b w:val="false"/>
          <w:color w:val="0F0F0F"/>
          <w:sz w:val="23"/>
        </w:rPr>
        <w:t>This offer of employment is contingent upon your agreement to the conditions of employment outlined in this employment letter and Appendix A, and your successful passing of a background check.</w:t>
      </w:r>
    </w:p>
    <w:p>
      <w:pPr>
        <w:pStyle w:val="TextBody"/>
        <w:bidi w:val="0"/>
        <w:spacing w:lineRule="auto" w:line="324" w:before="0" w:after="0"/>
        <w:ind w:left="0" w:right="0" w:hanging="4"/>
        <w:jc w:val="left"/>
        <w:rPr>
          <w:rFonts w:ascii="Arial;sans-serif" w:hAnsi="Arial;sans-serif"/>
          <w:b w:val="false"/>
          <w:color w:val="0F0F0F"/>
          <w:sz w:val="23"/>
        </w:rPr>
      </w:pPr>
      <w:r>
        <w:rPr>
          <w:rFonts w:ascii="Arial;sans-serif" w:hAnsi="Arial;sans-serif"/>
          <w:b w:val="false"/>
          <w:color w:val="0F0F0F"/>
          <w:sz w:val="23"/>
        </w:rPr>
        <w:t>In addition, this offer is also contingent upon your agreement to certain restrictive covenants concerning non-competition, non-customer solicitation and non-recruitment/hiring. These covenants are set out in the Non-Competition Agreement included in your offer pack, which you must also sign.</w:t>
      </w:r>
    </w:p>
    <w:p>
      <w:pPr>
        <w:pStyle w:val="TextBody"/>
        <w:bidi w:val="0"/>
        <w:spacing w:lineRule="auto" w:line="321" w:before="1" w:after="283"/>
        <w:ind w:left="0" w:right="0" w:hanging="6"/>
        <w:jc w:val="left"/>
        <w:rPr>
          <w:rFonts w:ascii="Arial;sans-serif" w:hAnsi="Arial;sans-serif"/>
          <w:b w:val="false"/>
          <w:color w:val="0F0F0F"/>
          <w:sz w:val="23"/>
        </w:rPr>
      </w:pPr>
      <w:r>
        <w:rPr>
          <w:rFonts w:ascii="Arial;sans-serif" w:hAnsi="Arial;sans-serif"/>
          <w:b w:val="false"/>
          <w:color w:val="0F0F0F"/>
          <w:sz w:val="23"/>
        </w:rPr>
        <w:t>This letter supersedes and completely replaces any prior oral or written communication concerning the subject matters addressed in this letter. This letter is not an employment contract and should not be construed or interpreted as containing any guarantee of continued employment or employment for a specific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2" w:after="283"/>
        <w:jc w:val="left"/>
        <w:rPr/>
      </w:pPr>
      <w:r>
        <w:rPr/>
      </w:r>
    </w:p>
    <w:p>
      <w:pPr>
        <w:pStyle w:val="TextBody"/>
        <w:bidi w:val="0"/>
        <w:spacing w:lineRule="auto" w:line="324" w:before="0" w:after="0"/>
        <w:ind w:left="0" w:right="0" w:hanging="4"/>
        <w:jc w:val="left"/>
        <w:rPr>
          <w:rFonts w:ascii="Arial;sans-serif" w:hAnsi="Arial;sans-serif"/>
          <w:b w:val="false"/>
          <w:color w:val="111111"/>
          <w:sz w:val="23"/>
        </w:rPr>
      </w:pPr>
      <w:r>
        <w:rPr>
          <w:rFonts w:ascii="Arial;sans-serif" w:hAnsi="Arial;sans-serif"/>
          <w:b w:val="false"/>
          <w:color w:val="111111"/>
          <w:sz w:val="23"/>
        </w:rPr>
        <w:t>Please indicate your decision on this offer of employment by electronically signing all offer documentation within three days (3) days from the date of this offer. Please also save/print a copy of the offer documentation for your files.</w:t>
      </w:r>
    </w:p>
    <w:p>
      <w:pPr>
        <w:pStyle w:val="TextBody"/>
        <w:bidi w:val="0"/>
        <w:spacing w:lineRule="auto" w:line="324" w:before="4" w:after="283"/>
        <w:ind w:left="0" w:right="0" w:firstLine="2"/>
        <w:jc w:val="left"/>
        <w:rPr>
          <w:rFonts w:ascii="Arial;sans-serif" w:hAnsi="Arial;sans-serif"/>
          <w:b w:val="false"/>
          <w:color w:val="111111"/>
          <w:sz w:val="23"/>
        </w:rPr>
      </w:pPr>
      <w:r>
        <w:rPr>
          <w:rFonts w:ascii="Arial;sans-serif" w:hAnsi="Arial;sans-serif"/>
          <w:b w:val="false"/>
          <w:color w:val="111111"/>
          <w:sz w:val="23"/>
        </w:rPr>
        <w:t>Benny, I am excited about the contributions, experience and knowledge you can bring to the Company. We have assembled some of the best professionals in the industry and are convinced that your expertise will help us further enhance the Company's reputation.</w:t>
      </w:r>
    </w:p>
    <w:p>
      <w:pPr>
        <w:pStyle w:val="TextBody"/>
        <w:bidi w:val="0"/>
        <w:spacing w:before="124" w:after="283"/>
        <w:jc w:val="left"/>
        <w:rPr/>
      </w:pPr>
      <w:r>
        <w:rPr/>
      </w:r>
    </w:p>
    <w:p>
      <w:pPr>
        <w:pStyle w:val="TextBody"/>
        <w:bidi w:val="0"/>
        <w:spacing w:lineRule="auto" w:line="288" w:before="0" w:after="0"/>
        <w:jc w:val="left"/>
        <w:rPr>
          <w:rFonts w:ascii="Arial;sans-serif" w:hAnsi="Arial;sans-serif"/>
          <w:b w:val="false"/>
          <w:color w:val="111111"/>
          <w:sz w:val="23"/>
        </w:rPr>
      </w:pPr>
      <w:r>
        <w:rPr>
          <w:rFonts w:ascii="Arial;sans-serif" w:hAnsi="Arial;sans-serif"/>
          <w:b w:val="false"/>
          <w:color w:val="111111"/>
          <w:sz w:val="23"/>
        </w:rPr>
        <w:t>Sincerely,</w:t>
      </w:r>
    </w:p>
    <w:p>
      <w:pPr>
        <w:pStyle w:val="TextBody"/>
        <w:bidi w:val="0"/>
        <w:spacing w:before="109" w:after="283"/>
        <w:jc w:val="left"/>
        <w:rPr/>
      </w:pPr>
      <w:r>
        <w:rPr/>
      </w:r>
    </w:p>
    <w:p>
      <w:pPr>
        <w:pStyle w:val="TextBody"/>
        <w:bidi w:val="0"/>
        <w:spacing w:lineRule="auto" w:line="288" w:before="147" w:after="283"/>
        <w:jc w:val="left"/>
        <w:rPr>
          <w:rFonts w:ascii="Arial;sans-serif" w:hAnsi="Arial;sans-serif"/>
          <w:b w:val="false"/>
          <w:color w:val="111111"/>
          <w:sz w:val="23"/>
          <w:u w:val="single"/>
        </w:rPr>
      </w:pPr>
      <w:r>
        <w:rPr>
          <w:rFonts w:ascii="Arial;sans-serif" w:hAnsi="Arial;sans-serif"/>
          <w:b w:val="false"/>
          <w:color w:val="111111"/>
          <w:sz w:val="23"/>
          <w:u w:val="single"/>
        </w:rPr>
        <w:t xml:space="preserve">/s/ David Wilkison </w:t>
      </w:r>
    </w:p>
    <w:p>
      <w:pPr>
        <w:pStyle w:val="TextBody"/>
        <w:bidi w:val="0"/>
        <w:spacing w:lineRule="auto" w:line="288" w:before="147" w:after="283"/>
        <w:jc w:val="left"/>
        <w:rPr>
          <w:rFonts w:ascii="Arial;sans-serif" w:hAnsi="Arial;sans-serif"/>
          <w:b w:val="false"/>
          <w:color w:val="111111"/>
          <w:sz w:val="23"/>
        </w:rPr>
      </w:pPr>
      <w:r>
        <w:rPr>
          <w:rFonts w:ascii="Arial;sans-serif" w:hAnsi="Arial;sans-serif"/>
          <w:b w:val="false"/>
          <w:color w:val="111111"/>
          <w:sz w:val="23"/>
        </w:rPr>
        <w:t>David Wilkinson</w:t>
      </w:r>
    </w:p>
    <w:p>
      <w:pPr>
        <w:pStyle w:val="TextBody"/>
        <w:bidi w:val="0"/>
        <w:spacing w:lineRule="auto" w:line="288" w:before="43" w:after="283"/>
        <w:jc w:val="left"/>
        <w:rPr>
          <w:rFonts w:ascii="Arial;sans-serif" w:hAnsi="Arial;sans-serif"/>
          <w:b w:val="false"/>
          <w:color w:val="111111"/>
          <w:sz w:val="23"/>
        </w:rPr>
      </w:pPr>
      <w:r>
        <w:rPr>
          <w:rFonts w:ascii="Arial;sans-serif" w:hAnsi="Arial;sans-serif"/>
          <w:b w:val="false"/>
          <w:color w:val="111111"/>
          <w:sz w:val="23"/>
        </w:rPr>
        <w:t>Chief Executive Officer, NCR Voyix</w:t>
      </w:r>
    </w:p>
    <w:p>
      <w:pPr>
        <w:pStyle w:val="TextBody"/>
        <w:bidi w:val="0"/>
        <w:spacing w:before="159" w:after="283"/>
        <w:jc w:val="left"/>
        <w:rPr/>
      </w:pPr>
      <w:r>
        <w:rPr/>
      </w:r>
    </w:p>
    <w:p>
      <w:pPr>
        <w:pStyle w:val="TextBody"/>
        <w:bidi w:val="0"/>
        <w:spacing w:lineRule="auto" w:line="288" w:before="0" w:after="0"/>
        <w:jc w:val="left"/>
        <w:rPr>
          <w:rFonts w:ascii="Arial;sans-serif" w:hAnsi="Arial;sans-serif"/>
          <w:b w:val="false"/>
          <w:color w:val="111111"/>
          <w:sz w:val="23"/>
          <w:u w:val="single"/>
        </w:rPr>
      </w:pPr>
      <w:r>
        <w:rPr>
          <w:rFonts w:ascii="Arial;sans-serif" w:hAnsi="Arial;sans-serif"/>
          <w:b w:val="false"/>
          <w:color w:val="111111"/>
          <w:sz w:val="23"/>
          <w:u w:val="single"/>
        </w:rPr>
        <w:t>Accepting this Offer of Employment:</w:t>
      </w:r>
    </w:p>
    <w:p>
      <w:pPr>
        <w:pStyle w:val="TextBody"/>
        <w:bidi w:val="0"/>
        <w:spacing w:before="18" w:after="283"/>
        <w:jc w:val="left"/>
        <w:rPr/>
      </w:pPr>
      <w:r>
        <w:rPr/>
      </w:r>
    </w:p>
    <w:p>
      <w:pPr>
        <w:pStyle w:val="TextBody"/>
        <w:bidi w:val="0"/>
        <w:spacing w:lineRule="auto" w:line="321" w:before="1" w:after="283"/>
        <w:ind w:left="0" w:right="0" w:firstLine="6"/>
        <w:jc w:val="left"/>
        <w:rPr>
          <w:rFonts w:ascii="Arial;sans-serif" w:hAnsi="Arial;sans-serif"/>
          <w:b w:val="false"/>
          <w:color w:val="111111"/>
          <w:sz w:val="23"/>
        </w:rPr>
      </w:pPr>
      <w:r>
        <w:rPr>
          <w:rFonts w:ascii="Arial;sans-serif" w:hAnsi="Arial;sans-serif"/>
          <w:b w:val="false"/>
          <w:color w:val="111111"/>
          <w:sz w:val="23"/>
        </w:rPr>
        <w:t>By accepting and signing the Company's offer of employment you certify to the Company that you are not subject to a non-competition agreement with any company or to any other post-employment restrictive covenants that would preclude or restrict you from performing the Company position being offered in this letter. We also advise you of the Company's strong policy of respecting the intellectual property rights of other companies. You should not bring with you to your position any documents or materials designated as confidential, proprietary or trade secret by another company, nor in any other way disclose trade secret information while employed by the Company.</w:t>
      </w:r>
    </w:p>
    <w:p>
      <w:pPr>
        <w:pStyle w:val="TextBody"/>
        <w:bidi w:val="0"/>
        <w:spacing w:before="126" w:after="283"/>
        <w:jc w:val="left"/>
        <w:rPr/>
      </w:pPr>
      <w:r>
        <w:rPr/>
      </w:r>
    </w:p>
    <w:p>
      <w:pPr>
        <w:pStyle w:val="TextBody"/>
        <w:bidi w:val="0"/>
        <w:spacing w:lineRule="auto" w:line="324" w:before="0" w:after="0"/>
        <w:ind w:left="0" w:right="0" w:hanging="2"/>
        <w:jc w:val="left"/>
        <w:rPr>
          <w:rFonts w:ascii="Arial;sans-serif" w:hAnsi="Arial;sans-serif"/>
          <w:b w:val="false"/>
          <w:color w:val="111111"/>
          <w:sz w:val="23"/>
        </w:rPr>
      </w:pPr>
      <w:r>
        <w:rPr>
          <w:rFonts w:ascii="Arial;sans-serif" w:hAnsi="Arial;sans-serif"/>
          <w:b w:val="false"/>
          <w:color w:val="111111"/>
          <w:sz w:val="23"/>
        </w:rPr>
        <w:t>You further acknowledge that this employment letter and Appendix A reflect the general description of the terms and conditions of your employment with the Company and is not a contract of employment for any definite duration of time. The employment relationship with the Company is by mutual consent ("Employment at Will"). This means either you or the Company have the right to discontinue the employment relationship with or without cause at any time and for any reason.</w:t>
      </w:r>
    </w:p>
    <w:p>
      <w:pPr>
        <w:pStyle w:val="TextBody"/>
        <w:bidi w:val="0"/>
        <w:spacing w:before="118" w:after="283"/>
        <w:jc w:val="left"/>
        <w:rPr/>
      </w:pPr>
      <w:r>
        <w:rPr/>
      </w:r>
    </w:p>
    <w:p>
      <w:pPr>
        <w:pStyle w:val="TextBody"/>
        <w:bidi w:val="0"/>
        <w:spacing w:lineRule="auto" w:line="328" w:before="0" w:after="0"/>
        <w:ind w:left="0" w:right="0" w:hanging="4"/>
        <w:jc w:val="left"/>
        <w:rPr>
          <w:rFonts w:ascii="Arial;sans-serif" w:hAnsi="Arial;sans-serif"/>
          <w:b w:val="false"/>
          <w:color w:val="111111"/>
          <w:sz w:val="23"/>
        </w:rPr>
      </w:pPr>
      <w:r>
        <w:rPr>
          <w:rFonts w:ascii="Arial;sans-serif" w:hAnsi="Arial;sans-serif"/>
          <w:b w:val="false"/>
          <w:color w:val="111111"/>
          <w:sz w:val="23"/>
        </w:rPr>
        <w:t>I have read the foregoing information relative to the Company's conditions of employment and understand that my employment offer is conditioned upon their satisfaction.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93" w:after="283"/>
        <w:jc w:val="left"/>
        <w:rPr>
          <w:rFonts w:ascii="Arial;sans-serif" w:hAnsi="Arial;sans-serif"/>
          <w:b/>
          <w:color w:val="131313"/>
          <w:sz w:val="23"/>
        </w:rPr>
      </w:pPr>
      <w:r>
        <w:rPr>
          <w:rFonts w:ascii="Arial;sans-serif" w:hAnsi="Arial;sans-serif"/>
          <w:b/>
          <w:color w:val="131313"/>
          <w:sz w:val="23"/>
        </w:rPr>
        <w:t>Acknowledged and Agreed</w:t>
      </w:r>
    </w:p>
    <w:p>
      <w:pPr>
        <w:pStyle w:val="TextBody"/>
        <w:bidi w:val="0"/>
        <w:spacing w:before="93" w:after="283"/>
        <w:jc w:val="left"/>
        <w:rPr/>
      </w:pPr>
      <w:r>
        <w:rPr/>
      </w:r>
    </w:p>
    <w:p>
      <w:pPr>
        <w:pStyle w:val="TextBody"/>
        <w:bidi w:val="0"/>
        <w:spacing w:lineRule="auto" w:line="288" w:before="93" w:after="283"/>
        <w:jc w:val="left"/>
        <w:rPr>
          <w:rFonts w:ascii="Arial;sans-serif" w:hAnsi="Arial;sans-serif"/>
          <w:b w:val="false"/>
          <w:color w:val="131313"/>
          <w:sz w:val="23"/>
        </w:rPr>
      </w:pPr>
      <w:r>
        <w:rPr>
          <w:rFonts w:ascii="Arial;sans-serif" w:hAnsi="Arial;sans-serif"/>
          <w:b w:val="false"/>
          <w:color w:val="131313"/>
          <w:sz w:val="23"/>
        </w:rPr>
        <w:t>Beimnet Tadele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0" w:after="283"/>
        <w:jc w:val="left"/>
        <w:rPr/>
      </w:pPr>
      <w:r>
        <w:rPr/>
      </w:r>
    </w:p>
    <w:p>
      <w:pPr>
        <w:pStyle w:val="TextBody"/>
        <w:bidi w:val="0"/>
        <w:spacing w:before="0" w:after="0"/>
        <w:jc w:val="left"/>
        <w:rPr/>
      </w:pPr>
      <w:r>
        <w:rPr/>
      </w:r>
    </w:p>
    <w:p>
      <w:pPr>
        <w:pStyle w:val="TextBody"/>
        <w:bidi w:val="0"/>
        <w:spacing w:lineRule="auto" w:line="288" w:before="147" w:after="283"/>
        <w:jc w:val="left"/>
        <w:rPr/>
      </w:pPr>
      <w:r>
        <w:rPr>
          <w:rFonts w:ascii="Arial;sans-serif" w:hAnsi="Arial;sans-serif"/>
          <w:b w:val="false"/>
          <w:color w:val="111111"/>
          <w:sz w:val="23"/>
          <w:u w:val="single"/>
        </w:rPr>
        <w:t>/s/ Beimnet Tadele</w:t>
      </w:r>
      <w:r>
        <w:rPr>
          <w:color w:val="111111"/>
        </w:rPr>
        <w:t>                </w:t>
      </w:r>
      <w:r>
        <w:rPr>
          <w:rFonts w:ascii="Arial;sans-serif" w:hAnsi="Arial;sans-serif"/>
          <w:b w:val="false"/>
          <w:color w:val="111111"/>
          <w:sz w:val="23"/>
        </w:rPr>
        <w:t>Date: December 8, 2023</w:t>
      </w:r>
    </w:p>
    <w:p>
      <w:pPr>
        <w:pStyle w:val="TextBody"/>
        <w:bidi w:val="0"/>
        <w:spacing w:before="0" w:after="0"/>
        <w:jc w:val="left"/>
        <w:rPr/>
      </w:pPr>
      <w:r>
        <w:rPr/>
      </w:r>
    </w:p>
    <w:p>
      <w:pPr>
        <w:pStyle w:val="TextBody"/>
        <w:bidi w:val="0"/>
        <w:spacing w:before="239" w:after="283"/>
        <w:jc w:val="left"/>
        <w:rPr/>
      </w:pPr>
      <w:r>
        <w:rPr/>
      </w:r>
    </w:p>
    <w:p>
      <w:pPr>
        <w:pStyle w:val="TextBody"/>
        <w:bidi w:val="0"/>
        <w:spacing w:lineRule="auto" w:line="288" w:before="0" w:after="0"/>
        <w:jc w:val="left"/>
        <w:rPr>
          <w:rFonts w:ascii="Arial;sans-serif" w:hAnsi="Arial;sans-serif"/>
          <w:b/>
          <w:color w:val="131313"/>
          <w:sz w:val="23"/>
        </w:rPr>
      </w:pPr>
      <w:r>
        <w:rPr>
          <w:rFonts w:ascii="Arial;sans-serif" w:hAnsi="Arial;sans-serif"/>
          <w:b/>
          <w:color w:val="131313"/>
          <w:sz w:val="23"/>
        </w:rPr>
        <w:t>Appendix A</w:t>
      </w:r>
    </w:p>
    <w:p>
      <w:pPr>
        <w:pStyle w:val="TextBody"/>
        <w:bidi w:val="0"/>
        <w:spacing w:before="29" w:after="283"/>
        <w:jc w:val="left"/>
        <w:rPr/>
      </w:pPr>
      <w:r>
        <w:rPr/>
      </w:r>
    </w:p>
    <w:p>
      <w:pPr>
        <w:pStyle w:val="TextBody"/>
        <w:bidi w:val="0"/>
        <w:spacing w:lineRule="auto" w:line="288" w:before="0" w:after="0"/>
        <w:jc w:val="left"/>
        <w:rPr>
          <w:rFonts w:ascii="Arial;sans-serif" w:hAnsi="Arial;sans-serif"/>
          <w:b w:val="false"/>
          <w:color w:val="131313"/>
          <w:sz w:val="23"/>
        </w:rPr>
      </w:pPr>
      <w:r>
        <w:rPr>
          <w:rFonts w:ascii="Arial;sans-serif" w:hAnsi="Arial;sans-serif"/>
          <w:b w:val="false"/>
          <w:color w:val="131313"/>
          <w:sz w:val="23"/>
        </w:rPr>
        <w:t>Conditions of Employment</w:t>
      </w:r>
    </w:p>
    <w:p>
      <w:pPr>
        <w:pStyle w:val="TextBody"/>
        <w:bidi w:val="0"/>
        <w:spacing w:before="239" w:after="283"/>
        <w:jc w:val="left"/>
        <w:rPr/>
      </w:pPr>
      <w:r>
        <w:rPr/>
      </w:r>
    </w:p>
    <w:p>
      <w:pPr>
        <w:pStyle w:val="TextBody"/>
        <w:bidi w:val="0"/>
        <w:spacing w:lineRule="auto" w:line="321" w:before="1" w:after="283"/>
        <w:ind w:left="0" w:right="0" w:hanging="2"/>
        <w:jc w:val="left"/>
        <w:rPr>
          <w:rFonts w:ascii="Arial;sans-serif" w:hAnsi="Arial;sans-serif"/>
          <w:b w:val="false"/>
          <w:color w:val="131313"/>
          <w:sz w:val="23"/>
        </w:rPr>
      </w:pPr>
      <w:r>
        <w:rPr>
          <w:rFonts w:ascii="Arial;sans-serif" w:hAnsi="Arial;sans-serif"/>
          <w:b w:val="false"/>
          <w:color w:val="131313"/>
          <w:sz w:val="23"/>
        </w:rPr>
        <w:t>The Company requires employment candidates to successfully complete various employment documentation and processes. You assume any and all risks associated with terminating any prior or current employment and making any financial or personal commitments based upon the Company's conditional offer.</w:t>
      </w:r>
    </w:p>
    <w:p>
      <w:pPr>
        <w:pStyle w:val="TextBody"/>
        <w:bidi w:val="0"/>
        <w:spacing w:lineRule="atLeast" w:line="692" w:before="45" w:after="283"/>
        <w:ind w:left="0" w:right="0" w:hanging="8"/>
        <w:jc w:val="left"/>
        <w:rPr>
          <w:rFonts w:ascii="Arial;sans-serif" w:hAnsi="Arial;sans-serif"/>
          <w:b w:val="false"/>
          <w:color w:val="131313"/>
          <w:sz w:val="23"/>
        </w:rPr>
      </w:pPr>
      <w:r>
        <w:rPr>
          <w:rFonts w:ascii="Arial;sans-serif" w:hAnsi="Arial;sans-serif"/>
          <w:b w:val="false"/>
          <w:color w:val="131313"/>
          <w:sz w:val="23"/>
        </w:rPr>
        <w:t>This offer of employment is conditioned upon your satisfying and agreeing to the following: Background Check Verification</w:t>
      </w:r>
    </w:p>
    <w:p>
      <w:pPr>
        <w:pStyle w:val="TextBody"/>
        <w:bidi w:val="0"/>
        <w:spacing w:lineRule="auto" w:line="324" w:before="30" w:after="283"/>
        <w:ind w:left="0" w:right="0" w:hanging="2"/>
        <w:jc w:val="left"/>
        <w:rPr>
          <w:rFonts w:ascii="Arial;sans-serif" w:hAnsi="Arial;sans-serif"/>
          <w:b w:val="false"/>
          <w:color w:val="131313"/>
          <w:sz w:val="23"/>
        </w:rPr>
      </w:pPr>
      <w:r>
        <w:rPr>
          <w:rFonts w:ascii="Arial;sans-serif" w:hAnsi="Arial;sans-serif"/>
          <w:b w:val="false"/>
          <w:color w:val="131313"/>
          <w:sz w:val="23"/>
        </w:rPr>
        <w:t>This offer of employment is conditioned upon the completion of a full background check and our satisfaction with the results, in accordance with local privacy laws. The Company, at its discretion may, on its own or through an outside agency, conduct a background check of all the information and documents submitted by you. You expressly consent to such a background check and also agree that if the Company, as a result of such a background check, finds any discrepancy or misrepresentation, then your offer may be rescinded or your employment may be terminated immediately.</w:t>
      </w:r>
    </w:p>
    <w:p>
      <w:pPr>
        <w:pStyle w:val="TextBody"/>
        <w:bidi w:val="0"/>
        <w:spacing w:before="121" w:after="283"/>
        <w:jc w:val="left"/>
        <w:rPr/>
      </w:pPr>
      <w:r>
        <w:rPr/>
      </w:r>
    </w:p>
    <w:p>
      <w:pPr>
        <w:pStyle w:val="TextBody"/>
        <w:bidi w:val="0"/>
        <w:spacing w:lineRule="auto" w:line="324" w:before="0" w:after="0"/>
        <w:ind w:left="0" w:right="0" w:firstLine="2"/>
        <w:jc w:val="left"/>
        <w:rPr>
          <w:rFonts w:ascii="Arial;sans-serif" w:hAnsi="Arial;sans-serif"/>
          <w:b w:val="false"/>
          <w:color w:val="131313"/>
          <w:sz w:val="23"/>
        </w:rPr>
      </w:pPr>
      <w:r>
        <w:rPr>
          <w:rFonts w:ascii="Arial;sans-serif" w:hAnsi="Arial;sans-serif"/>
          <w:b w:val="false"/>
          <w:color w:val="131313"/>
          <w:sz w:val="23"/>
        </w:rPr>
        <w:t>You understand and agree that, if required, the Company may provide its customers with verification that you have passed certain background check requirements before you will be permitted to service those accounts.</w:t>
      </w:r>
    </w:p>
    <w:p>
      <w:pPr>
        <w:pStyle w:val="TextBody"/>
        <w:bidi w:val="0"/>
        <w:spacing w:before="119" w:after="283"/>
        <w:jc w:val="left"/>
        <w:rPr/>
      </w:pPr>
      <w:r>
        <w:rPr/>
      </w:r>
    </w:p>
    <w:p>
      <w:pPr>
        <w:pStyle w:val="TextBody"/>
        <w:bidi w:val="0"/>
        <w:spacing w:lineRule="auto" w:line="321" w:before="0" w:after="0"/>
        <w:ind w:left="0" w:right="0" w:firstLine="3"/>
        <w:jc w:val="left"/>
        <w:rPr>
          <w:rFonts w:ascii="Arial;sans-serif" w:hAnsi="Arial;sans-serif"/>
          <w:b w:val="false"/>
          <w:color w:val="131313"/>
          <w:sz w:val="23"/>
        </w:rPr>
      </w:pPr>
      <w:r>
        <w:rPr>
          <w:rFonts w:ascii="Arial;sans-serif" w:hAnsi="Arial;sans-serif"/>
          <w:b w:val="false"/>
          <w:color w:val="131313"/>
          <w:sz w:val="23"/>
        </w:rPr>
        <w:t>You also understand that if the Company hires you or contracts for your services, your consent will apply, and the Company may, as allowed by law, obtain additional background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66"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9" w:after="283"/>
        <w:jc w:val="left"/>
        <w:rPr/>
      </w:pPr>
      <w:r>
        <w:rPr/>
      </w:r>
    </w:p>
    <w:p>
      <w:pPr>
        <w:pStyle w:val="TextBody"/>
        <w:bidi w:val="0"/>
        <w:spacing w:lineRule="auto" w:line="352" w:before="1" w:after="283"/>
        <w:ind w:left="0" w:right="0" w:firstLine="1"/>
        <w:jc w:val="left"/>
        <w:rPr>
          <w:rFonts w:ascii="Arial;sans-serif" w:hAnsi="Arial;sans-serif"/>
          <w:b w:val="false"/>
          <w:color w:val="111111"/>
          <w:sz w:val="23"/>
        </w:rPr>
      </w:pPr>
      <w:r>
        <w:rPr>
          <w:rFonts w:ascii="Arial;sans-serif" w:hAnsi="Arial;sans-serif"/>
          <w:b w:val="false"/>
          <w:color w:val="111111"/>
          <w:sz w:val="23"/>
        </w:rPr>
        <w:t>employment, you are verifying the receipt of this document and your agreement and willingness to abide with the contents of the Mutual Agreement to Arbitrate Agreement.</w:t>
      </w:r>
    </w:p>
    <w:p>
      <w:pPr>
        <w:pStyle w:val="TextBody"/>
        <w:bidi w:val="0"/>
        <w:spacing w:before="120" w:after="283"/>
        <w:jc w:val="left"/>
        <w:rPr/>
      </w:pPr>
      <w:r>
        <w:rPr/>
      </w:r>
    </w:p>
    <w:p>
      <w:pPr>
        <w:pStyle w:val="TextBody"/>
        <w:bidi w:val="0"/>
        <w:spacing w:lineRule="auto" w:line="288" w:before="1" w:after="283"/>
        <w:jc w:val="left"/>
        <w:rPr>
          <w:rFonts w:ascii="Arial;sans-serif" w:hAnsi="Arial;sans-serif"/>
          <w:b/>
          <w:color w:val="111111"/>
          <w:sz w:val="23"/>
        </w:rPr>
      </w:pPr>
      <w:r>
        <w:rPr>
          <w:rFonts w:ascii="Arial;sans-serif" w:hAnsi="Arial;sans-serif"/>
          <w:b/>
          <w:color w:val="111111"/>
          <w:sz w:val="23"/>
        </w:rPr>
        <w:t>Employment Agreement</w:t>
      </w:r>
    </w:p>
    <w:p>
      <w:pPr>
        <w:pStyle w:val="TextBody"/>
        <w:bidi w:val="0"/>
        <w:spacing w:lineRule="auto" w:line="324" w:before="120" w:after="283"/>
        <w:ind w:left="0" w:right="0" w:firstLine="4"/>
        <w:jc w:val="left"/>
        <w:rPr>
          <w:rFonts w:ascii="Arial;sans-serif" w:hAnsi="Arial;sans-serif"/>
          <w:b w:val="false"/>
          <w:color w:val="111111"/>
          <w:sz w:val="23"/>
        </w:rPr>
      </w:pPr>
      <w:r>
        <w:rPr>
          <w:rFonts w:ascii="Arial;sans-serif" w:hAnsi="Arial;sans-serif"/>
          <w:b w:val="false"/>
          <w:color w:val="111111"/>
          <w:sz w:val="23"/>
        </w:rPr>
        <w:t>As a condition of employment, you must read, understand and agree to the enclosed document: [DOCUMENT NAME]. By signing this acceptance of employment, you are verifying the receipt of this document and your agreement and willingness to abide with the contents of the Company's Terms and Conditions of Employment.</w:t>
      </w:r>
    </w:p>
    <w:p>
      <w:pPr>
        <w:pStyle w:val="TextBody"/>
        <w:bidi w:val="0"/>
        <w:spacing w:before="122" w:after="283"/>
        <w:jc w:val="left"/>
        <w:rPr/>
      </w:pPr>
      <w:r>
        <w:rPr/>
      </w:r>
    </w:p>
    <w:p>
      <w:pPr>
        <w:pStyle w:val="TextBody"/>
        <w:bidi w:val="0"/>
        <w:spacing w:lineRule="auto" w:line="288" w:before="0" w:after="0"/>
        <w:jc w:val="left"/>
        <w:rPr>
          <w:rFonts w:ascii="Arial;sans-serif" w:hAnsi="Arial;sans-serif"/>
          <w:b/>
          <w:color w:val="111111"/>
          <w:sz w:val="23"/>
        </w:rPr>
      </w:pPr>
      <w:r>
        <w:rPr>
          <w:rFonts w:ascii="Arial;sans-serif" w:hAnsi="Arial;sans-serif"/>
          <w:b/>
          <w:color w:val="111111"/>
          <w:sz w:val="23"/>
        </w:rPr>
        <w:t>Security Awareness</w:t>
      </w:r>
    </w:p>
    <w:p>
      <w:pPr>
        <w:pStyle w:val="TextBody"/>
        <w:bidi w:val="0"/>
        <w:spacing w:lineRule="auto" w:line="321" w:before="120" w:after="283"/>
        <w:ind w:left="0" w:right="0" w:hanging="4"/>
        <w:jc w:val="left"/>
        <w:rPr>
          <w:rFonts w:ascii="Arial;sans-serif" w:hAnsi="Arial;sans-serif"/>
          <w:b w:val="false"/>
          <w:color w:val="111111"/>
          <w:sz w:val="23"/>
        </w:rPr>
      </w:pPr>
      <w:r>
        <w:rPr>
          <w:rFonts w:ascii="Arial;sans-serif" w:hAnsi="Arial;sans-serif"/>
          <w:b w:val="false"/>
          <w:color w:val="111111"/>
          <w:sz w:val="23"/>
        </w:rPr>
        <w:t>It is crucial that NCR operates with the highest level of security to maintain its reputation in the marketplace and reduce any potential risk to the Company. As part of your orientation to the Company, all employees, including senior management, are required to complete NCR Security Awareness training. The training must be completed within 30 days of your start date. Directions for accessing the training will be provided via email after your start date.</w:t>
      </w:r>
    </w:p>
    <w:p>
      <w:pPr>
        <w:pStyle w:val="TextBody"/>
        <w:bidi w:val="0"/>
        <w:spacing w:before="119" w:after="283"/>
        <w:jc w:val="left"/>
        <w:rPr/>
      </w:pPr>
      <w:r>
        <w:rPr/>
      </w:r>
    </w:p>
    <w:p>
      <w:pPr>
        <w:pStyle w:val="TextBody"/>
        <w:bidi w:val="0"/>
        <w:spacing w:lineRule="auto" w:line="321" w:before="0" w:after="0"/>
        <w:ind w:left="0" w:right="0" w:hanging="7"/>
        <w:jc w:val="left"/>
        <w:rPr>
          <w:rFonts w:ascii="Arial;sans-serif" w:hAnsi="Arial;sans-serif"/>
          <w:b w:val="false"/>
          <w:color w:val="111111"/>
          <w:sz w:val="23"/>
        </w:rPr>
      </w:pPr>
      <w:r>
        <w:rPr>
          <w:rFonts w:ascii="Arial;sans-serif" w:hAnsi="Arial;sans-serif"/>
          <w:b w:val="false"/>
          <w:color w:val="111111"/>
          <w:sz w:val="23"/>
        </w:rPr>
        <w:t>The 30-minute web-based training course educates employees on the importance of information security and how to protect NCR data. Upon completion of this course, you will be able to identify NCR's security policy and standards, understand data classification and handling, identify security practices for electronic communications, and define social engineering. As part of NCR's ongoing commitment to securing the data of our company, customers and employees, you will be required to participate in Security Awareness training annually.</w:t>
      </w:r>
    </w:p>
    <w:p>
      <w:pPr>
        <w:pStyle w:val="TextBody"/>
        <w:bidi w:val="0"/>
        <w:spacing w:before="125" w:after="283"/>
        <w:jc w:val="left"/>
        <w:rPr/>
      </w:pPr>
      <w:r>
        <w:rPr/>
      </w:r>
    </w:p>
    <w:p>
      <w:pPr>
        <w:pStyle w:val="TextBody"/>
        <w:bidi w:val="0"/>
        <w:spacing w:lineRule="auto" w:line="328" w:before="0" w:after="0"/>
        <w:ind w:left="0" w:right="0" w:hanging="2"/>
        <w:jc w:val="left"/>
        <w:rPr>
          <w:rFonts w:ascii="Arial;sans-serif" w:hAnsi="Arial;sans-serif"/>
          <w:b w:val="false"/>
          <w:color w:val="111111"/>
          <w:sz w:val="23"/>
        </w:rPr>
      </w:pPr>
      <w:r>
        <w:rPr>
          <w:rFonts w:ascii="Arial;sans-serif" w:hAnsi="Arial;sans-serif"/>
          <w:b w:val="false"/>
          <w:color w:val="111111"/>
          <w:sz w:val="23"/>
        </w:rPr>
        <w:t>Your completion of NCR Security Awareness training demonstrates your personal commitment to information security and protecting the NCR brand.</w:t>
      </w:r>
    </w:p>
    <w:p>
      <w:pPr>
        <w:pStyle w:val="TextBody"/>
        <w:bidi w:val="0"/>
        <w:spacing w:before="121" w:after="283"/>
        <w:jc w:val="left"/>
        <w:rPr/>
      </w:pPr>
      <w:r>
        <w:rPr/>
      </w:r>
    </w:p>
    <w:p>
      <w:pPr>
        <w:pStyle w:val="TextBody"/>
        <w:bidi w:val="0"/>
        <w:spacing w:lineRule="auto" w:line="288" w:before="0" w:after="0"/>
        <w:jc w:val="left"/>
        <w:rPr>
          <w:rFonts w:ascii="Arial;sans-serif" w:hAnsi="Arial;sans-serif"/>
          <w:b/>
          <w:color w:val="111111"/>
          <w:sz w:val="23"/>
        </w:rPr>
      </w:pPr>
      <w:r>
        <w:rPr>
          <w:rFonts w:ascii="Arial;sans-serif" w:hAnsi="Arial;sans-serif"/>
          <w:b/>
          <w:color w:val="111111"/>
          <w:sz w:val="23"/>
        </w:rPr>
        <w:t>Code of Conduct</w:t>
      </w:r>
    </w:p>
    <w:p>
      <w:pPr>
        <w:pStyle w:val="TextBody"/>
        <w:bidi w:val="0"/>
        <w:spacing w:lineRule="auto" w:line="324" w:before="120" w:after="283"/>
        <w:ind w:left="0" w:right="0" w:firstLine="4"/>
        <w:jc w:val="left"/>
        <w:rPr>
          <w:rFonts w:ascii="Arial;sans-serif" w:hAnsi="Arial;sans-serif"/>
          <w:b w:val="false"/>
          <w:color w:val="111111"/>
          <w:sz w:val="23"/>
        </w:rPr>
      </w:pPr>
      <w:r>
        <w:rPr>
          <w:rFonts w:ascii="Arial;sans-serif" w:hAnsi="Arial;sans-serif"/>
          <w:b w:val="false"/>
          <w:color w:val="111111"/>
          <w:sz w:val="23"/>
        </w:rPr>
        <w:t>As part of your orientation to the Company, employees, including senior management, are required to complete the Company's Code of Conduct. This training must be completed within 30 days of your start date. Directions for accessing the training will be provided via email after your start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7" w:after="283"/>
        <w:jc w:val="left"/>
        <w:rPr/>
      </w:pPr>
      <w:r>
        <w:rPr/>
      </w:r>
    </w:p>
    <w:p>
      <w:pPr>
        <w:pStyle w:val="TextBody"/>
        <w:bidi w:val="0"/>
        <w:spacing w:lineRule="auto" w:line="321" w:before="0" w:after="0"/>
        <w:ind w:left="0" w:right="0" w:hanging="2"/>
        <w:jc w:val="left"/>
        <w:rPr>
          <w:rFonts w:ascii="Arial;sans-serif" w:hAnsi="Arial;sans-serif"/>
          <w:b w:val="false"/>
          <w:color w:val="0F0F0F"/>
          <w:sz w:val="23"/>
        </w:rPr>
      </w:pPr>
      <w:r>
        <w:rPr>
          <w:rFonts w:ascii="Arial;sans-serif" w:hAnsi="Arial;sans-serif"/>
          <w:b w:val="false"/>
          <w:color w:val="0F0F0F"/>
          <w:sz w:val="23"/>
        </w:rPr>
        <w:t>reports pertaining to you, without asking for your authorization again, throughout your employment or contract period from an outside agency.</w:t>
      </w:r>
    </w:p>
    <w:p>
      <w:pPr>
        <w:pStyle w:val="TextBody"/>
        <w:bidi w:val="0"/>
        <w:spacing w:before="136" w:after="283"/>
        <w:jc w:val="left"/>
        <w:rPr/>
      </w:pPr>
      <w:r>
        <w:rPr/>
      </w:r>
    </w:p>
    <w:p>
      <w:pPr>
        <w:pStyle w:val="TextBody"/>
        <w:bidi w:val="0"/>
        <w:spacing w:lineRule="auto" w:line="288" w:before="0" w:after="0"/>
        <w:jc w:val="left"/>
        <w:rPr>
          <w:rFonts w:ascii="Arial;sans-serif" w:hAnsi="Arial;sans-serif"/>
          <w:b/>
          <w:color w:val="0F0F0F"/>
          <w:sz w:val="23"/>
        </w:rPr>
      </w:pPr>
      <w:r>
        <w:rPr>
          <w:rFonts w:ascii="Arial;sans-serif" w:hAnsi="Arial;sans-serif"/>
          <w:b/>
          <w:color w:val="0F0F0F"/>
          <w:sz w:val="23"/>
        </w:rPr>
        <w:t>U.S. Employment Eligibility</w:t>
      </w:r>
    </w:p>
    <w:p>
      <w:pPr>
        <w:pStyle w:val="TextBody"/>
        <w:bidi w:val="0"/>
        <w:spacing w:lineRule="auto" w:line="324" w:before="125" w:after="283"/>
        <w:jc w:val="left"/>
        <w:rPr>
          <w:rFonts w:ascii="Arial;sans-serif" w:hAnsi="Arial;sans-serif"/>
          <w:b w:val="false"/>
          <w:color w:val="0F0F0F"/>
          <w:sz w:val="23"/>
        </w:rPr>
      </w:pPr>
      <w:r>
        <w:rPr>
          <w:rFonts w:ascii="Arial;sans-serif" w:hAnsi="Arial;sans-serif"/>
          <w:b w:val="false"/>
          <w:color w:val="0F0F0F"/>
          <w:sz w:val="23"/>
        </w:rPr>
        <w:t>Pursuant to the terms of the Immigration and Control Act of 1986, the Company can only hire employees if they are legally entitled to work and remain in the United States. Accordingly, the Company will verify your employment eligibility through the 1-9 and E-Verify employment verification processes. If you commence employment with the Company, you understand that you will be required to complete the 1-9 employment eligibility verification process within three business days after your start date. Please refer to the 1-9 information sheet in this hire packet for instructions on how to complete this process.</w:t>
      </w:r>
    </w:p>
    <w:p>
      <w:pPr>
        <w:pStyle w:val="TextBody"/>
        <w:bidi w:val="0"/>
        <w:spacing w:before="111" w:after="283"/>
        <w:jc w:val="left"/>
        <w:rPr/>
      </w:pPr>
      <w:r>
        <w:rPr/>
      </w:r>
    </w:p>
    <w:p>
      <w:pPr>
        <w:pStyle w:val="TextBody"/>
        <w:bidi w:val="0"/>
        <w:spacing w:lineRule="auto" w:line="321" w:before="0" w:after="0"/>
        <w:ind w:left="0" w:right="0" w:hanging="5"/>
        <w:jc w:val="left"/>
        <w:rPr>
          <w:rFonts w:ascii="Arial;sans-serif" w:hAnsi="Arial;sans-serif"/>
          <w:b w:val="false"/>
          <w:color w:val="0F0F0F"/>
          <w:sz w:val="23"/>
        </w:rPr>
      </w:pPr>
      <w:r>
        <w:rPr>
          <w:rFonts w:ascii="Arial;sans-serif" w:hAnsi="Arial;sans-serif"/>
          <w:b w:val="false"/>
          <w:color w:val="0F0F0F"/>
          <w:sz w:val="23"/>
        </w:rPr>
        <w:t>You also understand that the Company participates in the E-Verify program and that the information you provide to us during the 1-9 employment verification process will be compared against information maintained in Department of Homeland Security and Social Security Administration databases. Please refer to the enclosed information regarding E-Verify in this hire packet for additional information, including your rights under the program.</w:t>
      </w:r>
    </w:p>
    <w:p>
      <w:pPr>
        <w:pStyle w:val="TextBody"/>
        <w:bidi w:val="0"/>
        <w:spacing w:before="124" w:after="283"/>
        <w:jc w:val="left"/>
        <w:rPr/>
      </w:pPr>
      <w:r>
        <w:rPr/>
      </w:r>
    </w:p>
    <w:p>
      <w:pPr>
        <w:pStyle w:val="TextBody"/>
        <w:bidi w:val="0"/>
        <w:spacing w:lineRule="auto" w:line="324" w:before="0" w:after="0"/>
        <w:ind w:left="0" w:right="0" w:hanging="4"/>
        <w:jc w:val="left"/>
        <w:rPr>
          <w:rFonts w:ascii="Arial;sans-serif" w:hAnsi="Arial;sans-serif"/>
          <w:b w:val="false"/>
          <w:color w:val="0F0F0F"/>
          <w:sz w:val="23"/>
        </w:rPr>
      </w:pPr>
      <w:r>
        <w:rPr>
          <w:rFonts w:ascii="Arial;sans-serif" w:hAnsi="Arial;sans-serif"/>
          <w:b w:val="false"/>
          <w:color w:val="0F0F0F"/>
          <w:sz w:val="23"/>
        </w:rPr>
        <w:t>Finally, U.S. export regulations promulgated by the U.S. Departments' of Commerce and State restrict the release of U.S. technology to foreign nationals (persons that are not citizens or permanent residents of the U.S.). Your employment by the Company will be conditional on a determination that your access to the Company's technology will not be prohibited under applicable U.S. export regulations based on your country of citizenship or permanent residency. Please note that any information the Company collects from you for export compliance purposes will not be used for any other purposes.</w:t>
      </w:r>
    </w:p>
    <w:p>
      <w:pPr>
        <w:pStyle w:val="TextBody"/>
        <w:bidi w:val="0"/>
        <w:spacing w:before="126" w:after="283"/>
        <w:jc w:val="left"/>
        <w:rPr/>
      </w:pPr>
      <w:r>
        <w:rPr/>
      </w:r>
    </w:p>
    <w:p>
      <w:pPr>
        <w:pStyle w:val="TextBody"/>
        <w:bidi w:val="0"/>
        <w:spacing w:lineRule="auto" w:line="288" w:before="1" w:after="283"/>
        <w:jc w:val="left"/>
        <w:rPr>
          <w:rFonts w:ascii="Arial;sans-serif" w:hAnsi="Arial;sans-serif"/>
          <w:b/>
          <w:color w:val="0F0F0F"/>
          <w:sz w:val="23"/>
        </w:rPr>
      </w:pPr>
      <w:r>
        <w:rPr>
          <w:rFonts w:ascii="Arial;sans-serif" w:hAnsi="Arial;sans-serif"/>
          <w:b/>
          <w:color w:val="0F0F0F"/>
          <w:sz w:val="23"/>
        </w:rPr>
        <w:t>Employee Privacy Notice and Consent</w:t>
      </w:r>
    </w:p>
    <w:p>
      <w:pPr>
        <w:pStyle w:val="TextBody"/>
        <w:bidi w:val="0"/>
        <w:spacing w:lineRule="auto" w:line="316" w:before="120" w:after="283"/>
        <w:ind w:left="0" w:right="0" w:hanging="2"/>
        <w:jc w:val="left"/>
        <w:rPr>
          <w:rFonts w:ascii="Arial;sans-serif" w:hAnsi="Arial;sans-serif"/>
          <w:b w:val="false"/>
          <w:color w:val="0F0F0F"/>
          <w:sz w:val="23"/>
        </w:rPr>
      </w:pPr>
      <w:r>
        <w:rPr>
          <w:rFonts w:ascii="Arial;sans-serif" w:hAnsi="Arial;sans-serif"/>
          <w:b w:val="false"/>
          <w:color w:val="0F0F0F"/>
          <w:sz w:val="23"/>
        </w:rPr>
        <w:t>As a condition of employment, you must agree to the enclosed document 'Employee Privacy Notice and Consent'.</w:t>
      </w:r>
    </w:p>
    <w:p>
      <w:pPr>
        <w:pStyle w:val="TextBody"/>
        <w:bidi w:val="0"/>
        <w:spacing w:before="131" w:after="283"/>
        <w:jc w:val="left"/>
        <w:rPr/>
      </w:pPr>
      <w:r>
        <w:rPr/>
      </w:r>
    </w:p>
    <w:p>
      <w:pPr>
        <w:pStyle w:val="TextBody"/>
        <w:bidi w:val="0"/>
        <w:spacing w:lineRule="auto" w:line="350" w:before="1" w:after="283"/>
        <w:ind w:left="0" w:right="0" w:firstLine="4"/>
        <w:jc w:val="left"/>
        <w:rPr>
          <w:rFonts w:ascii="Arial;sans-serif" w:hAnsi="Arial;sans-serif"/>
          <w:b w:val="false"/>
          <w:color w:val="0F0F0F"/>
          <w:sz w:val="23"/>
        </w:rPr>
      </w:pPr>
      <w:r>
        <w:rPr>
          <w:rFonts w:ascii="Arial;sans-serif" w:hAnsi="Arial;sans-serif"/>
          <w:b w:val="false"/>
          <w:color w:val="0F0F0F"/>
          <w:sz w:val="23"/>
        </w:rPr>
        <w:t>Mutual Agreement to Arbitrate all Employment Related Claims as a condition of employment for any position, you must read, understand and agree to the enclosed document, Mutual Agreement to Arbitrate All Employment Related Claims. By signing this acceptance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9" w:after="283"/>
        <w:jc w:val="left"/>
        <w:rPr/>
      </w:pPr>
      <w:r>
        <w:rPr/>
      </w:r>
    </w:p>
    <w:p>
      <w:pPr>
        <w:pStyle w:val="TextBody"/>
        <w:bidi w:val="0"/>
        <w:spacing w:lineRule="auto" w:line="328" w:before="0" w:after="0"/>
        <w:ind w:left="0" w:right="0" w:firstLine="4"/>
        <w:jc w:val="left"/>
        <w:rPr>
          <w:rFonts w:ascii="Arial;sans-serif" w:hAnsi="Arial;sans-serif"/>
          <w:b w:val="false"/>
          <w:color w:val="111111"/>
          <w:sz w:val="23"/>
        </w:rPr>
      </w:pPr>
      <w:r>
        <w:rPr>
          <w:rFonts w:ascii="Arial;sans-serif" w:hAnsi="Arial;sans-serif"/>
          <w:b w:val="false"/>
          <w:color w:val="111111"/>
          <w:sz w:val="23"/>
        </w:rPr>
        <w:t>Employees with computer access must complete a 30 minute web-based training and certification module. This module is designed to familiarize you with our global standards of business conduct. While we recognize there are local laws and regulations that must also be followed, it is important that all employees understand and adhere to our global standard of business conduct. For employees who do not have computer access, please obtain a copy of the Company's Code of Conduct and certification form from your manager and it will be returned to the NCR Corporation, Ethics &amp; Compliance Office, 864 Spring Street NW, Atlanta, GA 30308.</w:t>
      </w:r>
    </w:p>
    <w:p>
      <w:pPr>
        <w:pStyle w:val="TextBody"/>
        <w:bidi w:val="0"/>
        <w:spacing w:before="108" w:after="283"/>
        <w:jc w:val="left"/>
        <w:rPr/>
      </w:pPr>
      <w:r>
        <w:rPr/>
      </w:r>
    </w:p>
    <w:p>
      <w:pPr>
        <w:pStyle w:val="TextBody"/>
        <w:bidi w:val="0"/>
        <w:spacing w:lineRule="auto" w:line="321"/>
        <w:ind w:left="0" w:right="0" w:hanging="3"/>
        <w:jc w:val="left"/>
        <w:rPr>
          <w:rFonts w:ascii="Arial;sans-serif" w:hAnsi="Arial;sans-serif"/>
          <w:b w:val="false"/>
          <w:color w:val="111111"/>
          <w:sz w:val="23"/>
        </w:rPr>
      </w:pPr>
      <w:r>
        <w:rPr>
          <w:rFonts w:ascii="Arial;sans-serif" w:hAnsi="Arial;sans-serif"/>
          <w:b w:val="false"/>
          <w:color w:val="111111"/>
          <w:sz w:val="23"/>
        </w:rPr>
        <w:t>Your completion of the Company's Code of Conduct training and/ or certification form demonstrates your personal commitment to conducting business legally and ethically.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Arial;sans-serif" w:hAnsi="Arial;sans-serif"/>
          <w:b/>
          <w:color w:val="000000"/>
          <w:sz w:val="16"/>
        </w:rPr>
      </w:pPr>
      <w:r>
        <w:rPr>
          <w:rFonts w:ascii="Arial;sans-serif" w:hAnsi="Arial;sans-serif"/>
          <w:b/>
          <w:color w:val="000000"/>
          <w:sz w:val="16"/>
        </w:rPr>
        <w:t>Exhibit 10.29.1</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Arial;sans-serif" w:hAnsi="Arial;sans-serif"/>
          <w:b w:val="false"/>
          <w:color w:val="111111"/>
          <w:sz w:val="20"/>
        </w:rPr>
      </w:pPr>
      <w:r>
        <w:rPr>
          <w:rFonts w:ascii="Arial;sans-serif" w:hAnsi="Arial;sans-serif"/>
          <w:b w:val="false"/>
          <w:color w:val="111111"/>
          <w:sz w:val="20"/>
        </w:rPr>
        <w:t>NCR Limited</w:t>
      </w:r>
    </w:p>
    <w:p>
      <w:pPr>
        <w:pStyle w:val="TextBody"/>
        <w:bidi w:val="0"/>
        <w:spacing w:lineRule="auto" w:line="268" w:before="0" w:after="0"/>
        <w:ind w:left="0" w:right="0" w:firstLine="20"/>
        <w:jc w:val="right"/>
        <w:rPr>
          <w:rFonts w:ascii="Arial;sans-serif" w:hAnsi="Arial;sans-serif"/>
          <w:b w:val="false"/>
          <w:color w:val="111111"/>
          <w:sz w:val="20"/>
        </w:rPr>
      </w:pPr>
      <w:r>
        <w:rPr>
          <w:rFonts w:ascii="Arial;sans-serif" w:hAnsi="Arial;sans-serif"/>
          <w:b w:val="false"/>
          <w:color w:val="111111"/>
          <w:sz w:val="20"/>
        </w:rPr>
        <w:t>4th Floor Capital House</w:t>
      </w:r>
    </w:p>
    <w:p>
      <w:pPr>
        <w:pStyle w:val="TextBody"/>
        <w:bidi w:val="0"/>
        <w:spacing w:lineRule="auto" w:line="319" w:before="0" w:after="0"/>
        <w:ind w:left="0" w:right="0" w:firstLine="20"/>
        <w:jc w:val="right"/>
        <w:rPr>
          <w:rFonts w:ascii="Arial;sans-serif" w:hAnsi="Arial;sans-serif"/>
          <w:b w:val="false"/>
          <w:color w:val="111111"/>
          <w:sz w:val="20"/>
        </w:rPr>
      </w:pPr>
      <w:r>
        <w:rPr>
          <w:rFonts w:ascii="Arial;sans-serif" w:hAnsi="Arial;sans-serif"/>
          <w:b w:val="false"/>
          <w:color w:val="111111"/>
          <w:sz w:val="20"/>
        </w:rPr>
        <w:t>25 Chapel Street London</w:t>
      </w:r>
    </w:p>
    <w:p>
      <w:pPr>
        <w:pStyle w:val="TextBody"/>
        <w:bidi w:val="0"/>
        <w:spacing w:lineRule="auto" w:line="268" w:before="0" w:after="0"/>
        <w:ind w:left="0" w:right="0" w:firstLine="71"/>
        <w:jc w:val="right"/>
        <w:rPr>
          <w:rFonts w:ascii="Arial;sans-serif" w:hAnsi="Arial;sans-serif"/>
          <w:b w:val="false"/>
          <w:color w:val="111111"/>
          <w:sz w:val="20"/>
        </w:rPr>
      </w:pPr>
      <w:r>
        <w:rPr>
          <w:rFonts w:ascii="Arial;sans-serif" w:hAnsi="Arial;sans-serif"/>
          <w:b w:val="false"/>
          <w:color w:val="111111"/>
          <w:sz w:val="20"/>
        </w:rPr>
        <w:t>England</w:t>
      </w:r>
    </w:p>
    <w:p>
      <w:pPr>
        <w:pStyle w:val="TextBody"/>
        <w:bidi w:val="0"/>
        <w:spacing w:lineRule="auto" w:line="268" w:before="0" w:after="0"/>
        <w:ind w:left="0" w:right="0" w:firstLine="70"/>
        <w:jc w:val="right"/>
        <w:rPr>
          <w:rFonts w:ascii="Arial;sans-serif" w:hAnsi="Arial;sans-serif"/>
          <w:b w:val="false"/>
          <w:color w:val="111111"/>
          <w:sz w:val="20"/>
        </w:rPr>
      </w:pPr>
      <w:r>
        <w:rPr>
          <w:rFonts w:ascii="Arial;sans-serif" w:hAnsi="Arial;sans-serif"/>
          <w:b w:val="false"/>
          <w:color w:val="111111"/>
          <w:sz w:val="20"/>
        </w:rPr>
        <w:t>NW1 50S</w:t>
      </w:r>
    </w:p>
    <w:p>
      <w:pPr>
        <w:pStyle w:val="TextBody"/>
        <w:bidi w:val="0"/>
        <w:spacing w:before="51" w:after="283"/>
        <w:jc w:val="left"/>
        <w:rPr/>
      </w:pPr>
      <w:r>
        <w:rPr/>
      </w:r>
    </w:p>
    <w:p>
      <w:pPr>
        <w:pStyle w:val="TextBody"/>
        <w:bidi w:val="0"/>
        <w:spacing w:before="153" w:after="283"/>
        <w:jc w:val="left"/>
        <w:rPr/>
      </w:pPr>
      <w:r>
        <w:rPr/>
      </w:r>
    </w:p>
    <w:p>
      <w:pPr>
        <w:pStyle w:val="TextBody"/>
        <w:bidi w:val="0"/>
        <w:spacing w:lineRule="auto" w:line="288" w:before="0" w:after="0"/>
        <w:jc w:val="left"/>
        <w:rPr>
          <w:rFonts w:ascii="Arial;sans-serif" w:hAnsi="Arial;sans-serif"/>
          <w:b w:val="false"/>
          <w:color w:val="111111"/>
          <w:sz w:val="20"/>
        </w:rPr>
      </w:pPr>
      <w:r>
        <w:rPr>
          <w:rFonts w:ascii="Arial;sans-serif" w:hAnsi="Arial;sans-serif"/>
          <w:b w:val="false"/>
          <w:color w:val="111111"/>
          <w:sz w:val="20"/>
        </w:rPr>
        <w:t>February 9, 2025</w:t>
      </w:r>
    </w:p>
    <w:p>
      <w:pPr>
        <w:pStyle w:val="TextBody"/>
        <w:bidi w:val="0"/>
        <w:spacing w:before="149" w:after="283"/>
        <w:jc w:val="left"/>
        <w:rPr/>
      </w:pPr>
      <w:r>
        <w:rPr/>
      </w:r>
    </w:p>
    <w:p>
      <w:pPr>
        <w:pStyle w:val="TextBody"/>
        <w:bidi w:val="0"/>
        <w:spacing w:lineRule="auto" w:line="288" w:before="0" w:after="0"/>
        <w:jc w:val="left"/>
        <w:rPr>
          <w:rFonts w:ascii="Arial;sans-serif" w:hAnsi="Arial;sans-serif"/>
          <w:b/>
          <w:color w:val="111111"/>
          <w:sz w:val="20"/>
        </w:rPr>
      </w:pPr>
      <w:r>
        <w:rPr>
          <w:rFonts w:ascii="Arial;sans-serif" w:hAnsi="Arial;sans-serif"/>
          <w:b/>
          <w:color w:val="111111"/>
          <w:sz w:val="20"/>
        </w:rPr>
        <w:t>PRIVATE AND CONFIDENTIAL</w:t>
      </w:r>
    </w:p>
    <w:p>
      <w:pPr>
        <w:pStyle w:val="TextBody"/>
        <w:bidi w:val="0"/>
        <w:spacing w:before="78" w:after="283"/>
        <w:jc w:val="left"/>
        <w:rPr/>
      </w:pPr>
      <w:r>
        <w:rPr/>
      </w:r>
    </w:p>
    <w:p>
      <w:pPr>
        <w:pStyle w:val="TextBody"/>
        <w:bidi w:val="0"/>
        <w:spacing w:before="74" w:after="283"/>
        <w:jc w:val="left"/>
        <w:rPr/>
      </w:pPr>
      <w:r>
        <w:rPr/>
      </w:r>
    </w:p>
    <w:p>
      <w:pPr>
        <w:pStyle w:val="TextBody"/>
        <w:bidi w:val="0"/>
        <w:spacing w:lineRule="auto" w:line="288" w:before="1" w:after="283"/>
        <w:jc w:val="left"/>
        <w:rPr>
          <w:rFonts w:ascii="Arial;sans-serif" w:hAnsi="Arial;sans-serif"/>
          <w:b w:val="false"/>
          <w:color w:val="111111"/>
          <w:sz w:val="20"/>
        </w:rPr>
      </w:pPr>
      <w:r>
        <w:rPr>
          <w:rFonts w:ascii="Arial;sans-serif" w:hAnsi="Arial;sans-serif"/>
          <w:b w:val="false"/>
          <w:color w:val="111111"/>
          <w:sz w:val="20"/>
        </w:rPr>
        <w:t>Dear Darren,</w:t>
      </w:r>
    </w:p>
    <w:p>
      <w:pPr>
        <w:pStyle w:val="TextBody"/>
        <w:bidi w:val="0"/>
        <w:spacing w:before="154" w:after="283"/>
        <w:jc w:val="left"/>
        <w:rPr/>
      </w:pPr>
      <w:r>
        <w:rPr/>
      </w:r>
    </w:p>
    <w:p>
      <w:pPr>
        <w:pStyle w:val="TextBody"/>
        <w:bidi w:val="0"/>
        <w:spacing w:lineRule="auto" w:line="288" w:before="0" w:after="0"/>
        <w:jc w:val="left"/>
        <w:rPr>
          <w:rFonts w:ascii="Arial;sans-serif" w:hAnsi="Arial;sans-serif"/>
          <w:b/>
          <w:color w:val="111111"/>
          <w:sz w:val="20"/>
        </w:rPr>
      </w:pPr>
      <w:r>
        <w:rPr>
          <w:rFonts w:ascii="Arial;sans-serif" w:hAnsi="Arial;sans-serif"/>
          <w:b/>
          <w:color w:val="111111"/>
          <w:sz w:val="20"/>
        </w:rPr>
        <w:t>Re: Amendment to Employment Contract</w:t>
      </w:r>
    </w:p>
    <w:p>
      <w:pPr>
        <w:pStyle w:val="TextBody"/>
        <w:bidi w:val="0"/>
        <w:spacing w:before="145" w:after="283"/>
        <w:jc w:val="left"/>
        <w:rPr/>
      </w:pPr>
      <w:r>
        <w:rPr/>
      </w:r>
    </w:p>
    <w:p>
      <w:pPr>
        <w:pStyle w:val="TextBody"/>
        <w:bidi w:val="0"/>
        <w:spacing w:lineRule="auto" w:line="381" w:before="0" w:after="0"/>
        <w:ind w:left="0" w:right="0" w:firstLine="2"/>
        <w:jc w:val="both"/>
        <w:rPr/>
      </w:pPr>
      <w:r>
        <w:rPr>
          <w:rFonts w:ascii="Arial;sans-serif" w:hAnsi="Arial;sans-serif"/>
          <w:b w:val="false"/>
          <w:color w:val="111111"/>
          <w:sz w:val="20"/>
        </w:rPr>
        <w:t>We are writing to inform you of an amendment to your employment contract. This letter serves to formally document the changes to your Job Title, Base Salary and Long-Term Equity Award Incentive Program (LTI) effective from February 12, 2025. Your new terms are defined below</w:t>
      </w:r>
      <w:r>
        <w:rPr>
          <w:rFonts w:ascii="Arial;sans-serif" w:hAnsi="Arial;sans-serif"/>
          <w:b w:val="false"/>
          <w:color w:val="3D3D3D"/>
          <w:sz w:val="20"/>
        </w:rPr>
        <w:t>:</w:t>
      </w:r>
    </w:p>
    <w:p>
      <w:pPr>
        <w:pStyle w:val="TextBody"/>
        <w:bidi w:val="0"/>
        <w:spacing w:before="76" w:after="283"/>
        <w:jc w:val="left"/>
        <w:rPr/>
      </w:pPr>
      <w:r>
        <w:rPr/>
      </w:r>
    </w:p>
    <w:p>
      <w:pPr>
        <w:pStyle w:val="TextBody"/>
        <w:bidi w:val="0"/>
        <w:spacing w:lineRule="auto" w:line="288" w:before="0" w:after="0"/>
        <w:jc w:val="left"/>
        <w:rPr>
          <w:rFonts w:ascii="Arial;sans-serif" w:hAnsi="Arial;sans-serif"/>
          <w:b/>
          <w:color w:val="111111"/>
          <w:sz w:val="20"/>
        </w:rPr>
      </w:pPr>
      <w:r>
        <w:rPr>
          <w:rFonts w:ascii="Arial;sans-serif" w:hAnsi="Arial;sans-serif"/>
          <w:b/>
          <w:color w:val="111111"/>
          <w:sz w:val="20"/>
        </w:rPr>
        <w:t>Job Title:</w:t>
      </w:r>
    </w:p>
    <w:p>
      <w:pPr>
        <w:pStyle w:val="TextBody"/>
        <w:bidi w:val="0"/>
        <w:spacing w:lineRule="auto" w:line="288" w:before="73" w:after="283"/>
        <w:jc w:val="left"/>
        <w:rPr>
          <w:rFonts w:ascii="Arial;sans-serif" w:hAnsi="Arial;sans-serif"/>
          <w:b w:val="false"/>
          <w:color w:val="111111"/>
          <w:sz w:val="20"/>
        </w:rPr>
      </w:pPr>
      <w:r>
        <w:rPr>
          <w:rFonts w:ascii="Arial;sans-serif" w:hAnsi="Arial;sans-serif"/>
          <w:b w:val="false"/>
          <w:color w:val="111111"/>
          <w:sz w:val="20"/>
        </w:rPr>
        <w:t>Your job title is EVP &amp; President, Retail and Payments.</w:t>
      </w:r>
    </w:p>
    <w:p>
      <w:pPr>
        <w:pStyle w:val="TextBody"/>
        <w:bidi w:val="0"/>
        <w:spacing w:before="154" w:after="283"/>
        <w:jc w:val="left"/>
        <w:rPr/>
      </w:pPr>
      <w:r>
        <w:rPr/>
      </w:r>
    </w:p>
    <w:p>
      <w:pPr>
        <w:pStyle w:val="TextBody"/>
        <w:bidi w:val="0"/>
        <w:spacing w:lineRule="auto" w:line="288" w:before="0" w:after="0"/>
        <w:jc w:val="both"/>
        <w:rPr>
          <w:rFonts w:ascii="Arial;sans-serif" w:hAnsi="Arial;sans-serif"/>
          <w:b/>
          <w:color w:val="111111"/>
          <w:sz w:val="20"/>
        </w:rPr>
      </w:pPr>
      <w:r>
        <w:rPr>
          <w:rFonts w:ascii="Arial;sans-serif" w:hAnsi="Arial;sans-serif"/>
          <w:b/>
          <w:color w:val="111111"/>
          <w:sz w:val="20"/>
        </w:rPr>
        <w:t>Base Salary:</w:t>
      </w:r>
    </w:p>
    <w:p>
      <w:pPr>
        <w:pStyle w:val="TextBody"/>
        <w:bidi w:val="0"/>
        <w:spacing w:lineRule="auto" w:line="381" w:before="72" w:after="283"/>
        <w:ind w:left="0" w:right="0" w:firstLine="1"/>
        <w:jc w:val="both"/>
        <w:rPr/>
      </w:pPr>
      <w:r>
        <w:rPr>
          <w:rFonts w:ascii="Arial;sans-serif" w:hAnsi="Arial;sans-serif"/>
          <w:b w:val="false"/>
          <w:color w:val="111111"/>
          <w:sz w:val="20"/>
        </w:rPr>
        <w:t xml:space="preserve">Your annual base salary is £445,500.00. This will be paid monthly via BACS transfer on the 15th of each month for the current calendar month and </w:t>
      </w:r>
      <w:r>
        <w:rPr>
          <w:rFonts w:ascii="Arial;sans-serif" w:hAnsi="Arial;sans-serif"/>
          <w:b w:val="false"/>
          <w:color w:val="282828"/>
          <w:sz w:val="20"/>
        </w:rPr>
        <w:t xml:space="preserve">is </w:t>
      </w:r>
      <w:r>
        <w:rPr>
          <w:rFonts w:ascii="Arial;sans-serif" w:hAnsi="Arial;sans-serif"/>
          <w:b w:val="false"/>
          <w:color w:val="111111"/>
          <w:sz w:val="20"/>
        </w:rPr>
        <w:t>subject to deductions for income tax, employee's national insurance contributions and any other deductions required by law.</w:t>
      </w:r>
    </w:p>
    <w:p>
      <w:pPr>
        <w:pStyle w:val="TextBody"/>
        <w:bidi w:val="0"/>
        <w:spacing w:before="71" w:after="283"/>
        <w:jc w:val="left"/>
        <w:rPr/>
      </w:pPr>
      <w:r>
        <w:rPr/>
      </w:r>
    </w:p>
    <w:p>
      <w:pPr>
        <w:pStyle w:val="TextBody"/>
        <w:bidi w:val="0"/>
        <w:spacing w:lineRule="auto" w:line="288" w:before="0" w:after="0"/>
        <w:jc w:val="both"/>
        <w:rPr>
          <w:rFonts w:ascii="Arial;sans-serif" w:hAnsi="Arial;sans-serif"/>
          <w:b/>
          <w:color w:val="111111"/>
          <w:sz w:val="20"/>
        </w:rPr>
      </w:pPr>
      <w:r>
        <w:rPr>
          <w:rFonts w:ascii="Arial;sans-serif" w:hAnsi="Arial;sans-serif"/>
          <w:b/>
          <w:color w:val="111111"/>
          <w:sz w:val="20"/>
        </w:rPr>
        <w:t>Long-Term Equity Award Incentive Program (LTI):</w:t>
      </w:r>
    </w:p>
    <w:p>
      <w:pPr>
        <w:pStyle w:val="TextBody"/>
        <w:bidi w:val="0"/>
        <w:spacing w:lineRule="auto" w:line="381" w:before="78" w:after="283"/>
        <w:ind w:left="0" w:right="0" w:firstLine="14"/>
        <w:jc w:val="both"/>
        <w:rPr/>
      </w:pPr>
      <w:r>
        <w:rPr>
          <w:rFonts w:ascii="Arial;sans-serif" w:hAnsi="Arial;sans-serif"/>
          <w:b w:val="false"/>
          <w:color w:val="111111"/>
          <w:sz w:val="20"/>
        </w:rPr>
        <w:t>As an executive at NCR VOYIX, you are eligible to participate in the annual LTI Program. For 2025, your target award for your position is $1,250,000.00 USD. As an eligible participant, you will be considered for an LTI award based on your individual contributions during the year; your relative performance amongst peers; your future potential to contribute to the Company's success and other factors. LTI awards are discretionary, not guaranteed and are generally granted during first calendar quarter of each year, subject to approval by the Compensation and Human Resource Committee of the Board of Directors of NCR Voyix Corporation</w:t>
      </w:r>
      <w:r>
        <w:rPr>
          <w:rFonts w:ascii="Arial;sans-serif" w:hAnsi="Arial;sans-serif"/>
          <w:b w:val="false"/>
          <w:color w:val="3D3D3D"/>
          <w:sz w:val="20"/>
        </w:rPr>
        <w:t>.</w:t>
      </w:r>
    </w:p>
    <w:p>
      <w:pPr>
        <w:pStyle w:val="TextBody"/>
        <w:bidi w:val="0"/>
        <w:spacing w:before="84" w:after="283"/>
        <w:jc w:val="left"/>
        <w:rPr/>
      </w:pPr>
      <w:r>
        <w:rPr/>
      </w:r>
    </w:p>
    <w:p>
      <w:pPr>
        <w:pStyle w:val="TextBody"/>
        <w:bidi w:val="0"/>
        <w:spacing w:lineRule="auto" w:line="379" w:before="0" w:after="0"/>
        <w:ind w:left="0" w:right="0" w:firstLine="12"/>
        <w:jc w:val="both"/>
        <w:rPr>
          <w:rFonts w:ascii="Arial;sans-serif" w:hAnsi="Arial;sans-serif"/>
          <w:b w:val="false"/>
          <w:color w:val="111111"/>
          <w:sz w:val="20"/>
        </w:rPr>
      </w:pPr>
      <w:r>
        <w:rPr>
          <w:rFonts w:ascii="Arial;sans-serif" w:hAnsi="Arial;sans-serif"/>
          <w:b w:val="false"/>
          <w:color w:val="111111"/>
          <w:sz w:val="20"/>
        </w:rPr>
        <w:t>You must be a current employee of NCR Voyix on the applicable grant date in order to be eligible to receive any NCR Voyix LTI award. Other award terms are set forth in the plan governing these awards, and you must electronically accept the award agreement each time one is made in order to be eligible to receive its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4" w:after="283"/>
        <w:jc w:val="left"/>
        <w:rPr/>
      </w:pPr>
      <w:r>
        <w:rPr/>
      </w:r>
    </w:p>
    <w:p>
      <w:pPr>
        <w:pStyle w:val="TextBody"/>
        <w:bidi w:val="0"/>
        <w:spacing w:before="4" w:after="283"/>
        <w:jc w:val="left"/>
        <w:rPr/>
      </w:pPr>
      <w:r>
        <w:rPr/>
      </w:r>
    </w:p>
    <w:p>
      <w:pPr>
        <w:pStyle w:val="TextBody"/>
        <w:bidi w:val="0"/>
        <w:spacing w:lineRule="auto" w:line="288" w:before="0" w:after="0"/>
        <w:jc w:val="left"/>
        <w:rPr>
          <w:rFonts w:ascii="Arial;sans-serif" w:hAnsi="Arial;sans-serif"/>
          <w:b w:val="false"/>
          <w:color w:val="161616"/>
          <w:sz w:val="20"/>
        </w:rPr>
      </w:pPr>
      <w:r>
        <w:rPr>
          <w:rFonts w:ascii="Arial;sans-serif" w:hAnsi="Arial;sans-serif"/>
          <w:b w:val="false"/>
          <w:color w:val="161616"/>
          <w:sz w:val="20"/>
        </w:rPr>
        <w:t>All other terms and conditions of your employment contract remain unchanged.</w:t>
      </w:r>
    </w:p>
    <w:p>
      <w:pPr>
        <w:pStyle w:val="TextBody"/>
        <w:bidi w:val="0"/>
        <w:spacing w:before="164" w:after="283"/>
        <w:jc w:val="left"/>
        <w:rPr/>
      </w:pPr>
      <w:r>
        <w:rPr/>
      </w:r>
    </w:p>
    <w:p>
      <w:pPr>
        <w:pStyle w:val="TextBody"/>
        <w:bidi w:val="0"/>
        <w:spacing w:lineRule="auto" w:line="367" w:before="0" w:after="0"/>
        <w:ind w:left="0" w:right="0" w:hanging="4"/>
        <w:jc w:val="left"/>
        <w:rPr>
          <w:rFonts w:ascii="Arial;sans-serif" w:hAnsi="Arial;sans-serif"/>
          <w:b w:val="false"/>
          <w:color w:val="161616"/>
          <w:sz w:val="20"/>
        </w:rPr>
      </w:pPr>
      <w:r>
        <w:rPr>
          <w:rFonts w:ascii="Arial;sans-serif" w:hAnsi="Arial;sans-serif"/>
          <w:b w:val="false"/>
          <w:color w:val="161616"/>
          <w:sz w:val="20"/>
        </w:rPr>
        <w:t>If you have any questions, please do not hesitate to contact Jane Elliott, Chief Human Resources Officer or Jim Kelly, President &amp; CEO.</w:t>
      </w:r>
    </w:p>
    <w:p>
      <w:pPr>
        <w:pStyle w:val="TextBody"/>
        <w:bidi w:val="0"/>
        <w:spacing w:before="83" w:after="283"/>
        <w:jc w:val="left"/>
        <w:rPr/>
      </w:pPr>
      <w:r>
        <w:rPr/>
      </w:r>
    </w:p>
    <w:p>
      <w:pPr>
        <w:pStyle w:val="TextBody"/>
        <w:bidi w:val="0"/>
        <w:spacing w:lineRule="auto" w:line="288" w:before="0" w:after="0"/>
        <w:jc w:val="left"/>
        <w:rPr>
          <w:rFonts w:ascii="Arial;sans-serif" w:hAnsi="Arial;sans-serif"/>
          <w:b w:val="false"/>
          <w:color w:val="161616"/>
          <w:sz w:val="20"/>
        </w:rPr>
      </w:pPr>
      <w:r>
        <w:rPr>
          <w:rFonts w:ascii="Arial;sans-serif" w:hAnsi="Arial;sans-serif"/>
          <w:b w:val="false"/>
          <w:color w:val="161616"/>
          <w:sz w:val="20"/>
        </w:rPr>
        <w:t>Yours sincerely,</w:t>
      </w:r>
    </w:p>
    <w:p>
      <w:pPr>
        <w:pStyle w:val="TextBody"/>
        <w:bidi w:val="0"/>
        <w:spacing w:before="2" w:after="283"/>
        <w:jc w:val="left"/>
        <w:rPr/>
      </w:pPr>
      <w:r>
        <w:rPr/>
      </w:r>
    </w:p>
    <w:p>
      <w:pPr>
        <w:pStyle w:val="TextBody"/>
        <w:bidi w:val="0"/>
        <w:spacing w:lineRule="auto" w:line="288" w:before="16" w:after="283"/>
        <w:jc w:val="left"/>
        <w:rPr>
          <w:rFonts w:ascii="Arial;sans-serif" w:hAnsi="Arial;sans-serif"/>
          <w:b w:val="false"/>
          <w:color w:val="000000"/>
          <w:sz w:val="20"/>
          <w:u w:val="single"/>
        </w:rPr>
      </w:pPr>
      <w:r>
        <w:rPr>
          <w:rFonts w:ascii="Arial;sans-serif" w:hAnsi="Arial;sans-serif"/>
          <w:b w:val="false"/>
          <w:color w:val="000000"/>
          <w:sz w:val="20"/>
          <w:u w:val="single"/>
        </w:rPr>
        <w:t>/s/ Gina Lobban</w:t>
      </w:r>
    </w:p>
    <w:p>
      <w:pPr>
        <w:pStyle w:val="TextBody"/>
        <w:bidi w:val="0"/>
        <w:spacing w:lineRule="auto" w:line="288" w:before="1" w:after="283"/>
        <w:jc w:val="left"/>
        <w:rPr>
          <w:rFonts w:ascii="Arial;sans-serif" w:hAnsi="Arial;sans-serif"/>
          <w:b w:val="false"/>
          <w:color w:val="161616"/>
          <w:sz w:val="20"/>
        </w:rPr>
      </w:pPr>
      <w:r>
        <w:rPr>
          <w:rFonts w:ascii="Arial;sans-serif" w:hAnsi="Arial;sans-serif"/>
          <w:b w:val="false"/>
          <w:color w:val="161616"/>
          <w:sz w:val="20"/>
        </w:rPr>
        <w:t>Gina Lobban</w:t>
      </w:r>
    </w:p>
    <w:p>
      <w:pPr>
        <w:pStyle w:val="TextBody"/>
        <w:bidi w:val="0"/>
        <w:spacing w:lineRule="auto" w:line="379" w:before="79" w:after="283"/>
        <w:ind w:left="0" w:right="0" w:firstLine="3"/>
        <w:jc w:val="left"/>
        <w:rPr>
          <w:rFonts w:ascii="Arial;sans-serif" w:hAnsi="Arial;sans-serif"/>
          <w:b w:val="false"/>
          <w:color w:val="161616"/>
          <w:sz w:val="20"/>
        </w:rPr>
      </w:pPr>
      <w:r>
        <w:rPr>
          <w:rFonts w:ascii="Arial;sans-serif" w:hAnsi="Arial;sans-serif"/>
          <w:b w:val="false"/>
          <w:color w:val="161616"/>
          <w:sz w:val="20"/>
        </w:rPr>
        <w:t>HR Business Partner, UK and Ireland NCR Limited</w:t>
      </w:r>
    </w:p>
    <w:p>
      <w:pPr>
        <w:pStyle w:val="TextBody"/>
        <w:bidi w:val="0"/>
        <w:spacing w:before="0" w:after="0"/>
        <w:jc w:val="left"/>
        <w:rPr/>
      </w:pPr>
      <w:r>
        <w:rPr/>
      </w:r>
    </w:p>
    <w:p>
      <w:pPr>
        <w:pStyle w:val="TextBody"/>
        <w:bidi w:val="0"/>
        <w:spacing w:before="165" w:after="283"/>
        <w:jc w:val="left"/>
        <w:rPr/>
      </w:pPr>
      <w:r>
        <w:rPr/>
      </w:r>
    </w:p>
    <w:p>
      <w:pPr>
        <w:pStyle w:val="TextBody"/>
        <w:bidi w:val="0"/>
        <w:spacing w:lineRule="auto" w:line="288" w:before="1" w:after="283"/>
        <w:jc w:val="left"/>
        <w:rPr>
          <w:rFonts w:ascii="Arial;sans-serif" w:hAnsi="Arial;sans-serif"/>
          <w:b w:val="false"/>
          <w:color w:val="161616"/>
          <w:sz w:val="20"/>
        </w:rPr>
      </w:pPr>
      <w:r>
        <w:rPr>
          <w:rFonts w:ascii="Arial;sans-serif" w:hAnsi="Arial;sans-serif"/>
          <w:b w:val="false"/>
          <w:color w:val="161616"/>
          <w:sz w:val="20"/>
        </w:rPr>
        <w:t>Signed acceptance of amendment to employment contract:</w:t>
      </w:r>
    </w:p>
    <w:p>
      <w:pPr>
        <w:pStyle w:val="TextBody"/>
        <w:bidi w:val="0"/>
        <w:spacing w:before="0" w:after="0"/>
        <w:jc w:val="left"/>
        <w:rPr/>
      </w:pPr>
      <w:r>
        <w:rPr/>
      </w:r>
    </w:p>
    <w:p>
      <w:pPr>
        <w:pStyle w:val="TextBody"/>
        <w:bidi w:val="0"/>
        <w:spacing w:before="0" w:after="0"/>
        <w:jc w:val="left"/>
        <w:rPr/>
      </w:pPr>
      <w:r>
        <w:rPr/>
      </w:r>
    </w:p>
    <w:p>
      <w:pPr>
        <w:pStyle w:val="TextBody"/>
        <w:bidi w:val="0"/>
        <w:spacing w:before="19" w:after="283"/>
        <w:jc w:val="left"/>
        <w:rPr/>
      </w:pPr>
      <w:r>
        <w:rPr/>
      </w:r>
    </w:p>
    <w:p>
      <w:pPr>
        <w:pStyle w:val="TextBody"/>
        <w:bidi w:val="0"/>
        <w:spacing w:lineRule="auto" w:line="288" w:before="1" w:after="283"/>
        <w:jc w:val="left"/>
        <w:rPr>
          <w:rFonts w:ascii="Arial;sans-serif" w:hAnsi="Arial;sans-serif"/>
          <w:b w:val="false"/>
          <w:color w:val="161616"/>
          <w:sz w:val="20"/>
        </w:rPr>
      </w:pPr>
      <w:r>
        <w:rPr>
          <w:rFonts w:ascii="Arial;sans-serif" w:hAnsi="Arial;sans-serif"/>
          <w:b w:val="false"/>
          <w:color w:val="161616"/>
          <w:sz w:val="20"/>
        </w:rPr>
        <w:t>Name: Darren Wilson</w:t>
      </w:r>
    </w:p>
    <w:p>
      <w:pPr>
        <w:pStyle w:val="TextBody"/>
        <w:bidi w:val="0"/>
        <w:spacing w:before="2" w:after="283"/>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20"/>
        </w:rPr>
        <w:t>Signed:</w:t>
      </w:r>
      <w:r>
        <w:rPr>
          <w:color w:val="000000"/>
          <w:u w:val="single"/>
        </w:rPr>
        <w:t xml:space="preserve"> </w:t>
      </w:r>
      <w:r>
        <w:rPr>
          <w:rFonts w:ascii="Arial;sans-serif" w:hAnsi="Arial;sans-serif"/>
          <w:b w:val="false"/>
          <w:color w:val="000000"/>
          <w:sz w:val="20"/>
          <w:u w:val="single"/>
        </w:rPr>
        <w:t>/s/ Darren Wilson</w:t>
      </w:r>
    </w:p>
    <w:p>
      <w:pPr>
        <w:pStyle w:val="TextBody"/>
        <w:bidi w:val="0"/>
        <w:spacing w:lineRule="auto" w:line="288" w:before="0" w:after="0"/>
        <w:jc w:val="left"/>
        <w:rPr>
          <w:color w:val="161616"/>
        </w:rPr>
      </w:pPr>
      <w:r>
        <w:rPr>
          <w:color w:val="161616"/>
        </w:rPr>
        <w:t>    </w:t>
      </w:r>
    </w:p>
    <w:p>
      <w:pPr>
        <w:pStyle w:val="TextBody"/>
        <w:bidi w:val="0"/>
        <w:spacing w:lineRule="auto" w:line="288" w:before="0" w:after="0"/>
        <w:jc w:val="left"/>
        <w:rPr>
          <w:color w:val="161616"/>
        </w:rPr>
      </w:pPr>
      <w:r>
        <w:rPr>
          <w:color w:val="161616"/>
        </w:rPr>
        <w:t>    </w:t>
      </w:r>
    </w:p>
    <w:p>
      <w:pPr>
        <w:pStyle w:val="TextBody"/>
        <w:bidi w:val="0"/>
        <w:spacing w:lineRule="auto" w:line="288"/>
        <w:jc w:val="left"/>
        <w:rPr>
          <w:rFonts w:ascii="Arial;sans-serif" w:hAnsi="Arial;sans-serif"/>
          <w:b w:val="false"/>
          <w:color w:val="161616"/>
          <w:sz w:val="20"/>
        </w:rPr>
      </w:pPr>
      <w:r>
        <w:rPr>
          <w:rFonts w:ascii="Arial;sans-serif" w:hAnsi="Arial;sans-serif"/>
          <w:b w:val="false"/>
          <w:color w:val="161616"/>
          <w:sz w:val="20"/>
        </w:rPr>
        <w:t>Date: February 9,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Arial;sans-serif" w:hAnsi="Arial;sans-serif"/>
          <w:b/>
          <w:color w:val="000000"/>
          <w:sz w:val="16"/>
        </w:rPr>
      </w:pPr>
      <w:r>
        <w:rPr>
          <w:rFonts w:ascii="Arial;sans-serif" w:hAnsi="Arial;sans-serif"/>
          <w:b/>
          <w:color w:val="000000"/>
          <w:sz w:val="16"/>
        </w:rPr>
        <w:t>Exhibit 19</w:t>
      </w:r>
    </w:p>
    <w:p>
      <w:pPr>
        <w:pStyle w:val="TextBody"/>
        <w:bidi w:val="0"/>
        <w:spacing w:lineRule="auto" w:line="288" w:before="78" w:after="283"/>
        <w:jc w:val="left"/>
        <w:rPr>
          <w:rFonts w:ascii="Arial;sans-serif" w:hAnsi="Arial;sans-serif"/>
          <w:b/>
          <w:i/>
          <w:color w:val="000000"/>
          <w:sz w:val="24"/>
        </w:rPr>
      </w:pPr>
      <w:r>
        <w:rPr>
          <w:rFonts w:ascii="Arial;sans-serif" w:hAnsi="Arial;sans-serif"/>
          <w:b/>
          <w:i/>
          <w:color w:val="000000"/>
          <w:sz w:val="24"/>
        </w:rPr>
        <w:t>CORPORATE MANAGEMENT POLICY MANUAL</w:t>
      </w:r>
    </w:p>
    <w:p>
      <w:pPr>
        <w:pStyle w:val="TextBody"/>
        <w:bidi w:val="0"/>
        <w:spacing w:before="74" w:after="283"/>
        <w:jc w:val="left"/>
        <w:rPr/>
      </w:pPr>
      <w:r>
        <w:rPr/>
      </w:r>
    </w:p>
    <w:tbl>
      <w:tblPr>
        <w:tblW w:w="4394" w:type="dxa"/>
        <w:jc w:val="left"/>
        <w:tblInd w:w="0" w:type="dxa"/>
        <w:tblLayout w:type="fixed"/>
        <w:tblCellMar>
          <w:top w:w="28" w:type="dxa"/>
          <w:left w:w="28" w:type="dxa"/>
          <w:bottom w:w="28" w:type="dxa"/>
          <w:right w:w="28" w:type="dxa"/>
        </w:tblCellMar>
      </w:tblPr>
      <w:tblGrid>
        <w:gridCol w:w="413"/>
        <w:gridCol w:w="363"/>
        <w:gridCol w:w="365"/>
        <w:gridCol w:w="393"/>
        <w:gridCol w:w="393"/>
        <w:gridCol w:w="398"/>
        <w:gridCol w:w="279"/>
        <w:gridCol w:w="279"/>
        <w:gridCol w:w="281"/>
        <w:gridCol w:w="360"/>
        <w:gridCol w:w="360"/>
        <w:gridCol w:w="510"/>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325" w:type="dxa"/>
            <w:gridSpan w:val="6"/>
            <w:tcBorders>
              <w:top w:val="single" w:sz="6" w:space="0" w:color="000000"/>
              <w:left w:val="single" w:sz="6" w:space="0" w:color="000000"/>
            </w:tcBorders>
            <w:tcMar>
              <w:top w:w="30" w:type="dxa"/>
              <w:left w:w="57" w:type="dxa"/>
              <w:bottom w:w="0" w:type="dxa"/>
              <w:right w:w="0" w:type="dxa"/>
            </w:tcMar>
            <w:vAlign w:val="center"/>
          </w:tcPr>
          <w:p>
            <w:pPr>
              <w:pStyle w:val="TableContents"/>
              <w:bidi w:val="0"/>
              <w:spacing w:lineRule="auto" w:line="240" w:before="1" w:after="283"/>
              <w:jc w:val="left"/>
              <w:rPr>
                <w:rFonts w:ascii="Arial;sans-serif" w:hAnsi="Arial;sans-serif"/>
                <w:b w:val="false"/>
                <w:color w:val="000000"/>
                <w:sz w:val="16"/>
              </w:rPr>
            </w:pPr>
            <w:r>
              <w:rPr>
                <w:rFonts w:ascii="Arial;sans-serif" w:hAnsi="Arial;sans-serif"/>
                <w:b w:val="false"/>
                <w:color w:val="000000"/>
                <w:sz w:val="16"/>
              </w:rPr>
              <w:t>Policy</w:t>
            </w:r>
          </w:p>
        </w:tc>
        <w:tc>
          <w:tcPr>
            <w:tcW w:w="839"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Policy No.</w:t>
            </w:r>
          </w:p>
          <w:p>
            <w:pPr>
              <w:pStyle w:val="TableContents"/>
              <w:bidi w:val="0"/>
              <w:spacing w:lineRule="atLeast" w:line="232" w:before="40" w:after="283"/>
              <w:jc w:val="center"/>
              <w:rPr>
                <w:rFonts w:ascii="Arial;sans-serif" w:hAnsi="Arial;sans-serif"/>
                <w:b w:val="false"/>
                <w:color w:val="000000"/>
                <w:sz w:val="22"/>
              </w:rPr>
            </w:pPr>
            <w:r>
              <w:rPr>
                <w:rFonts w:ascii="Arial;sans-serif" w:hAnsi="Arial;sans-serif"/>
                <w:b w:val="false"/>
                <w:color w:val="000000"/>
                <w:sz w:val="22"/>
              </w:rPr>
              <w:t>922</w:t>
            </w:r>
          </w:p>
        </w:tc>
        <w:tc>
          <w:tcPr>
            <w:tcW w:w="1230"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Page</w:t>
            </w:r>
          </w:p>
          <w:p>
            <w:pPr>
              <w:pStyle w:val="TableContents"/>
              <w:bidi w:val="0"/>
              <w:spacing w:lineRule="atLeast" w:line="232" w:before="40" w:after="283"/>
              <w:jc w:val="center"/>
              <w:rPr>
                <w:rFonts w:ascii="Arial;sans-serif" w:hAnsi="Arial;sans-serif"/>
                <w:b w:val="false"/>
                <w:color w:val="000000"/>
                <w:sz w:val="22"/>
              </w:rPr>
            </w:pPr>
            <w:r>
              <w:rPr>
                <w:rFonts w:ascii="Arial;sans-serif" w:hAnsi="Arial;sans-serif"/>
                <w:b w:val="false"/>
                <w:color w:val="000000"/>
                <w:sz w:val="22"/>
              </w:rPr>
              <w:t>1 of 8</w:t>
            </w:r>
          </w:p>
        </w:tc>
      </w:tr>
      <w:tr>
        <w:trPr/>
        <w:tc>
          <w:tcPr>
            <w:tcW w:w="2325" w:type="dxa"/>
            <w:gridSpan w:val="6"/>
            <w:tcBorders>
              <w:left w:val="single" w:sz="6" w:space="0" w:color="000000"/>
            </w:tcBorders>
            <w:tcMar>
              <w:top w:w="0" w:type="dxa"/>
              <w:bottom w:w="0" w:type="dxa"/>
              <w:right w:w="0" w:type="dxa"/>
            </w:tcMar>
            <w:vAlign w:val="center"/>
          </w:tcPr>
          <w:p>
            <w:pPr>
              <w:pStyle w:val="TableContents"/>
              <w:bidi w:val="0"/>
              <w:spacing w:lineRule="atLeast" w:line="253" w:before="0" w:after="0"/>
              <w:jc w:val="left"/>
              <w:rPr>
                <w:rFonts w:ascii="Arial;sans-serif" w:hAnsi="Arial;sans-serif"/>
                <w:b/>
                <w:color w:val="000000"/>
                <w:sz w:val="22"/>
              </w:rPr>
            </w:pPr>
            <w:r>
              <w:rPr>
                <w:rFonts w:ascii="Arial;sans-serif" w:hAnsi="Arial;sans-serif"/>
                <w:b/>
                <w:color w:val="000000"/>
                <w:sz w:val="22"/>
              </w:rPr>
              <w:t>INSIDER TRADING</w:t>
            </w:r>
          </w:p>
        </w:tc>
        <w:tc>
          <w:tcPr>
            <w:tcW w:w="83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Issue No.</w:t>
            </w:r>
          </w:p>
          <w:p>
            <w:pPr>
              <w:pStyle w:val="TableContents"/>
              <w:bidi w:val="0"/>
              <w:spacing w:lineRule="auto" w:line="288" w:before="102" w:after="283"/>
              <w:jc w:val="center"/>
              <w:rPr>
                <w:rFonts w:ascii="Arial;sans-serif" w:hAnsi="Arial;sans-serif"/>
                <w:b w:val="false"/>
                <w:color w:val="000000"/>
                <w:sz w:val="22"/>
              </w:rPr>
            </w:pPr>
            <w:r>
              <w:rPr>
                <w:rFonts w:ascii="Arial;sans-serif" w:hAnsi="Arial;sans-serif"/>
                <w:b w:val="false"/>
                <w:color w:val="000000"/>
                <w:sz w:val="22"/>
              </w:rPr>
              <w:t>11</w:t>
            </w:r>
          </w:p>
        </w:tc>
        <w:tc>
          <w:tcPr>
            <w:tcW w:w="1230" w:type="dxa"/>
            <w:gridSpan w:val="3"/>
            <w:tcBorders>
              <w:top w:val="single" w:sz="6" w:space="0" w:color="000000"/>
              <w:left w:val="single" w:sz="6" w:space="0" w:color="000000"/>
              <w:bottom w:val="single" w:sz="6" w:space="0" w:color="000000"/>
              <w:right w:val="single" w:sz="4" w:space="0" w:color="000000"/>
            </w:tcBorders>
            <w:tcMar>
              <w:top w:w="30" w:type="dxa"/>
              <w:bottom w:w="30" w:type="dxa"/>
            </w:tcMar>
            <w:vAlign w:val="center"/>
          </w:tcPr>
          <w:p>
            <w:pPr>
              <w:pStyle w:val="TableContents"/>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Issue Date</w:t>
            </w:r>
          </w:p>
          <w:p>
            <w:pPr>
              <w:pStyle w:val="TableContents"/>
              <w:bidi w:val="0"/>
              <w:spacing w:lineRule="auto" w:line="288" w:before="102" w:after="283"/>
              <w:jc w:val="left"/>
              <w:rPr>
                <w:rFonts w:ascii="Arial;sans-serif" w:hAnsi="Arial;sans-serif"/>
                <w:b w:val="false"/>
                <w:color w:val="000000"/>
                <w:sz w:val="22"/>
              </w:rPr>
            </w:pPr>
            <w:r>
              <w:rPr>
                <w:rFonts w:ascii="Arial;sans-serif" w:hAnsi="Arial;sans-serif"/>
                <w:b w:val="false"/>
                <w:color w:val="000000"/>
                <w:sz w:val="22"/>
              </w:rPr>
              <w:t>10/18/2023</w:t>
            </w:r>
          </w:p>
        </w:tc>
      </w:tr>
      <w:tr>
        <w:trPr/>
        <w:tc>
          <w:tcPr>
            <w:tcW w:w="1141" w:type="dxa"/>
            <w:gridSpan w:val="3"/>
            <w:vMerge w:val="restart"/>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Scope</w:t>
            </w:r>
          </w:p>
          <w:p>
            <w:pPr>
              <w:pStyle w:val="TableContents"/>
              <w:bidi w:val="0"/>
              <w:spacing w:lineRule="auto" w:line="288" w:before="40" w:after="283"/>
              <w:jc w:val="center"/>
              <w:rPr>
                <w:rFonts w:ascii="Arial;sans-serif" w:hAnsi="Arial;sans-serif"/>
                <w:b w:val="false"/>
                <w:color w:val="000000"/>
                <w:sz w:val="22"/>
              </w:rPr>
            </w:pPr>
            <w:r>
              <w:rPr>
                <w:rFonts w:ascii="Arial;sans-serif" w:hAnsi="Arial;sans-serif"/>
                <w:b w:val="false"/>
                <w:color w:val="000000"/>
                <w:sz w:val="22"/>
              </w:rPr>
              <w:t>Worldwide</w:t>
            </w:r>
          </w:p>
        </w:tc>
        <w:tc>
          <w:tcPr>
            <w:tcW w:w="1184" w:type="dxa"/>
            <w:gridSpan w:val="3"/>
            <w:vMerge w:val="restart"/>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Effective Date</w:t>
            </w:r>
          </w:p>
          <w:p>
            <w:pPr>
              <w:pStyle w:val="TableContents"/>
              <w:bidi w:val="0"/>
              <w:spacing w:before="1" w:after="283"/>
              <w:jc w:val="left"/>
              <w:rPr/>
            </w:pPr>
            <w:r>
              <w:rPr/>
            </w:r>
          </w:p>
          <w:p>
            <w:pPr>
              <w:pStyle w:val="TableContents"/>
              <w:bidi w:val="0"/>
              <w:spacing w:lineRule="auto" w:line="288" w:before="1" w:after="283"/>
              <w:jc w:val="left"/>
              <w:rPr>
                <w:rFonts w:ascii="Arial;sans-serif" w:hAnsi="Arial;sans-serif"/>
                <w:b w:val="false"/>
                <w:color w:val="000000"/>
                <w:sz w:val="22"/>
              </w:rPr>
            </w:pPr>
            <w:r>
              <w:rPr>
                <w:rFonts w:ascii="Arial;sans-serif" w:hAnsi="Arial;sans-serif"/>
                <w:b w:val="false"/>
                <w:color w:val="000000"/>
                <w:sz w:val="22"/>
              </w:rPr>
              <w:t>10/18/2023</w:t>
            </w:r>
          </w:p>
        </w:tc>
        <w:tc>
          <w:tcPr>
            <w:tcW w:w="2069" w:type="dxa"/>
            <w:gridSpan w:val="6"/>
            <w:tcBorders>
              <w:top w:val="single" w:sz="6" w:space="0" w:color="000000"/>
              <w:left w:val="single" w:sz="6" w:space="0" w:color="000000"/>
              <w:bottom w:val="single" w:sz="6" w:space="0" w:color="000000"/>
              <w:right w:val="single" w:sz="4" w:space="0" w:color="000000"/>
            </w:tcBorders>
            <w:tcMar>
              <w:top w:w="30" w:type="dxa"/>
              <w:bottom w:w="30" w:type="dxa"/>
            </w:tcMar>
            <w:vAlign w:val="center"/>
          </w:tcPr>
          <w:p>
            <w:pPr>
              <w:pStyle w:val="TableContents"/>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Approved By</w:t>
            </w:r>
          </w:p>
          <w:p>
            <w:pPr>
              <w:pStyle w:val="TableContents"/>
              <w:bidi w:val="0"/>
              <w:spacing w:lineRule="atLeast" w:line="220" w:before="40" w:after="283"/>
              <w:jc w:val="left"/>
              <w:rPr>
                <w:rFonts w:ascii="Arial;sans-serif" w:hAnsi="Arial;sans-serif"/>
                <w:b w:val="false"/>
                <w:color w:val="000000"/>
                <w:sz w:val="22"/>
              </w:rPr>
            </w:pPr>
            <w:r>
              <w:rPr>
                <w:rFonts w:ascii="Arial;sans-serif" w:hAnsi="Arial;sans-serif"/>
                <w:b w:val="false"/>
                <w:color w:val="000000"/>
                <w:sz w:val="22"/>
              </w:rPr>
              <w:t>Board of Directors</w:t>
            </w:r>
          </w:p>
        </w:tc>
      </w:tr>
      <w:tr>
        <w:trPr/>
        <w:tc>
          <w:tcPr>
            <w:tcW w:w="1141" w:type="dxa"/>
            <w:gridSpan w:val="3"/>
            <w:vMerge w:val="continue"/>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Normal"/>
              <w:bidi w:val="0"/>
              <w:jc w:val="left"/>
              <w:rPr/>
            </w:pPr>
            <w:r>
              <w:rPr/>
            </w:r>
          </w:p>
        </w:tc>
        <w:tc>
          <w:tcPr>
            <w:tcW w:w="1184" w:type="dxa"/>
            <w:gridSpan w:val="3"/>
            <w:vMerge w:val="continue"/>
            <w:tcBorders>
              <w:top w:val="single" w:sz="6" w:space="0" w:color="000000"/>
              <w:left w:val="single" w:sz="6" w:space="0" w:color="000000"/>
              <w:bottom w:val="single" w:sz="6" w:space="0" w:color="000000"/>
            </w:tcBorders>
            <w:tcMar>
              <w:top w:w="30" w:type="dxa"/>
              <w:bottom w:w="30" w:type="dxa"/>
              <w:right w:w="0" w:type="dxa"/>
            </w:tcMar>
            <w:vAlign w:val="center"/>
          </w:tcPr>
          <w:p>
            <w:pPr>
              <w:pStyle w:val="Normal"/>
              <w:bidi w:val="0"/>
              <w:jc w:val="left"/>
              <w:rPr/>
            </w:pPr>
            <w:r>
              <w:rPr/>
            </w:r>
          </w:p>
        </w:tc>
        <w:tc>
          <w:tcPr>
            <w:tcW w:w="2069" w:type="dxa"/>
            <w:gridSpan w:val="6"/>
            <w:tcBorders>
              <w:top w:val="single" w:sz="6" w:space="0" w:color="000000"/>
              <w:left w:val="single" w:sz="6" w:space="0" w:color="000000"/>
              <w:bottom w:val="single" w:sz="6" w:space="0" w:color="000000"/>
              <w:right w:val="single" w:sz="4" w:space="0" w:color="000000"/>
            </w:tcBorders>
            <w:tcMar>
              <w:top w:w="30" w:type="dxa"/>
              <w:bottom w:w="30" w:type="dxa"/>
            </w:tcMar>
            <w:vAlign w:val="center"/>
          </w:tcPr>
          <w:p>
            <w:pPr>
              <w:pStyle w:val="TableContents"/>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Organization</w:t>
            </w:r>
          </w:p>
          <w:p>
            <w:pPr>
              <w:pStyle w:val="TableContents"/>
              <w:bidi w:val="0"/>
              <w:spacing w:lineRule="atLeast" w:line="222" w:before="40" w:after="283"/>
              <w:jc w:val="left"/>
              <w:rPr>
                <w:rFonts w:ascii="Arial;sans-serif" w:hAnsi="Arial;sans-serif"/>
                <w:b w:val="false"/>
                <w:color w:val="000000"/>
                <w:sz w:val="22"/>
              </w:rPr>
            </w:pPr>
            <w:r>
              <w:rPr>
                <w:rFonts w:ascii="Arial;sans-serif" w:hAnsi="Arial;sans-serif"/>
                <w:b w:val="false"/>
                <w:color w:val="000000"/>
                <w:sz w:val="22"/>
              </w:rPr>
              <w:t>Law Department</w:t>
            </w:r>
          </w:p>
        </w:tc>
      </w:tr>
    </w:tbl>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POLICY PERSPECTIVE</w:t>
      </w:r>
    </w:p>
    <w:p>
      <w:pPr>
        <w:pStyle w:val="TextBody"/>
        <w:bidi w:val="0"/>
        <w:spacing w:lineRule="auto" w:line="288" w:before="185" w:after="283"/>
        <w:ind w:left="0" w:right="0" w:firstLine="1"/>
        <w:jc w:val="both"/>
        <w:rPr/>
      </w:pPr>
      <w:r>
        <w:rPr>
          <w:rFonts w:ascii="Arial;sans-serif" w:hAnsi="Arial;sans-serif"/>
          <w:b w:val="false"/>
          <w:color w:val="000000"/>
          <w:sz w:val="22"/>
        </w:rPr>
        <w:t>This policy applies to all officers, directors, employees (including temporary employees) and contractors of NCR Voyix Corporation and its subsidiaries (collectively, “</w:t>
      </w:r>
      <w:r>
        <w:rPr>
          <w:rFonts w:ascii="Arial;sans-serif" w:hAnsi="Arial;sans-serif"/>
          <w:b/>
          <w:color w:val="000000"/>
          <w:sz w:val="22"/>
        </w:rPr>
        <w:t>NCR</w:t>
      </w:r>
      <w:r>
        <w:rPr>
          <w:color w:val="000000"/>
        </w:rPr>
        <w:t xml:space="preserve">” </w:t>
      </w:r>
      <w:r>
        <w:rPr>
          <w:rFonts w:ascii="Arial;sans-serif" w:hAnsi="Arial;sans-serif"/>
          <w:b w:val="false"/>
          <w:color w:val="000000"/>
          <w:sz w:val="22"/>
        </w:rPr>
        <w:t>or the “</w:t>
      </w:r>
      <w:r>
        <w:rPr>
          <w:rFonts w:ascii="Arial;sans-serif" w:hAnsi="Arial;sans-serif"/>
          <w:b/>
          <w:color w:val="000000"/>
          <w:sz w:val="22"/>
        </w:rPr>
        <w:t>Company</w:t>
      </w:r>
      <w:r>
        <w:rPr>
          <w:color w:val="000000"/>
        </w:rPr>
        <w:t>”</w:t>
      </w:r>
      <w:r>
        <w:rPr>
          <w:rFonts w:ascii="Arial;sans-serif" w:hAnsi="Arial;sans-serif"/>
          <w:b w:val="false"/>
          <w:color w:val="000000"/>
          <w:sz w:val="22"/>
        </w:rPr>
        <w:t xml:space="preserve">) who have access, including temporary access, to material nonpublic information, as well as spouses, children, stepchildren, parents, stepparents, siblings, grandparents and in-laws </w:t>
      </w:r>
      <w:r>
        <w:rPr>
          <w:rFonts w:ascii="Arial;sans-serif" w:hAnsi="Arial;sans-serif"/>
          <w:b/>
          <w:color w:val="000000"/>
          <w:sz w:val="22"/>
        </w:rPr>
        <w:t>(“family members”</w:t>
      </w:r>
      <w:r>
        <w:rPr>
          <w:rFonts w:ascii="Arial;sans-serif" w:hAnsi="Arial;sans-serif"/>
          <w:b w:val="false"/>
          <w:color w:val="000000"/>
          <w:sz w:val="22"/>
        </w:rPr>
        <w:t xml:space="preserve">) of, and anyone who lives in the same household as, is financially dependent on, or whose transactions (including transactions by an entity) in NCR’s Securities are directed by or subject to the influence or control of, any such person (collectively, </w:t>
      </w:r>
      <w:r>
        <w:rPr>
          <w:color w:val="000000"/>
        </w:rPr>
        <w:t>“</w:t>
      </w:r>
      <w:r>
        <w:rPr>
          <w:rFonts w:ascii="Arial;sans-serif" w:hAnsi="Arial;sans-serif"/>
          <w:b/>
          <w:color w:val="000000"/>
          <w:sz w:val="22"/>
        </w:rPr>
        <w:t>Covered Persons”</w:t>
      </w:r>
      <w:r>
        <w:rPr>
          <w:rFonts w:ascii="Arial;sans-serif" w:hAnsi="Arial;sans-serif"/>
          <w:b w:val="false"/>
          <w:color w:val="000000"/>
          <w:sz w:val="22"/>
        </w:rPr>
        <w:t>). Covered Persons must not misuse financial or other information concerning the Company that has not been publicly disclosed. Similarly, Covered Persons must not misuse confidential information they learn about other companies during the course of their work for NCR. Improper use of material nonpublic information is more than an ethical consideration and a violation of this policy; it may be a violation of law. For these reasons, Covered Persons must not trade in NCR Securities or the securities of other companies while in possession of material nonpublic information and should avoid even the appearance of improper use of such information. Each Covered Person is responsible for making sure that he or she complies with this policy, and that any family member, household member, or other person or entity described above whose transactions are subject to this policy also comply with this policy. In all cases, the responsibility for determining whether an individual is in possession of material nonpublic information rests with that individual, and any action on the part of the Company or any other employee or director pursuant to this policy (or otherwise) does not in any way constitute legal advice or insulate an individual from liability under applicable securities laws.</w:t>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POLICY</w:t>
      </w:r>
    </w:p>
    <w:p>
      <w:pPr>
        <w:pStyle w:val="TextBody"/>
        <w:bidi w:val="0"/>
        <w:spacing w:lineRule="auto" w:line="288" w:before="182" w:after="283"/>
        <w:jc w:val="both"/>
        <w:rPr>
          <w:rFonts w:ascii="Arial;sans-serif" w:hAnsi="Arial;sans-serif"/>
          <w:b w:val="false"/>
          <w:color w:val="000000"/>
          <w:sz w:val="22"/>
        </w:rPr>
      </w:pPr>
      <w:r>
        <w:rPr>
          <w:rFonts w:ascii="Arial;sans-serif" w:hAnsi="Arial;sans-serif"/>
          <w:b w:val="false"/>
          <w:color w:val="000000"/>
          <w:sz w:val="22"/>
        </w:rPr>
        <w:t>Covered Persons may not engage in any of the following activities directly or indirectly through family members or other persons or entities:</w:t>
      </w:r>
    </w:p>
    <w:p>
      <w:pPr>
        <w:pStyle w:val="TextBody"/>
        <w:bidi w:val="0"/>
        <w:spacing w:lineRule="auto" w:line="288" w:before="121" w:after="283"/>
        <w:ind w:left="0" w:right="0" w:hanging="361"/>
        <w:jc w:val="both"/>
        <w:rPr>
          <w:rFonts w:ascii="Arial;sans-serif" w:hAnsi="Arial;sans-serif"/>
          <w:b w:val="false"/>
          <w:color w:val="000000"/>
          <w:sz w:val="22"/>
        </w:rPr>
      </w:pPr>
      <w:r>
        <w:rPr>
          <w:rFonts w:ascii="Arial;sans-serif" w:hAnsi="Arial;sans-serif"/>
          <w:b w:val="false"/>
          <w:color w:val="000000"/>
          <w:sz w:val="22"/>
        </w:rPr>
        <w:t>(a)trading in NCR Securities while in possession of material nonpublic information about the Company;</w:t>
      </w:r>
    </w:p>
    <w:p>
      <w:pPr>
        <w:pStyle w:val="TextBody"/>
        <w:bidi w:val="0"/>
        <w:spacing w:lineRule="atLeast" w:line="252" w:before="0" w:after="0"/>
        <w:ind w:left="0" w:right="0" w:hanging="357"/>
        <w:jc w:val="both"/>
        <w:rPr>
          <w:rFonts w:ascii="Arial;sans-serif" w:hAnsi="Arial;sans-serif"/>
          <w:b w:val="false"/>
          <w:color w:val="000000"/>
          <w:sz w:val="22"/>
        </w:rPr>
      </w:pPr>
      <w:r>
        <w:rPr>
          <w:rFonts w:ascii="Arial;sans-serif" w:hAnsi="Arial;sans-serif"/>
          <w:b w:val="false"/>
          <w:color w:val="000000"/>
          <w:sz w:val="22"/>
        </w:rPr>
        <w:t>(b)hedging, or engaging in transactions of derivative securities of the Company at any time;</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(c)tipping others by disclosing material nonpublic information about NCR, or otherwise disclosing material nonpublic information to persons within the Company whose jobs do not require them to have that information or outside of the Company to other persons, including, but not limited to, family members, friends, business associates, investors and consulting firms, unless any such disclosure is made in accordance with the Company’s policies regarding the protection or authorized external disclosure of information regarding the Company; or</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(d)trading in securities of other companies, or tipping information about such companies, based on material nonpublic information learned in the course of their job at NCR.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639" w:type="dxa"/>
        <w:jc w:val="left"/>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Arial;sans-serif" w:hAnsi="Arial;sans-serif"/>
                <w:b/>
                <w:i/>
                <w:color w:val="000000"/>
                <w:sz w:val="24"/>
              </w:rPr>
            </w:pPr>
            <w:r>
              <w:rPr>
                <w:rFonts w:ascii="Arial;sans-serif" w:hAnsi="Arial;sans-serif"/>
                <w:b/>
                <w:i/>
                <w:color w:val="000000"/>
                <w:sz w:val="24"/>
              </w:rPr>
              <w:t>CORPORATE MANAGEMENT POLICY MANUAL</w:t>
            </w:r>
          </w:p>
        </w:tc>
      </w:tr>
    </w:tbl>
    <w:p>
      <w:pPr>
        <w:pStyle w:val="TextBody"/>
        <w:bidi w:val="0"/>
        <w:spacing w:before="74" w:after="283"/>
        <w:jc w:val="left"/>
        <w:rPr/>
      </w:pPr>
      <w:r>
        <w:rPr/>
      </w:r>
    </w:p>
    <w:tbl>
      <w:tblPr>
        <w:tblW w:w="3657" w:type="dxa"/>
        <w:jc w:val="left"/>
        <w:tblInd w:w="0" w:type="dxa"/>
        <w:tblLayout w:type="fixed"/>
        <w:tblCellMar>
          <w:top w:w="28" w:type="dxa"/>
          <w:left w:w="28" w:type="dxa"/>
          <w:bottom w:w="28" w:type="dxa"/>
          <w:right w:w="28" w:type="dxa"/>
        </w:tblCellMar>
      </w:tblPr>
      <w:tblGrid>
        <w:gridCol w:w="765"/>
        <w:gridCol w:w="673"/>
        <w:gridCol w:w="676"/>
        <w:gridCol w:w="299"/>
        <w:gridCol w:w="299"/>
        <w:gridCol w:w="301"/>
        <w:gridCol w:w="188"/>
        <w:gridCol w:w="188"/>
        <w:gridCol w:w="268"/>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left"/>
              <w:rPr>
                <w:rFonts w:ascii="Arial;sans-serif" w:hAnsi="Arial;sans-serif"/>
                <w:b/>
                <w:color w:val="000000"/>
                <w:sz w:val="16"/>
              </w:rPr>
            </w:pPr>
            <w:r>
              <w:rPr>
                <w:rFonts w:ascii="Arial;sans-serif" w:hAnsi="Arial;sans-serif"/>
                <w:b/>
                <w:color w:val="000000"/>
                <w:sz w:val="16"/>
              </w:rPr>
              <w:t>Policy</w:t>
            </w:r>
          </w:p>
          <w:p>
            <w:pPr>
              <w:pStyle w:val="TableContents"/>
              <w:bidi w:val="0"/>
              <w:spacing w:lineRule="auto" w:line="288" w:before="81" w:after="283"/>
              <w:jc w:val="left"/>
              <w:rPr>
                <w:rFonts w:ascii="Arial;sans-serif" w:hAnsi="Arial;sans-serif"/>
                <w:b w:val="false"/>
                <w:color w:val="000000"/>
                <w:sz w:val="22"/>
              </w:rPr>
            </w:pPr>
            <w:r>
              <w:rPr>
                <w:rFonts w:ascii="Arial;sans-serif" w:hAnsi="Arial;sans-serif"/>
                <w:b w:val="false"/>
                <w:color w:val="000000"/>
                <w:sz w:val="22"/>
              </w:rPr>
              <w:t>INSIDER TRADING</w:t>
            </w:r>
          </w:p>
        </w:tc>
        <w:tc>
          <w:tcPr>
            <w:tcW w:w="8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Policy No.</w:t>
            </w:r>
          </w:p>
          <w:p>
            <w:pPr>
              <w:pStyle w:val="TableContents"/>
              <w:bidi w:val="0"/>
              <w:spacing w:lineRule="atLeast" w:line="230" w:before="0" w:after="0"/>
              <w:jc w:val="center"/>
              <w:rPr>
                <w:rFonts w:ascii="Arial;sans-serif" w:hAnsi="Arial;sans-serif"/>
                <w:b w:val="false"/>
                <w:color w:val="000000"/>
                <w:sz w:val="20"/>
              </w:rPr>
            </w:pPr>
            <w:r>
              <w:rPr>
                <w:rFonts w:ascii="Arial;sans-serif" w:hAnsi="Arial;sans-serif"/>
                <w:b w:val="false"/>
                <w:color w:val="000000"/>
                <w:sz w:val="20"/>
              </w:rPr>
              <w:t>922</w:t>
            </w:r>
          </w:p>
        </w:tc>
        <w:tc>
          <w:tcPr>
            <w:tcW w:w="6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Page</w:t>
            </w:r>
          </w:p>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2 of 8</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Covered Persons who are designated as Restricted Insiders also must not trade in NCR Securities during Blackout Periods that are instituted before and after the Company’s financial results are publicly disclosed and at other times when important developments have not yet been publicly disclosed. Speculative trading of NCR Securities (both buying and selling shares within a six-month period) by any NCR Executive Officers or members of the NCR Board of Directors is also prohibited. In addition, (i) any member of the Board of Directors, (ii) each Executive Officer and each other direct report of the Chief Executive Officer, (iii) each direct report of the Chief Financial Officer, and (iv) all corporations, partnerships, trusts or other entities controlled by any of the above must receive pre-clearance as described below prior to trading in NCR Securities. Any violations of this policy must be reported immediately to the Law Department or to NCR’s Alert Line. Such violations may result in disciplinary action, including immediate termination of employment.</w:t>
      </w:r>
    </w:p>
    <w:p>
      <w:pPr>
        <w:pStyle w:val="TextBody"/>
        <w:bidi w:val="0"/>
        <w:spacing w:before="24" w:after="283"/>
        <w:jc w:val="left"/>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POLICY STATEMENTS</w:t>
      </w:r>
    </w:p>
    <w:p>
      <w:pPr>
        <w:pStyle w:val="TextBody"/>
        <w:bidi w:val="0"/>
        <w:spacing w:before="0" w:after="0"/>
        <w:jc w:val="both"/>
        <w:rPr/>
      </w:pPr>
      <w:r>
        <w:rPr/>
      </w:r>
    </w:p>
    <w:p>
      <w:pPr>
        <w:pStyle w:val="TextBody"/>
        <w:bidi w:val="0"/>
        <w:spacing w:lineRule="auto" w:line="288" w:before="11" w:after="283"/>
        <w:jc w:val="left"/>
        <w:rPr>
          <w:rFonts w:ascii="Arial;sans-serif" w:hAnsi="Arial;sans-serif"/>
          <w:b/>
          <w:color w:val="000000"/>
          <w:sz w:val="22"/>
        </w:rPr>
      </w:pPr>
      <w:r>
        <w:rPr>
          <w:rFonts w:ascii="Arial;sans-serif" w:hAnsi="Arial;sans-serif"/>
          <w:b/>
          <w:color w:val="000000"/>
          <w:sz w:val="22"/>
        </w:rPr>
        <w:t>GENERAL RULES</w:t>
      </w:r>
    </w:p>
    <w:p>
      <w:pPr>
        <w:pStyle w:val="TextBody"/>
        <w:bidi w:val="0"/>
        <w:spacing w:before="8" w:after="283"/>
        <w:jc w:val="left"/>
        <w:rPr/>
      </w:pPr>
      <w:r>
        <w:rPr/>
      </w:r>
    </w:p>
    <w:p>
      <w:pPr>
        <w:pStyle w:val="TextBody"/>
        <w:bidi w:val="0"/>
        <w:spacing w:lineRule="auto" w:line="288" w:before="0" w:after="0"/>
        <w:ind w:left="0" w:right="0" w:hanging="358"/>
        <w:jc w:val="both"/>
        <w:rPr/>
      </w:pPr>
      <w:r>
        <w:rPr>
          <w:rFonts w:ascii="Arial;sans-serif" w:hAnsi="Arial;sans-serif"/>
          <w:b/>
          <w:color w:val="000000"/>
          <w:sz w:val="22"/>
        </w:rPr>
        <w:t>1.</w:t>
      </w:r>
      <w:r>
        <w:rPr>
          <w:rFonts w:ascii="Arial;sans-serif" w:hAnsi="Arial;sans-serif"/>
          <w:b/>
          <w:color w:val="000000"/>
          <w:sz w:val="22"/>
        </w:rPr>
        <w:t>Key Definitions</w:t>
      </w:r>
    </w:p>
    <w:p>
      <w:pPr>
        <w:pStyle w:val="TextBody"/>
        <w:bidi w:val="0"/>
        <w:spacing w:before="0" w:after="0"/>
        <w:jc w:val="left"/>
        <w:rPr/>
      </w:pPr>
      <w:r>
        <w:rPr/>
      </w:r>
    </w:p>
    <w:p>
      <w:pPr>
        <w:pStyle w:val="TextBody"/>
        <w:bidi w:val="0"/>
        <w:spacing w:lineRule="auto" w:line="288" w:before="1" w:after="283"/>
        <w:jc w:val="both"/>
        <w:rPr/>
      </w:pPr>
      <w:r>
        <w:rPr>
          <w:rFonts w:ascii="Arial;sans-serif" w:hAnsi="Arial;sans-serif"/>
          <w:b w:val="false"/>
          <w:color w:val="000000"/>
          <w:sz w:val="22"/>
        </w:rPr>
        <w:t>1.1</w:t>
      </w:r>
      <w:r>
        <w:rPr>
          <w:color w:val="000000"/>
        </w:rPr>
        <w:t>“</w:t>
      </w:r>
      <w:r>
        <w:rPr>
          <w:rFonts w:ascii="Arial;sans-serif" w:hAnsi="Arial;sans-serif"/>
          <w:b/>
          <w:color w:val="000000"/>
          <w:sz w:val="22"/>
        </w:rPr>
        <w:t>Material nonpublic information</w:t>
      </w:r>
      <w:r>
        <w:rPr>
          <w:color w:val="000000"/>
        </w:rPr>
        <w:t xml:space="preserve">” </w:t>
      </w:r>
      <w:r>
        <w:rPr>
          <w:rFonts w:ascii="Arial;sans-serif" w:hAnsi="Arial;sans-serif"/>
          <w:b w:val="false"/>
          <w:color w:val="000000"/>
          <w:sz w:val="22"/>
        </w:rPr>
        <w:t>is information about a company that (a) has not been widely disclosed and available to the public for at least two business days, and (b) a reasonable investor is likely to consider important to his or her decision to buy, sell or hold a security of that company. Material nonpublic information can be positive or negative and is not limited to financial information. Under most circumstances, the following information would be considered material: (a) actual or projected unreported financial information, especially profitability data, about the Company, or one or more of its segments, major business units or sales theaters; (b) major proposed or pending mergers, acquisitions or divestitures; (c) the existence of an event-specific Blackout Period; or (d) significant changes in capital structure, such as a stock split or a stock buy-back program. For more examples of material nonpublic information, please refer to the Policy Supplement. Covered Persons may learn material nonpublic information because they have a “need to know” that information to perform their jobs. They may also indirectly learn material nonpublic information at work by “putting two-and-two together,” overhearing colleagues, etc. Regardless of how the information is learned, the same restrictions on trading NCR Securities apply.</w:t>
      </w:r>
    </w:p>
    <w:p>
      <w:pPr>
        <w:pStyle w:val="TextBody"/>
        <w:bidi w:val="0"/>
        <w:spacing w:lineRule="auto" w:line="288" w:before="250" w:after="283"/>
        <w:ind w:left="0" w:right="0" w:firstLine="12"/>
        <w:jc w:val="both"/>
        <w:rPr/>
      </w:pPr>
      <w:r>
        <w:rPr>
          <w:rFonts w:ascii="Arial;sans-serif" w:hAnsi="Arial;sans-serif"/>
          <w:b w:val="false"/>
          <w:color w:val="000000"/>
          <w:sz w:val="22"/>
        </w:rPr>
        <w:t>1.2</w:t>
      </w:r>
      <w:r>
        <w:rPr>
          <w:color w:val="000000"/>
        </w:rPr>
        <w:t>“</w:t>
      </w:r>
      <w:r>
        <w:rPr>
          <w:rFonts w:ascii="Arial;sans-serif" w:hAnsi="Arial;sans-serif"/>
          <w:b/>
          <w:color w:val="000000"/>
          <w:sz w:val="22"/>
        </w:rPr>
        <w:t xml:space="preserve">NCR Securities” </w:t>
      </w:r>
      <w:r>
        <w:rPr>
          <w:rFonts w:ascii="Arial;sans-serif" w:hAnsi="Arial;sans-serif"/>
          <w:b w:val="false"/>
          <w:color w:val="000000"/>
          <w:sz w:val="22"/>
        </w:rPr>
        <w:t>includes shares of NCR Voyix Corporation or its subsidiaries’ common stock, options to purchase common stock, preferred stock, or any other type of securities NCR may issue. Also considered NCR Securities are notes, debentures or other types of debt securities, warrants, rights, and convertible securities, as well as derivative securities, which include publicly traded options, short sales, puts, calls, straddles, strips, or similar derivative securities, whether issued directly by the Company or by any stock exchange.</w:t>
      </w:r>
    </w:p>
    <w:p>
      <w:pPr>
        <w:pStyle w:val="TextBody"/>
        <w:bidi w:val="0"/>
        <w:spacing w:before="0" w:after="0"/>
        <w:jc w:val="left"/>
        <w:rPr/>
      </w:pPr>
      <w:r>
        <w:rPr/>
      </w:r>
    </w:p>
    <w:p>
      <w:pPr>
        <w:pStyle w:val="TextBody"/>
        <w:bidi w:val="0"/>
        <w:spacing w:lineRule="auto" w:line="288" w:before="0" w:after="0"/>
        <w:ind w:left="0" w:right="0" w:firstLine="11"/>
        <w:jc w:val="both"/>
        <w:rPr/>
      </w:pPr>
      <w:r>
        <w:rPr>
          <w:rFonts w:ascii="Arial;sans-serif" w:hAnsi="Arial;sans-serif"/>
          <w:b w:val="false"/>
          <w:color w:val="000000"/>
          <w:sz w:val="22"/>
        </w:rPr>
        <w:t>1.3</w:t>
      </w:r>
      <w:r>
        <w:rPr>
          <w:color w:val="000000"/>
        </w:rPr>
        <w:t>“</w:t>
      </w:r>
      <w:r>
        <w:rPr>
          <w:rFonts w:ascii="Arial;sans-serif" w:hAnsi="Arial;sans-serif"/>
          <w:b/>
          <w:color w:val="000000"/>
          <w:sz w:val="22"/>
        </w:rPr>
        <w:t xml:space="preserve">Trading” </w:t>
      </w:r>
      <w:r>
        <w:rPr>
          <w:rFonts w:ascii="Arial;sans-serif" w:hAnsi="Arial;sans-serif"/>
          <w:b w:val="false"/>
          <w:color w:val="000000"/>
          <w:sz w:val="22"/>
        </w:rPr>
        <w:t>in NCR Securities, for purposes of this policy, does not include (a) purchases or sales pursuant to, and in accordance with, an existing trading plan under Rule 10b5-1 of the Securities Exchange Act of 1934 that complies with the NCR Corporation 10b5-1 Sale Plan Guidelines where such plan has been pre-approved by the Law Department, (b) systematic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639" w:type="dxa"/>
        <w:jc w:val="left"/>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Arial;sans-serif" w:hAnsi="Arial;sans-serif"/>
                <w:b/>
                <w:i/>
                <w:color w:val="000000"/>
                <w:sz w:val="24"/>
              </w:rPr>
            </w:pPr>
            <w:r>
              <w:rPr>
                <w:rFonts w:ascii="Arial;sans-serif" w:hAnsi="Arial;sans-serif"/>
                <w:b/>
                <w:i/>
                <w:color w:val="000000"/>
                <w:sz w:val="24"/>
              </w:rPr>
              <w:t>CORPORATE MANAGEMENT POLICY MANUAL</w:t>
            </w:r>
          </w:p>
        </w:tc>
      </w:tr>
    </w:tbl>
    <w:p>
      <w:pPr>
        <w:pStyle w:val="TextBody"/>
        <w:bidi w:val="0"/>
        <w:spacing w:before="74" w:after="283"/>
        <w:jc w:val="left"/>
        <w:rPr/>
      </w:pPr>
      <w:r>
        <w:rPr/>
      </w:r>
    </w:p>
    <w:tbl>
      <w:tblPr>
        <w:tblW w:w="3657" w:type="dxa"/>
        <w:jc w:val="left"/>
        <w:tblInd w:w="0" w:type="dxa"/>
        <w:tblLayout w:type="fixed"/>
        <w:tblCellMar>
          <w:top w:w="28" w:type="dxa"/>
          <w:left w:w="28" w:type="dxa"/>
          <w:bottom w:w="28" w:type="dxa"/>
          <w:right w:w="28" w:type="dxa"/>
        </w:tblCellMar>
      </w:tblPr>
      <w:tblGrid>
        <w:gridCol w:w="765"/>
        <w:gridCol w:w="673"/>
        <w:gridCol w:w="676"/>
        <w:gridCol w:w="299"/>
        <w:gridCol w:w="299"/>
        <w:gridCol w:w="301"/>
        <w:gridCol w:w="188"/>
        <w:gridCol w:w="188"/>
        <w:gridCol w:w="268"/>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left"/>
              <w:rPr>
                <w:rFonts w:ascii="Arial;sans-serif" w:hAnsi="Arial;sans-serif"/>
                <w:b/>
                <w:color w:val="000000"/>
                <w:sz w:val="16"/>
              </w:rPr>
            </w:pPr>
            <w:r>
              <w:rPr>
                <w:rFonts w:ascii="Arial;sans-serif" w:hAnsi="Arial;sans-serif"/>
                <w:b/>
                <w:color w:val="000000"/>
                <w:sz w:val="16"/>
              </w:rPr>
              <w:t>Policy</w:t>
            </w:r>
          </w:p>
          <w:p>
            <w:pPr>
              <w:pStyle w:val="TableContents"/>
              <w:bidi w:val="0"/>
              <w:spacing w:lineRule="auto" w:line="288" w:before="81" w:after="283"/>
              <w:jc w:val="left"/>
              <w:rPr>
                <w:rFonts w:ascii="Arial;sans-serif" w:hAnsi="Arial;sans-serif"/>
                <w:b w:val="false"/>
                <w:color w:val="000000"/>
                <w:sz w:val="22"/>
              </w:rPr>
            </w:pPr>
            <w:r>
              <w:rPr>
                <w:rFonts w:ascii="Arial;sans-serif" w:hAnsi="Arial;sans-serif"/>
                <w:b w:val="false"/>
                <w:color w:val="000000"/>
                <w:sz w:val="22"/>
              </w:rPr>
              <w:t>INSIDER TRADING</w:t>
            </w:r>
          </w:p>
        </w:tc>
        <w:tc>
          <w:tcPr>
            <w:tcW w:w="8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Policy No.</w:t>
            </w:r>
          </w:p>
          <w:p>
            <w:pPr>
              <w:pStyle w:val="TableContents"/>
              <w:bidi w:val="0"/>
              <w:spacing w:lineRule="atLeast" w:line="230" w:before="0" w:after="0"/>
              <w:jc w:val="center"/>
              <w:rPr>
                <w:rFonts w:ascii="Arial;sans-serif" w:hAnsi="Arial;sans-serif"/>
                <w:b w:val="false"/>
                <w:color w:val="000000"/>
                <w:sz w:val="20"/>
              </w:rPr>
            </w:pPr>
            <w:r>
              <w:rPr>
                <w:rFonts w:ascii="Arial;sans-serif" w:hAnsi="Arial;sans-serif"/>
                <w:b w:val="false"/>
                <w:color w:val="000000"/>
                <w:sz w:val="20"/>
              </w:rPr>
              <w:t>922</w:t>
            </w:r>
          </w:p>
        </w:tc>
        <w:tc>
          <w:tcPr>
            <w:tcW w:w="6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Page</w:t>
            </w:r>
          </w:p>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3 of 8</w:t>
            </w:r>
          </w:p>
        </w:tc>
      </w:tr>
    </w:tbl>
    <w:p>
      <w:pPr>
        <w:pStyle w:val="TextBody"/>
        <w:bidi w:val="0"/>
        <w:spacing w:lineRule="auto" w:line="288" w:before="252" w:after="283"/>
        <w:jc w:val="both"/>
        <w:rPr/>
      </w:pPr>
      <w:r>
        <w:rPr>
          <w:rFonts w:ascii="Arial;sans-serif" w:hAnsi="Arial;sans-serif"/>
          <w:b w:val="false"/>
          <w:color w:val="000000"/>
          <w:sz w:val="22"/>
        </w:rPr>
        <w:t xml:space="preserve">purchases of NCR stock through the Employee Stock Purchase Plan (ESPP), provided that such purchases are made pursuant to a pre-existing election (i.e., one made when the Covered Person was not in possession of material nonpublic information, or, as applicable, during a Blackout Period), or (c) the exercise of a tax withholding right pursuant to which the Company withholds shares of stock to satisfy tax withholding requirements upon the vesting of any restricted stock or settlement of any restricted stock units. In general, “trading” includes all other acquisitions or dispositions of NCR Securities, including purchases and sales on the open market, exercising stock options where all or a portion of the acquired stock is immediately sold whether by the Covered Person or the associated broker to cover exercise costs, fees or taxes, gifts other than charitable bequests of stock when the Covered Person knows or has reason to believe that the charity receiving the gifted stock will hold the stock until the next applicable Blackout Period ends, and any transfers into or out of the NCR stock fund in the Company’s 401(k) plan or equivalent plan of NCR or its subsidiaries (collectively, the </w:t>
      </w:r>
      <w:r>
        <w:rPr>
          <w:color w:val="000000"/>
        </w:rPr>
        <w:t>“</w:t>
      </w:r>
      <w:r>
        <w:rPr>
          <w:rFonts w:ascii="Arial;sans-serif" w:hAnsi="Arial;sans-serif"/>
          <w:b/>
          <w:color w:val="000000"/>
          <w:sz w:val="22"/>
        </w:rPr>
        <w:t>NCR Savings Plan”</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ind w:left="0" w:right="0" w:hanging="449"/>
        <w:jc w:val="left"/>
        <w:rPr/>
      </w:pPr>
      <w:r>
        <w:rPr>
          <w:rFonts w:ascii="Arial;sans-serif" w:hAnsi="Arial;sans-serif"/>
          <w:b/>
          <w:color w:val="000000"/>
          <w:sz w:val="22"/>
        </w:rPr>
        <w:t>2.</w:t>
      </w:r>
      <w:r>
        <w:rPr>
          <w:rFonts w:ascii="Arial;sans-serif" w:hAnsi="Arial;sans-serif"/>
          <w:b/>
          <w:color w:val="000000"/>
          <w:sz w:val="22"/>
        </w:rPr>
        <w:t>Trading in NCR Securities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If a Covered Person has material nonpublic information, he or she cannot trade in NCR Securities until that information is publicly disclosed and the general public and the capital markets have had the opportunity to absorb and process the information – usually at least until the close of business two business days after the information is publicly disclosed. Information should be presumed nonpublic until it is disclosed by the Company in either (a) publicly available filings with the Securities and Exchange Commission or (b) press releases via major newswire such as Dow Jones or Reuters.</w:t>
      </w:r>
    </w:p>
    <w:p>
      <w:pPr>
        <w:pStyle w:val="TextBody"/>
        <w:bidi w:val="0"/>
        <w:spacing w:lineRule="auto" w:line="288" w:before="252" w:after="283"/>
        <w:ind w:left="0" w:right="0" w:hanging="446"/>
        <w:jc w:val="left"/>
        <w:rPr/>
      </w:pPr>
      <w:r>
        <w:rPr>
          <w:rFonts w:ascii="Arial;sans-serif" w:hAnsi="Arial;sans-serif"/>
          <w:b/>
          <w:color w:val="000000"/>
          <w:sz w:val="22"/>
        </w:rPr>
        <w:t>3.</w:t>
      </w:r>
      <w:r>
        <w:rPr>
          <w:rFonts w:ascii="Arial;sans-serif" w:hAnsi="Arial;sans-serif"/>
          <w:b/>
          <w:color w:val="000000"/>
          <w:sz w:val="22"/>
        </w:rPr>
        <w:t>Additional Requirements for Restricted Insiders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3.1</w:t>
      </w:r>
      <w:r>
        <w:rPr>
          <w:rFonts w:ascii="Arial;sans-serif" w:hAnsi="Arial;sans-serif"/>
          <w:b w:val="false"/>
          <w:color w:val="000000"/>
          <w:sz w:val="22"/>
        </w:rPr>
        <w:t>Because certain Covered Persons are more likely than others to have access to material nonpublic information about the Company, they are considered “</w:t>
      </w:r>
      <w:r>
        <w:rPr>
          <w:rFonts w:ascii="Arial;sans-serif" w:hAnsi="Arial;sans-serif"/>
          <w:b/>
          <w:color w:val="000000"/>
          <w:sz w:val="22"/>
        </w:rPr>
        <w:t>Restricted Insiders</w:t>
      </w:r>
      <w:r>
        <w:rPr>
          <w:color w:val="000000"/>
        </w:rPr>
        <w:t xml:space="preserve">” </w:t>
      </w:r>
      <w:r>
        <w:rPr>
          <w:rFonts w:ascii="Arial;sans-serif" w:hAnsi="Arial;sans-serif"/>
          <w:b w:val="false"/>
          <w:color w:val="000000"/>
          <w:sz w:val="22"/>
        </w:rPr>
        <w:t>and subject to additional requirements under this policy. Restricted Insiders include members of NCR’s Board of Directors and any Covered Person who (a) is at or above the following levels: L1, M5 or P6, (b) is an Executive Officer or a direct report of the Chief Executive Officer or Chief Financial Officer, (c) is a member of the Company’s Investor Relations group, or (d) has access to the Company’s actual or projected financial results at the corporate, regional or business segment level, and all corporations, partnerships, trusts or other entities controlled by any of the above.</w:t>
      </w:r>
    </w:p>
    <w:p>
      <w:pPr>
        <w:pStyle w:val="TextBody"/>
        <w:bidi w:val="0"/>
        <w:spacing w:before="1" w:after="283"/>
        <w:jc w:val="left"/>
        <w:rPr/>
      </w:pPr>
      <w:r>
        <w:rPr/>
      </w:r>
    </w:p>
    <w:p>
      <w:pPr>
        <w:pStyle w:val="TextBody"/>
        <w:bidi w:val="0"/>
        <w:spacing w:lineRule="auto" w:line="288" w:before="0" w:after="0"/>
        <w:ind w:left="0" w:right="0" w:firstLine="11"/>
        <w:jc w:val="both"/>
        <w:rPr/>
      </w:pPr>
      <w:r>
        <w:rPr>
          <w:rFonts w:ascii="Arial;sans-serif" w:hAnsi="Arial;sans-serif"/>
          <w:b w:val="false"/>
          <w:color w:val="000000"/>
          <w:sz w:val="22"/>
        </w:rPr>
        <w:t>3.2</w:t>
      </w:r>
      <w:r>
        <w:rPr>
          <w:rFonts w:ascii="Arial;sans-serif" w:hAnsi="Arial;sans-serif"/>
          <w:b w:val="false"/>
          <w:color w:val="000000"/>
          <w:sz w:val="22"/>
        </w:rPr>
        <w:t xml:space="preserve">Restricted Insiders are subject to the general rule on trading and therefore cannot trade in NCR Securities if they have material nonpublic information. In addition, to avoid even the appearance of impropriety, Restricted Insiders are not permitted to trade in NCR Securities during any NCR </w:t>
      </w:r>
      <w:r>
        <w:rPr>
          <w:color w:val="000000"/>
        </w:rPr>
        <w:t>“</w:t>
      </w:r>
      <w:r>
        <w:rPr>
          <w:rFonts w:ascii="Arial;sans-serif" w:hAnsi="Arial;sans-serif"/>
          <w:b/>
          <w:color w:val="000000"/>
          <w:sz w:val="22"/>
        </w:rPr>
        <w:t xml:space="preserve">Blackout Period.” </w:t>
      </w:r>
      <w:r>
        <w:rPr>
          <w:rFonts w:ascii="Arial;sans-serif" w:hAnsi="Arial;sans-serif"/>
          <w:b w:val="false"/>
          <w:color w:val="000000"/>
          <w:sz w:val="22"/>
        </w:rPr>
        <w:t>Quarterly Blackout Periods generally begin at the opening of business on the 15th day of the third month of any fiscal calendar quarter and end at the close of business two full business days after the public release of quarterly or annual financial information by the Company. For example, if the Company releases quarterly or annual financial information on a Monday before the market opens, Restricted Insiders would be permitted to trade in NCR Securities beginning when the market opens on Wednesday subject to other restrictions under this policy. Supplemental Blackout Periods may be instituted at other times when important developments or events have not yet been publicly disclosed and are known by only a few directors, officers and/or other employees. If a Supplemental Blackout Period is instituted, 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639" w:type="dxa"/>
        <w:jc w:val="left"/>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Arial;sans-serif" w:hAnsi="Arial;sans-serif"/>
                <w:b/>
                <w:i/>
                <w:color w:val="000000"/>
                <w:sz w:val="24"/>
              </w:rPr>
            </w:pPr>
            <w:r>
              <w:rPr>
                <w:rFonts w:ascii="Arial;sans-serif" w:hAnsi="Arial;sans-serif"/>
                <w:b/>
                <w:i/>
                <w:color w:val="000000"/>
                <w:sz w:val="24"/>
              </w:rPr>
              <w:t>CORPORATE MANAGEMENT POLICY MANUAL</w:t>
            </w:r>
          </w:p>
        </w:tc>
      </w:tr>
    </w:tbl>
    <w:p>
      <w:pPr>
        <w:pStyle w:val="TextBody"/>
        <w:bidi w:val="0"/>
        <w:spacing w:before="74" w:after="283"/>
        <w:jc w:val="left"/>
        <w:rPr/>
      </w:pPr>
      <w:r>
        <w:rPr/>
      </w:r>
    </w:p>
    <w:tbl>
      <w:tblPr>
        <w:tblW w:w="3657" w:type="dxa"/>
        <w:jc w:val="left"/>
        <w:tblInd w:w="0" w:type="dxa"/>
        <w:tblLayout w:type="fixed"/>
        <w:tblCellMar>
          <w:top w:w="28" w:type="dxa"/>
          <w:left w:w="28" w:type="dxa"/>
          <w:bottom w:w="28" w:type="dxa"/>
          <w:right w:w="28" w:type="dxa"/>
        </w:tblCellMar>
      </w:tblPr>
      <w:tblGrid>
        <w:gridCol w:w="765"/>
        <w:gridCol w:w="673"/>
        <w:gridCol w:w="676"/>
        <w:gridCol w:w="299"/>
        <w:gridCol w:w="299"/>
        <w:gridCol w:w="301"/>
        <w:gridCol w:w="188"/>
        <w:gridCol w:w="188"/>
        <w:gridCol w:w="268"/>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left"/>
              <w:rPr>
                <w:rFonts w:ascii="Arial;sans-serif" w:hAnsi="Arial;sans-serif"/>
                <w:b/>
                <w:color w:val="000000"/>
                <w:sz w:val="16"/>
              </w:rPr>
            </w:pPr>
            <w:r>
              <w:rPr>
                <w:rFonts w:ascii="Arial;sans-serif" w:hAnsi="Arial;sans-serif"/>
                <w:b/>
                <w:color w:val="000000"/>
                <w:sz w:val="16"/>
              </w:rPr>
              <w:t>Policy</w:t>
            </w:r>
          </w:p>
          <w:p>
            <w:pPr>
              <w:pStyle w:val="TableContents"/>
              <w:bidi w:val="0"/>
              <w:spacing w:lineRule="auto" w:line="288" w:before="81" w:after="283"/>
              <w:jc w:val="left"/>
              <w:rPr>
                <w:rFonts w:ascii="Arial;sans-serif" w:hAnsi="Arial;sans-serif"/>
                <w:b w:val="false"/>
                <w:color w:val="000000"/>
                <w:sz w:val="22"/>
              </w:rPr>
            </w:pPr>
            <w:r>
              <w:rPr>
                <w:rFonts w:ascii="Arial;sans-serif" w:hAnsi="Arial;sans-serif"/>
                <w:b w:val="false"/>
                <w:color w:val="000000"/>
                <w:sz w:val="22"/>
              </w:rPr>
              <w:t>INSIDER TRADING</w:t>
            </w:r>
          </w:p>
        </w:tc>
        <w:tc>
          <w:tcPr>
            <w:tcW w:w="8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Policy No.</w:t>
            </w:r>
          </w:p>
          <w:p>
            <w:pPr>
              <w:pStyle w:val="TableContents"/>
              <w:bidi w:val="0"/>
              <w:spacing w:lineRule="atLeast" w:line="230" w:before="0" w:after="0"/>
              <w:jc w:val="center"/>
              <w:rPr>
                <w:rFonts w:ascii="Arial;sans-serif" w:hAnsi="Arial;sans-serif"/>
                <w:b w:val="false"/>
                <w:color w:val="000000"/>
                <w:sz w:val="20"/>
              </w:rPr>
            </w:pPr>
            <w:r>
              <w:rPr>
                <w:rFonts w:ascii="Arial;sans-serif" w:hAnsi="Arial;sans-serif"/>
                <w:b w:val="false"/>
                <w:color w:val="000000"/>
                <w:sz w:val="20"/>
              </w:rPr>
              <w:t>922</w:t>
            </w:r>
          </w:p>
        </w:tc>
        <w:tc>
          <w:tcPr>
            <w:tcW w:w="6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Page</w:t>
            </w:r>
          </w:p>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4 of 8</w:t>
            </w:r>
          </w:p>
        </w:tc>
      </w:tr>
    </w:tbl>
    <w:p>
      <w:pPr>
        <w:pStyle w:val="TextBody"/>
        <w:bidi w:val="0"/>
        <w:spacing w:lineRule="auto" w:line="288" w:before="252" w:after="283"/>
        <w:jc w:val="both"/>
        <w:rPr>
          <w:rFonts w:ascii="Arial;sans-serif" w:hAnsi="Arial;sans-serif"/>
          <w:b w:val="false"/>
          <w:color w:val="000000"/>
          <w:sz w:val="22"/>
        </w:rPr>
      </w:pPr>
      <w:r>
        <w:rPr>
          <w:rFonts w:ascii="Arial;sans-serif" w:hAnsi="Arial;sans-serif"/>
          <w:b w:val="false"/>
          <w:color w:val="000000"/>
          <w:sz w:val="22"/>
        </w:rPr>
        <w:t>existence will not be announced to the Company as a whole but the General Counsel will notify these persons that they should not trade in NCR Securities until further notice, without disclosing the reason for the restriction. Knowledge of the existence of a supplemental Blackout Period is itself material nonpublic information.</w:t>
      </w:r>
    </w:p>
    <w:p>
      <w:pPr>
        <w:pStyle w:val="TextBody"/>
        <w:bidi w:val="0"/>
        <w:spacing w:lineRule="auto" w:line="288" w:before="253" w:after="283"/>
        <w:ind w:left="0" w:right="0" w:firstLine="12"/>
        <w:jc w:val="both"/>
        <w:rPr/>
      </w:pPr>
      <w:r>
        <w:rPr>
          <w:rFonts w:ascii="Arial;sans-serif" w:hAnsi="Arial;sans-serif"/>
          <w:b w:val="false"/>
          <w:color w:val="000000"/>
          <w:sz w:val="22"/>
        </w:rPr>
        <w:t>3.3</w:t>
      </w:r>
      <w:r>
        <w:rPr>
          <w:rFonts w:ascii="Arial;sans-serif" w:hAnsi="Arial;sans-serif"/>
          <w:b w:val="false"/>
          <w:color w:val="000000"/>
          <w:sz w:val="22"/>
        </w:rPr>
        <w:t>NCR Executive Officers and members of the NCR Board of Directors are also restricted from trading, directly or indirectly, in any NCR Securities during any Employee Benefit Plan Blackout Period if he or she acquires or previously acquired such securities in connection with his or her service or employment as a director or Executive Officer of the Company, unless otherwise permitted under applicable law. For purposes of this policy, the term “</w:t>
      </w:r>
      <w:r>
        <w:rPr>
          <w:rFonts w:ascii="Arial;sans-serif" w:hAnsi="Arial;sans-serif"/>
          <w:b/>
          <w:color w:val="000000"/>
          <w:sz w:val="22"/>
        </w:rPr>
        <w:t xml:space="preserve">Employee Benefit Plan Blackout Period” </w:t>
      </w:r>
      <w:r>
        <w:rPr>
          <w:rFonts w:ascii="Arial;sans-serif" w:hAnsi="Arial;sans-serif"/>
          <w:b w:val="false"/>
          <w:color w:val="000000"/>
          <w:sz w:val="22"/>
        </w:rPr>
        <w:t>means any period of more than three consecutive business days during which transfers of interests in NCR stock by at least half of the participants or beneficiaries under an NCR stock fund of the NCR Savings Plan are temporarily suspended.</w:t>
      </w:r>
    </w:p>
    <w:p>
      <w:pPr>
        <w:pStyle w:val="TextBody"/>
        <w:bidi w:val="0"/>
        <w:spacing w:before="0" w:after="0"/>
        <w:jc w:val="left"/>
        <w:rPr/>
      </w:pPr>
      <w:r>
        <w:rPr/>
      </w:r>
    </w:p>
    <w:p>
      <w:pPr>
        <w:pStyle w:val="TextBody"/>
        <w:bidi w:val="0"/>
        <w:spacing w:lineRule="auto" w:line="288" w:before="0" w:after="0"/>
        <w:ind w:left="0" w:right="0" w:firstLine="11"/>
        <w:jc w:val="both"/>
        <w:rPr/>
      </w:pPr>
      <w:r>
        <w:rPr>
          <w:rFonts w:ascii="Arial;sans-serif" w:hAnsi="Arial;sans-serif"/>
          <w:b w:val="false"/>
          <w:color w:val="000000"/>
          <w:sz w:val="22"/>
        </w:rPr>
        <w:t>3.4</w:t>
      </w:r>
      <w:r>
        <w:rPr>
          <w:rFonts w:ascii="Arial;sans-serif" w:hAnsi="Arial;sans-serif"/>
          <w:b w:val="false"/>
          <w:color w:val="000000"/>
          <w:sz w:val="22"/>
        </w:rPr>
        <w:t>Sales of NCR Securities may be conducted under a pre-approved 10b5-1 Plan that is established and maintained in accordance with the NCR Corporation Guidelines for Rule 10b5-1 Plans. A copy of the NCR Corporation 10b5-1 Sale Plan Guidelines is available from the Law Department.</w:t>
      </w:r>
    </w:p>
    <w:p>
      <w:pPr>
        <w:pStyle w:val="TextBody"/>
        <w:bidi w:val="0"/>
        <w:spacing w:lineRule="auto" w:line="288" w:before="252" w:after="283"/>
        <w:ind w:left="0" w:right="0" w:hanging="447"/>
        <w:jc w:val="both"/>
        <w:rPr/>
      </w:pPr>
      <w:r>
        <w:rPr>
          <w:rFonts w:ascii="Arial;sans-serif" w:hAnsi="Arial;sans-serif"/>
          <w:b/>
          <w:color w:val="000000"/>
          <w:sz w:val="22"/>
        </w:rPr>
        <w:t>4.</w:t>
      </w:r>
      <w:r>
        <w:rPr>
          <w:rFonts w:ascii="Arial;sans-serif" w:hAnsi="Arial;sans-serif"/>
          <w:b/>
          <w:color w:val="000000"/>
          <w:sz w:val="22"/>
        </w:rPr>
        <w:t>Pre-Clearance Procedures</w:t>
      </w:r>
    </w:p>
    <w:p>
      <w:pPr>
        <w:pStyle w:val="TextBody"/>
        <w:bidi w:val="0"/>
        <w:spacing w:before="1" w:after="283"/>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To help prevent inadvertent violations of the federal securities laws and to avoid even the appearance of trading on the basis of material nonpublic information, NCR has adopted the pre-clearance procedures described below.</w:t>
      </w:r>
    </w:p>
    <w:p>
      <w:pPr>
        <w:pStyle w:val="TextBody"/>
        <w:bidi w:val="0"/>
        <w:spacing w:lineRule="auto" w:line="288" w:before="251" w:after="283"/>
        <w:ind w:left="0" w:right="0" w:hanging="360"/>
        <w:jc w:val="both"/>
        <w:rPr>
          <w:rFonts w:ascii="Arial;sans-serif" w:hAnsi="Arial;sans-serif"/>
          <w:b w:val="false"/>
          <w:color w:val="000000"/>
          <w:sz w:val="22"/>
        </w:rPr>
      </w:pPr>
      <w:r>
        <w:rPr>
          <w:rFonts w:ascii="Arial;sans-serif" w:hAnsi="Arial;sans-serif"/>
          <w:b w:val="false"/>
          <w:color w:val="000000"/>
          <w:sz w:val="22"/>
        </w:rPr>
        <w:t>(a)(i) Each member of the Board of Directors, (ii) each Executive Officer and each other direct report of the Chief Executive Officer, (iii) each direct report of the Chief Financial Officer, and (iv) all corporations, partnerships, trusts or other entities controlled by any of the above must pre-clear any planned trading in NCR Securities including the exercise of stock options where all or a portion of the acquired stock is immediately sold.</w:t>
      </w:r>
    </w:p>
    <w:p>
      <w:pPr>
        <w:pStyle w:val="TextBody"/>
        <w:bidi w:val="0"/>
        <w:spacing w:lineRule="auto" w:line="288" w:before="2" w:after="283"/>
        <w:ind w:left="0" w:right="0" w:hanging="360"/>
        <w:jc w:val="both"/>
        <w:rPr>
          <w:rFonts w:ascii="Arial;sans-serif" w:hAnsi="Arial;sans-serif"/>
          <w:b w:val="false"/>
          <w:color w:val="000000"/>
          <w:sz w:val="22"/>
        </w:rPr>
      </w:pPr>
      <w:r>
        <w:rPr>
          <w:rFonts w:ascii="Arial;sans-serif" w:hAnsi="Arial;sans-serif"/>
          <w:b w:val="false"/>
          <w:color w:val="000000"/>
          <w:sz w:val="22"/>
        </w:rPr>
        <w:t>(b)Please contact the General Counsel or Chief Corporate Counsel to request pre-clearance. Pre-clearance approval is valid for five business days. If the planned trading is not completed within the five-day period another pre-clearance will be required, since circumstances may have changed over that time period. If a request for pre-clearance is denied, the fact of such denial must be kept confidential.</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(c)Pre-clearance does not relieve anyone of their own legal obligations to refrain from trading or “tipping” while in possession of material nonpublic information. Pre-clearance does not constitute legal advice.</w:t>
      </w:r>
    </w:p>
    <w:p>
      <w:pPr>
        <w:pStyle w:val="TextBody"/>
        <w:bidi w:val="0"/>
        <w:spacing w:lineRule="auto" w:line="288" w:before="251" w:after="283"/>
        <w:ind w:left="0" w:right="0" w:hanging="358"/>
        <w:jc w:val="both"/>
        <w:rPr/>
      </w:pPr>
      <w:r>
        <w:rPr>
          <w:rFonts w:ascii="Arial;sans-serif" w:hAnsi="Arial;sans-serif"/>
          <w:b/>
          <w:color w:val="000000"/>
          <w:sz w:val="22"/>
        </w:rPr>
        <w:t>5.</w:t>
      </w:r>
      <w:r>
        <w:rPr>
          <w:rFonts w:ascii="Arial;sans-serif" w:hAnsi="Arial;sans-serif"/>
          <w:b/>
          <w:color w:val="000000"/>
          <w:sz w:val="22"/>
        </w:rPr>
        <w:t>Unauthorized Disclosure or “Tipping”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5.1</w:t>
      </w:r>
      <w:r>
        <w:rPr>
          <w:rFonts w:ascii="Arial;sans-serif" w:hAnsi="Arial;sans-serif"/>
          <w:b w:val="false"/>
          <w:color w:val="000000"/>
          <w:sz w:val="22"/>
        </w:rPr>
        <w:t>Covered Persons must not disclose material nonpublic information to others by “tipping” that information. Tipping means the improper disclosure of material nonpublic information about NCR or another company to any person, including a relative, friend, or other third party, including but not limited to individuals associated with “expert networks” – regardless of whether that person trades in any securities on the basis of such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639" w:type="dxa"/>
        <w:jc w:val="left"/>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Arial;sans-serif" w:hAnsi="Arial;sans-serif"/>
                <w:b/>
                <w:i/>
                <w:color w:val="000000"/>
                <w:sz w:val="24"/>
              </w:rPr>
            </w:pPr>
            <w:r>
              <w:rPr>
                <w:rFonts w:ascii="Arial;sans-serif" w:hAnsi="Arial;sans-serif"/>
                <w:b/>
                <w:i/>
                <w:color w:val="000000"/>
                <w:sz w:val="24"/>
              </w:rPr>
              <w:t>CORPORATE MANAGEMENT POLICY MANUAL</w:t>
            </w:r>
          </w:p>
        </w:tc>
      </w:tr>
    </w:tbl>
    <w:p>
      <w:pPr>
        <w:pStyle w:val="TextBody"/>
        <w:bidi w:val="0"/>
        <w:spacing w:before="74" w:after="283"/>
        <w:jc w:val="left"/>
        <w:rPr/>
      </w:pPr>
      <w:r>
        <w:rPr/>
      </w:r>
    </w:p>
    <w:tbl>
      <w:tblPr>
        <w:tblW w:w="3657" w:type="dxa"/>
        <w:jc w:val="left"/>
        <w:tblInd w:w="0" w:type="dxa"/>
        <w:tblLayout w:type="fixed"/>
        <w:tblCellMar>
          <w:top w:w="28" w:type="dxa"/>
          <w:left w:w="28" w:type="dxa"/>
          <w:bottom w:w="28" w:type="dxa"/>
          <w:right w:w="28" w:type="dxa"/>
        </w:tblCellMar>
      </w:tblPr>
      <w:tblGrid>
        <w:gridCol w:w="765"/>
        <w:gridCol w:w="673"/>
        <w:gridCol w:w="676"/>
        <w:gridCol w:w="299"/>
        <w:gridCol w:w="299"/>
        <w:gridCol w:w="301"/>
        <w:gridCol w:w="188"/>
        <w:gridCol w:w="188"/>
        <w:gridCol w:w="268"/>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left"/>
              <w:rPr>
                <w:rFonts w:ascii="Arial;sans-serif" w:hAnsi="Arial;sans-serif"/>
                <w:b/>
                <w:color w:val="000000"/>
                <w:sz w:val="16"/>
              </w:rPr>
            </w:pPr>
            <w:r>
              <w:rPr>
                <w:rFonts w:ascii="Arial;sans-serif" w:hAnsi="Arial;sans-serif"/>
                <w:b/>
                <w:color w:val="000000"/>
                <w:sz w:val="16"/>
              </w:rPr>
              <w:t>Policy</w:t>
            </w:r>
          </w:p>
          <w:p>
            <w:pPr>
              <w:pStyle w:val="TableContents"/>
              <w:bidi w:val="0"/>
              <w:spacing w:lineRule="auto" w:line="288" w:before="81" w:after="283"/>
              <w:jc w:val="left"/>
              <w:rPr>
                <w:rFonts w:ascii="Arial;sans-serif" w:hAnsi="Arial;sans-serif"/>
                <w:b w:val="false"/>
                <w:color w:val="000000"/>
                <w:sz w:val="22"/>
              </w:rPr>
            </w:pPr>
            <w:r>
              <w:rPr>
                <w:rFonts w:ascii="Arial;sans-serif" w:hAnsi="Arial;sans-serif"/>
                <w:b w:val="false"/>
                <w:color w:val="000000"/>
                <w:sz w:val="22"/>
              </w:rPr>
              <w:t>INSIDER TRADING</w:t>
            </w:r>
          </w:p>
        </w:tc>
        <w:tc>
          <w:tcPr>
            <w:tcW w:w="8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Policy No.</w:t>
            </w:r>
          </w:p>
          <w:p>
            <w:pPr>
              <w:pStyle w:val="TableContents"/>
              <w:bidi w:val="0"/>
              <w:spacing w:lineRule="atLeast" w:line="230" w:before="0" w:after="0"/>
              <w:jc w:val="center"/>
              <w:rPr>
                <w:rFonts w:ascii="Arial;sans-serif" w:hAnsi="Arial;sans-serif"/>
                <w:b w:val="false"/>
                <w:color w:val="000000"/>
                <w:sz w:val="20"/>
              </w:rPr>
            </w:pPr>
            <w:r>
              <w:rPr>
                <w:rFonts w:ascii="Arial;sans-serif" w:hAnsi="Arial;sans-serif"/>
                <w:b w:val="false"/>
                <w:color w:val="000000"/>
                <w:sz w:val="20"/>
              </w:rPr>
              <w:t>922</w:t>
            </w:r>
          </w:p>
        </w:tc>
        <w:tc>
          <w:tcPr>
            <w:tcW w:w="6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Page</w:t>
            </w:r>
          </w:p>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5 of 8</w:t>
            </w:r>
          </w:p>
        </w:tc>
      </w:tr>
    </w:tbl>
    <w:p>
      <w:pPr>
        <w:pStyle w:val="TextBody"/>
        <w:bidi w:val="0"/>
        <w:spacing w:lineRule="auto" w:line="288" w:before="252" w:after="283"/>
        <w:jc w:val="both"/>
        <w:rPr/>
      </w:pPr>
      <w:r>
        <w:rPr>
          <w:rFonts w:ascii="Arial;sans-serif" w:hAnsi="Arial;sans-serif"/>
          <w:b w:val="false"/>
          <w:color w:val="000000"/>
          <w:sz w:val="22"/>
        </w:rPr>
        <w:t>5.2</w:t>
      </w:r>
      <w:r>
        <w:rPr>
          <w:rFonts w:ascii="Arial;sans-serif" w:hAnsi="Arial;sans-serif"/>
          <w:b w:val="false"/>
          <w:color w:val="000000"/>
          <w:sz w:val="22"/>
        </w:rPr>
        <w:t>Covered Persons must avoid both direct and indirect tipping. Indirect tipping could be an implicit, rather than express, suggestion or hint that another person should trade. Tipping can also include (a) instructing a third party to purchase or sell securities or derivative securities on your behalf, or (b) advising or encouraging another person to trade in a security or derivative security while you are in possession of material nonpublic information.</w:t>
      </w:r>
    </w:p>
    <w:p>
      <w:pPr>
        <w:pStyle w:val="TextBody"/>
        <w:bidi w:val="0"/>
        <w:spacing w:before="1" w:after="283"/>
        <w:jc w:val="left"/>
        <w:rPr/>
      </w:pPr>
      <w:r>
        <w:rPr/>
      </w:r>
    </w:p>
    <w:p>
      <w:pPr>
        <w:pStyle w:val="TextBody"/>
        <w:bidi w:val="0"/>
        <w:spacing w:lineRule="auto" w:line="288" w:before="0" w:after="0"/>
        <w:jc w:val="both"/>
        <w:rPr/>
      </w:pPr>
      <w:r>
        <w:rPr>
          <w:rFonts w:ascii="Arial;sans-serif" w:hAnsi="Arial;sans-serif"/>
          <w:b w:val="false"/>
          <w:color w:val="000000"/>
          <w:sz w:val="22"/>
        </w:rPr>
        <w:t>5.3</w:t>
      </w:r>
      <w:r>
        <w:rPr>
          <w:rFonts w:ascii="Arial;sans-serif" w:hAnsi="Arial;sans-serif"/>
          <w:b w:val="false"/>
          <w:color w:val="000000"/>
          <w:sz w:val="22"/>
        </w:rPr>
        <w:t>To avoid tipping, Covered Persons should comply with the Company’s policies with respect to the treatment of its confidential and proprietary information and disclose material nonpublic information only to those with a “need to know.” Covered Persons should be very careful not to discuss such information casually at work, in the elevators, at home or outside of the office.</w:t>
      </w:r>
    </w:p>
    <w:p>
      <w:pPr>
        <w:pStyle w:val="TextBody"/>
        <w:bidi w:val="0"/>
        <w:spacing w:lineRule="auto" w:line="288" w:before="252" w:after="283"/>
        <w:ind w:left="0" w:right="0" w:hanging="447"/>
        <w:jc w:val="both"/>
        <w:rPr/>
      </w:pPr>
      <w:r>
        <w:rPr>
          <w:rFonts w:ascii="Arial;sans-serif" w:hAnsi="Arial;sans-serif"/>
          <w:b/>
          <w:color w:val="000000"/>
          <w:sz w:val="22"/>
        </w:rPr>
        <w:t>6.</w:t>
      </w:r>
      <w:r>
        <w:rPr>
          <w:rFonts w:ascii="Arial;sans-serif" w:hAnsi="Arial;sans-serif"/>
          <w:b/>
          <w:color w:val="000000"/>
          <w:sz w:val="22"/>
        </w:rPr>
        <w:t>Trading in Other Companies’ Securities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Covered Persons who learn material nonpublic information about another company while performing work for NCR can be considered temporary insiders of that company. Any Covered Person who learns such information is subject to the same restrictions against trading and tipping that apply to NCR Securities. For example, a Covered Person who learns that another company is being considered for a major contract or a joint venture may not use that information to trade in that company's securities. Covered Persons should keep any such information confidential and use it only for the Company purpose(s) for which it was originally disclosed.</w:t>
      </w:r>
    </w:p>
    <w:p>
      <w:pPr>
        <w:pStyle w:val="TextBody"/>
        <w:bidi w:val="0"/>
        <w:spacing w:lineRule="auto" w:line="288" w:before="252" w:after="283"/>
        <w:ind w:left="0" w:right="0" w:hanging="428"/>
        <w:jc w:val="both"/>
        <w:rPr/>
      </w:pPr>
      <w:r>
        <w:rPr>
          <w:rFonts w:ascii="Arial;sans-serif" w:hAnsi="Arial;sans-serif"/>
          <w:b/>
          <w:color w:val="000000"/>
          <w:sz w:val="22"/>
        </w:rPr>
        <w:t>7.</w:t>
      </w:r>
      <w:r>
        <w:rPr>
          <w:rFonts w:ascii="Arial;sans-serif" w:hAnsi="Arial;sans-serif"/>
          <w:b/>
          <w:color w:val="000000"/>
          <w:sz w:val="22"/>
        </w:rPr>
        <w:t>Margin Accounts and Pledges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Because a margin or foreclosure sale may occur at a time when individuals are in possession of material nonpublic information or otherwise are not permitted to trade in NCR Securities, no Restricted Insider may take a margin loan where NCR Securities are used, directly or indirectly, as collateral for the loan. Restricted Insiders are also prohibited from pledging NCR Securities as collateral for a loan.</w:t>
      </w:r>
    </w:p>
    <w:p>
      <w:pPr>
        <w:pStyle w:val="TextBody"/>
        <w:bidi w:val="0"/>
        <w:spacing w:before="1" w:after="283"/>
        <w:jc w:val="left"/>
        <w:rPr/>
      </w:pPr>
      <w:r>
        <w:rPr/>
      </w:r>
    </w:p>
    <w:p>
      <w:pPr>
        <w:pStyle w:val="TextBody"/>
        <w:bidi w:val="0"/>
        <w:spacing w:lineRule="auto" w:line="288" w:before="0" w:after="0"/>
        <w:ind w:left="0" w:right="0" w:hanging="428"/>
        <w:jc w:val="both"/>
        <w:rPr/>
      </w:pPr>
      <w:r>
        <w:rPr>
          <w:rFonts w:ascii="Arial;sans-serif" w:hAnsi="Arial;sans-serif"/>
          <w:b/>
          <w:color w:val="000000"/>
          <w:sz w:val="22"/>
        </w:rPr>
        <w:t>8.</w:t>
      </w:r>
      <w:r>
        <w:rPr>
          <w:rFonts w:ascii="Arial;sans-serif" w:hAnsi="Arial;sans-serif"/>
          <w:b/>
          <w:color w:val="000000"/>
          <w:sz w:val="22"/>
        </w:rPr>
        <w:t>Speculative Trading</w:t>
      </w:r>
    </w:p>
    <w:p>
      <w:pPr>
        <w:pStyle w:val="TextBody"/>
        <w:bidi w:val="0"/>
        <w:spacing w:lineRule="auto" w:line="288" w:before="119" w:after="283"/>
        <w:jc w:val="both"/>
        <w:rPr>
          <w:rFonts w:ascii="Arial;sans-serif" w:hAnsi="Arial;sans-serif"/>
          <w:b w:val="false"/>
          <w:color w:val="000000"/>
          <w:sz w:val="22"/>
        </w:rPr>
      </w:pPr>
      <w:r>
        <w:rPr>
          <w:rFonts w:ascii="Arial;sans-serif" w:hAnsi="Arial;sans-serif"/>
          <w:b w:val="false"/>
          <w:color w:val="000000"/>
          <w:sz w:val="22"/>
        </w:rPr>
        <w:t>Speculative trading of NCR Securities (both buying and selling shares within a six-month period) by any NCR Executive Officers or members of the NCR Board of Directors is prohibited. It could also subject the Executive Officer or Director to so-called “short-swing liability” under Section 16 of the Securities Exchange Act of 1934. In addition, to avoid the appearance of improper trading, all other Covered Persons should not engage in speculative trading of NCR Securities unless (a) they have valid personal reasons for doing so that are not related to the investment value of the securities, and (b) they do not possess material nonpublic information about the Company.</w:t>
      </w:r>
    </w:p>
    <w:p>
      <w:pPr>
        <w:pStyle w:val="TextBody"/>
        <w:bidi w:val="0"/>
        <w:spacing w:lineRule="auto" w:line="288" w:before="240" w:after="283"/>
        <w:ind w:left="0" w:right="0" w:hanging="428"/>
        <w:jc w:val="both"/>
        <w:rPr/>
      </w:pPr>
      <w:r>
        <w:rPr>
          <w:rFonts w:ascii="Arial;sans-serif" w:hAnsi="Arial;sans-serif"/>
          <w:b/>
          <w:color w:val="000000"/>
          <w:sz w:val="22"/>
        </w:rPr>
        <w:t>9.</w:t>
      </w:r>
      <w:r>
        <w:rPr>
          <w:rFonts w:ascii="Arial;sans-serif" w:hAnsi="Arial;sans-serif"/>
          <w:b/>
          <w:color w:val="000000"/>
          <w:sz w:val="22"/>
        </w:rPr>
        <w:t>Internet Posting and Social Media</w:t>
      </w:r>
    </w:p>
    <w:p>
      <w:pPr>
        <w:pStyle w:val="TextBody"/>
        <w:bidi w:val="0"/>
        <w:spacing w:lineRule="auto" w:line="288" w:before="121" w:after="283"/>
        <w:jc w:val="both"/>
        <w:rPr/>
      </w:pPr>
      <w:r>
        <w:rPr>
          <w:rFonts w:ascii="Arial;sans-serif" w:hAnsi="Arial;sans-serif"/>
          <w:b w:val="false"/>
          <w:color w:val="000000"/>
          <w:sz w:val="22"/>
        </w:rPr>
        <w:t xml:space="preserve">Covered Persons must be careful to comply with this policy as well as the Company’s policy on disclosure of confidential or proprietary information, CMP #1402, </w:t>
      </w:r>
      <w:r>
        <w:rPr>
          <w:rFonts w:ascii="Arial;sans-serif" w:hAnsi="Arial;sans-serif"/>
          <w:b w:val="false"/>
          <w:color w:val="000000"/>
          <w:sz w:val="22"/>
          <w:u w:val="single"/>
        </w:rPr>
        <w:t>Protecting Information Within</w:t>
      </w:r>
      <w:r>
        <w:rPr>
          <w:color w:val="000000"/>
        </w:rPr>
        <w:t xml:space="preserve"> </w:t>
      </w:r>
      <w:r>
        <w:rPr>
          <w:rFonts w:ascii="Arial;sans-serif" w:hAnsi="Arial;sans-serif"/>
          <w:b w:val="false"/>
          <w:color w:val="000000"/>
          <w:sz w:val="22"/>
          <w:u w:val="single"/>
        </w:rPr>
        <w:t>NCR</w:t>
      </w:r>
      <w:r>
        <w:rPr>
          <w:rFonts w:ascii="Arial;sans-serif" w:hAnsi="Arial;sans-serif"/>
          <w:b w:val="false"/>
          <w:color w:val="000000"/>
          <w:sz w:val="22"/>
        </w:rPr>
        <w:t>, when posting any communications relating to the Company on Internet chat rooms, message boards or any other social media outlet. Many Internet users who participate in investor-related discussion groups claim to have "inside" information about a company. Others post messages spreading innuendo and rumors. Covered Persons who participate in these Internet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639" w:type="dxa"/>
        <w:jc w:val="left"/>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Arial;sans-serif" w:hAnsi="Arial;sans-serif"/>
                <w:b/>
                <w:i/>
                <w:color w:val="000000"/>
                <w:sz w:val="24"/>
              </w:rPr>
            </w:pPr>
            <w:r>
              <w:rPr>
                <w:rFonts w:ascii="Arial;sans-serif" w:hAnsi="Arial;sans-serif"/>
                <w:b/>
                <w:i/>
                <w:color w:val="000000"/>
                <w:sz w:val="24"/>
              </w:rPr>
              <w:t>CORPORATE MANAGEMENT POLICY MANUAL</w:t>
            </w:r>
          </w:p>
        </w:tc>
      </w:tr>
    </w:tbl>
    <w:p>
      <w:pPr>
        <w:pStyle w:val="TextBody"/>
        <w:bidi w:val="0"/>
        <w:spacing w:before="74" w:after="283"/>
        <w:jc w:val="left"/>
        <w:rPr/>
      </w:pPr>
      <w:r>
        <w:rPr/>
      </w:r>
    </w:p>
    <w:tbl>
      <w:tblPr>
        <w:tblW w:w="3657" w:type="dxa"/>
        <w:jc w:val="left"/>
        <w:tblInd w:w="0" w:type="dxa"/>
        <w:tblLayout w:type="fixed"/>
        <w:tblCellMar>
          <w:top w:w="28" w:type="dxa"/>
          <w:left w:w="28" w:type="dxa"/>
          <w:bottom w:w="28" w:type="dxa"/>
          <w:right w:w="28" w:type="dxa"/>
        </w:tblCellMar>
      </w:tblPr>
      <w:tblGrid>
        <w:gridCol w:w="765"/>
        <w:gridCol w:w="673"/>
        <w:gridCol w:w="676"/>
        <w:gridCol w:w="299"/>
        <w:gridCol w:w="299"/>
        <w:gridCol w:w="301"/>
        <w:gridCol w:w="188"/>
        <w:gridCol w:w="188"/>
        <w:gridCol w:w="268"/>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left"/>
              <w:rPr>
                <w:rFonts w:ascii="Arial;sans-serif" w:hAnsi="Arial;sans-serif"/>
                <w:b/>
                <w:color w:val="000000"/>
                <w:sz w:val="16"/>
              </w:rPr>
            </w:pPr>
            <w:r>
              <w:rPr>
                <w:rFonts w:ascii="Arial;sans-serif" w:hAnsi="Arial;sans-serif"/>
                <w:b/>
                <w:color w:val="000000"/>
                <w:sz w:val="16"/>
              </w:rPr>
              <w:t>Policy</w:t>
            </w:r>
          </w:p>
          <w:p>
            <w:pPr>
              <w:pStyle w:val="TableContents"/>
              <w:bidi w:val="0"/>
              <w:spacing w:lineRule="auto" w:line="288" w:before="81" w:after="283"/>
              <w:jc w:val="left"/>
              <w:rPr>
                <w:rFonts w:ascii="Arial;sans-serif" w:hAnsi="Arial;sans-serif"/>
                <w:b w:val="false"/>
                <w:color w:val="000000"/>
                <w:sz w:val="22"/>
              </w:rPr>
            </w:pPr>
            <w:r>
              <w:rPr>
                <w:rFonts w:ascii="Arial;sans-serif" w:hAnsi="Arial;sans-serif"/>
                <w:b w:val="false"/>
                <w:color w:val="000000"/>
                <w:sz w:val="22"/>
              </w:rPr>
              <w:t>INSIDER TRADING</w:t>
            </w:r>
          </w:p>
        </w:tc>
        <w:tc>
          <w:tcPr>
            <w:tcW w:w="8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Policy No.</w:t>
            </w:r>
          </w:p>
          <w:p>
            <w:pPr>
              <w:pStyle w:val="TableContents"/>
              <w:bidi w:val="0"/>
              <w:spacing w:lineRule="atLeast" w:line="230" w:before="0" w:after="0"/>
              <w:jc w:val="center"/>
              <w:rPr>
                <w:rFonts w:ascii="Arial;sans-serif" w:hAnsi="Arial;sans-serif"/>
                <w:b w:val="false"/>
                <w:color w:val="000000"/>
                <w:sz w:val="20"/>
              </w:rPr>
            </w:pPr>
            <w:r>
              <w:rPr>
                <w:rFonts w:ascii="Arial;sans-serif" w:hAnsi="Arial;sans-serif"/>
                <w:b w:val="false"/>
                <w:color w:val="000000"/>
                <w:sz w:val="20"/>
              </w:rPr>
              <w:t>922</w:t>
            </w:r>
          </w:p>
        </w:tc>
        <w:tc>
          <w:tcPr>
            <w:tcW w:w="6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Page</w:t>
            </w:r>
          </w:p>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6 of 8</w:t>
            </w:r>
          </w:p>
        </w:tc>
      </w:tr>
    </w:tbl>
    <w:p>
      <w:pPr>
        <w:pStyle w:val="TextBody"/>
        <w:bidi w:val="0"/>
        <w:spacing w:lineRule="auto" w:line="288" w:before="252" w:after="283"/>
        <w:jc w:val="both"/>
        <w:rPr>
          <w:rFonts w:ascii="Arial;sans-serif" w:hAnsi="Arial;sans-serif"/>
          <w:b w:val="false"/>
          <w:color w:val="000000"/>
          <w:sz w:val="22"/>
        </w:rPr>
      </w:pPr>
      <w:r>
        <w:rPr>
          <w:rFonts w:ascii="Arial;sans-serif" w:hAnsi="Arial;sans-serif"/>
          <w:b w:val="false"/>
          <w:color w:val="000000"/>
          <w:sz w:val="22"/>
        </w:rPr>
        <w:t>discussion groups are reminded that they must adhere to NCR's policies and applicable law, including the following general guidelines:</w:t>
      </w:r>
    </w:p>
    <w:p>
      <w:pPr>
        <w:pStyle w:val="TextBody"/>
        <w:bidi w:val="0"/>
        <w:spacing w:lineRule="auto" w:line="288" w:before="120" w:after="283"/>
        <w:ind w:left="0" w:right="0" w:hanging="720"/>
        <w:jc w:val="both"/>
        <w:rPr>
          <w:rFonts w:ascii="Arial;sans-serif" w:hAnsi="Arial;sans-serif"/>
          <w:b w:val="false"/>
          <w:color w:val="000000"/>
          <w:sz w:val="22"/>
        </w:rPr>
      </w:pPr>
      <w:r>
        <w:rPr>
          <w:rFonts w:ascii="Arial;sans-serif" w:hAnsi="Arial;sans-serif"/>
          <w:b w:val="false"/>
          <w:color w:val="000000"/>
          <w:sz w:val="22"/>
        </w:rPr>
        <w:t>(a)Do not disclose material nonpublic information or other confidential or proprietary information about NCR or any other company that you have access to through your work at NCR; and</w:t>
      </w:r>
    </w:p>
    <w:p>
      <w:pPr>
        <w:pStyle w:val="TextBody"/>
        <w:bidi w:val="0"/>
        <w:spacing w:lineRule="atLeast" w:line="252" w:before="0" w:after="0"/>
        <w:ind w:left="0" w:right="0" w:hanging="717"/>
        <w:jc w:val="both"/>
        <w:rPr>
          <w:rFonts w:ascii="Arial;sans-serif" w:hAnsi="Arial;sans-serif"/>
          <w:b w:val="false"/>
          <w:color w:val="000000"/>
          <w:sz w:val="22"/>
        </w:rPr>
      </w:pPr>
      <w:r>
        <w:rPr>
          <w:rFonts w:ascii="Arial;sans-serif" w:hAnsi="Arial;sans-serif"/>
          <w:b w:val="false"/>
          <w:color w:val="000000"/>
          <w:sz w:val="22"/>
        </w:rPr>
        <w:t>(b)Do not comment on rumors or create them.</w:t>
      </w:r>
    </w:p>
    <w:p>
      <w:pPr>
        <w:pStyle w:val="TextBody"/>
        <w:bidi w:val="0"/>
        <w:spacing w:before="0" w:after="0"/>
        <w:ind w:left="0" w:right="0" w:hanging="357"/>
        <w:jc w:val="both"/>
        <w:rPr/>
      </w:pPr>
      <w:r>
        <w:rPr/>
      </w:r>
    </w:p>
    <w:p>
      <w:pPr>
        <w:pStyle w:val="TextBody"/>
        <w:bidi w:val="0"/>
        <w:spacing w:lineRule="auto" w:line="288" w:before="121" w:after="283"/>
        <w:jc w:val="left"/>
        <w:rPr>
          <w:rFonts w:ascii="Arial;sans-serif" w:hAnsi="Arial;sans-serif"/>
          <w:b/>
          <w:color w:val="000000"/>
          <w:sz w:val="22"/>
        </w:rPr>
      </w:pPr>
      <w:r>
        <w:rPr>
          <w:rFonts w:ascii="Arial;sans-serif" w:hAnsi="Arial;sans-serif"/>
          <w:b/>
          <w:color w:val="000000"/>
          <w:sz w:val="22"/>
        </w:rPr>
        <w:t>POST-TERMINATION TRANSACTIONS</w:t>
      </w:r>
    </w:p>
    <w:p>
      <w:pPr>
        <w:pStyle w:val="TextBody"/>
        <w:bidi w:val="0"/>
        <w:spacing w:lineRule="auto" w:line="288" w:before="129" w:after="283"/>
        <w:jc w:val="both"/>
        <w:rPr>
          <w:rFonts w:ascii="Arial;sans-serif" w:hAnsi="Arial;sans-serif"/>
          <w:b w:val="false"/>
          <w:color w:val="000000"/>
          <w:sz w:val="22"/>
        </w:rPr>
      </w:pPr>
      <w:r>
        <w:rPr>
          <w:rFonts w:ascii="Arial;sans-serif" w:hAnsi="Arial;sans-serif"/>
          <w:b w:val="false"/>
          <w:color w:val="000000"/>
          <w:sz w:val="22"/>
        </w:rPr>
        <w:t>This policy continues to apply to transactions in NCR Securities even after termination of service to the Company. If an individual is in possession of material nonpublic information when his or her service terminates, that individual may not trade in NCR Securities until that information has become public or is no longer material. The pre-clearance procedures specified above, however, will cease to apply to transactions in NCR Securities upon the expiration of any Blackout Period or other Company-imposed trading restrictions applicable at the time of the termination of service. Covered Persons will not be considered Restricted Insiders under this policy once they are no longer actively working for the Company (even though they may still be on NCR’s payroll) or otherwise do not fall into the above categories. However, Covered Persons may never trade in NCR Securities while they are in possession of material nonpublic information about the Company, regardless of whether they are considered Restricted Insiders.</w:t>
      </w:r>
    </w:p>
    <w:p>
      <w:pPr>
        <w:pStyle w:val="TextBody"/>
        <w:bidi w:val="0"/>
        <w:spacing w:lineRule="auto" w:line="288" w:before="121" w:after="283"/>
        <w:jc w:val="left"/>
        <w:rPr>
          <w:rFonts w:ascii="Arial;sans-serif" w:hAnsi="Arial;sans-serif"/>
          <w:b/>
          <w:color w:val="000000"/>
          <w:sz w:val="22"/>
        </w:rPr>
      </w:pPr>
      <w:r>
        <w:rPr>
          <w:rFonts w:ascii="Arial;sans-serif" w:hAnsi="Arial;sans-serif"/>
          <w:b/>
          <w:color w:val="000000"/>
          <w:sz w:val="22"/>
        </w:rPr>
        <w:t>VIOLATIONS OF POLICY</w:t>
      </w:r>
    </w:p>
    <w:p>
      <w:pPr>
        <w:pStyle w:val="TextBody"/>
        <w:bidi w:val="0"/>
        <w:spacing w:lineRule="auto" w:line="288" w:before="129" w:after="283"/>
        <w:jc w:val="both"/>
        <w:rPr>
          <w:rFonts w:ascii="Arial;sans-serif" w:hAnsi="Arial;sans-serif"/>
          <w:b w:val="false"/>
          <w:color w:val="000000"/>
          <w:sz w:val="22"/>
        </w:rPr>
      </w:pPr>
      <w:r>
        <w:rPr>
          <w:rFonts w:ascii="Arial;sans-serif" w:hAnsi="Arial;sans-serif"/>
          <w:b w:val="false"/>
          <w:color w:val="000000"/>
          <w:sz w:val="22"/>
        </w:rPr>
        <w:t>Covered Persons who violate this policy may be subject to criminal and civil penalties and other potential liabilities under federal and state securities laws. In addition, they will be subject to disciplinary action, which can include immediate termination by the Company.</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Supervisors who fail to take steps to prevent insider trading or tipping or who ignore it may also be liable under federal and state securities laws and subject to disciplinary action by the Company.</w:t>
      </w:r>
    </w:p>
    <w:p>
      <w:pPr>
        <w:pStyle w:val="TextBody"/>
        <w:bidi w:val="0"/>
        <w:spacing w:before="2" w:after="283"/>
        <w:jc w:val="left"/>
        <w:rPr/>
      </w:pPr>
      <w:r>
        <w:rPr/>
      </w:r>
    </w:p>
    <w:p>
      <w:pPr>
        <w:pStyle w:val="TextBody"/>
        <w:bidi w:val="0"/>
        <w:spacing w:lineRule="auto" w:line="288" w:before="2" w:after="283"/>
        <w:jc w:val="left"/>
        <w:rPr>
          <w:rFonts w:ascii="Arial;sans-serif" w:hAnsi="Arial;sans-serif"/>
          <w:b/>
          <w:color w:val="000000"/>
          <w:sz w:val="22"/>
        </w:rPr>
      </w:pPr>
      <w:r>
        <w:rPr>
          <w:rFonts w:ascii="Arial;sans-serif" w:hAnsi="Arial;sans-serif"/>
          <w:b/>
          <w:color w:val="000000"/>
          <w:sz w:val="22"/>
        </w:rPr>
        <w:t>SPECIFIC APPLICATIONS FOR EMPLOYEE BENEFIT PLANS</w:t>
      </w:r>
    </w:p>
    <w:p>
      <w:pPr>
        <w:pStyle w:val="TextBody"/>
        <w:bidi w:val="0"/>
        <w:spacing w:lineRule="auto" w:line="288" w:before="249" w:after="283"/>
        <w:ind w:left="0" w:right="0" w:hanging="359"/>
        <w:jc w:val="both"/>
        <w:rPr/>
      </w:pPr>
      <w:r>
        <w:rPr>
          <w:rFonts w:ascii="Arial;sans-serif" w:hAnsi="Arial;sans-serif"/>
          <w:b/>
          <w:color w:val="000000"/>
          <w:sz w:val="22"/>
        </w:rPr>
        <w:t>1.</w:t>
      </w:r>
      <w:r>
        <w:rPr>
          <w:rFonts w:ascii="Arial;sans-serif" w:hAnsi="Arial;sans-serif"/>
          <w:b/>
          <w:color w:val="000000"/>
          <w:sz w:val="22"/>
        </w:rPr>
        <w:t>Stock Options</w:t>
      </w:r>
    </w:p>
    <w:p>
      <w:pPr>
        <w:pStyle w:val="TextBody"/>
        <w:bidi w:val="0"/>
        <w:spacing w:lineRule="auto" w:line="288" w:before="122" w:after="283"/>
        <w:jc w:val="both"/>
        <w:rPr>
          <w:rFonts w:ascii="Arial;sans-serif" w:hAnsi="Arial;sans-serif"/>
          <w:b w:val="false"/>
          <w:color w:val="000000"/>
          <w:sz w:val="22"/>
        </w:rPr>
      </w:pPr>
      <w:r>
        <w:rPr>
          <w:rFonts w:ascii="Arial;sans-serif" w:hAnsi="Arial;sans-serif"/>
          <w:b w:val="false"/>
          <w:color w:val="000000"/>
          <w:sz w:val="22"/>
        </w:rPr>
        <w:t>A Covered Person may receive a stock option grant and exercise that stock option in accordance with its terms without regard to this policy if he or she pays the exercise price in cash to obtain the securities underlying the stock option and holds those securities (a “buy and hold” exercise). However, the subsequent sale of securities received upon the exercise of a stock option will be subject to the restrictions in this policy.</w:t>
      </w:r>
    </w:p>
    <w:p>
      <w:pPr>
        <w:pStyle w:val="TextBody"/>
        <w:bidi w:val="0"/>
        <w:spacing w:lineRule="auto" w:line="288" w:before="120" w:after="283"/>
        <w:ind w:left="0" w:right="0" w:hanging="1"/>
        <w:jc w:val="both"/>
        <w:rPr/>
      </w:pPr>
      <w:r>
        <w:rPr>
          <w:rFonts w:ascii="Arial;sans-serif" w:hAnsi="Arial;sans-serif"/>
          <w:b w:val="false"/>
          <w:color w:val="000000"/>
          <w:sz w:val="22"/>
        </w:rPr>
        <w:t>If a Covered Person conducts a "cashless exercise" to obtain the securities underlying his or her stock option (</w:t>
      </w:r>
      <w:r>
        <w:rPr>
          <w:rFonts w:ascii="Arial;sans-serif" w:hAnsi="Arial;sans-serif"/>
          <w:b w:val="false"/>
          <w:i/>
          <w:color w:val="000000"/>
          <w:sz w:val="22"/>
        </w:rPr>
        <w:t>i.e.</w:t>
      </w:r>
      <w:r>
        <w:rPr>
          <w:rFonts w:ascii="Arial;sans-serif" w:hAnsi="Arial;sans-serif"/>
          <w:b w:val="false"/>
          <w:color w:val="000000"/>
          <w:sz w:val="22"/>
        </w:rPr>
        <w:t>, by selling some of the securities to pay for the purchase of the remaining securities), his or her trade will be subject to the restrictions in this policy.</w:t>
      </w:r>
    </w:p>
    <w:p>
      <w:pPr>
        <w:pStyle w:val="TextBody"/>
        <w:bidi w:val="0"/>
        <w:spacing w:lineRule="auto" w:line="288" w:before="239" w:after="283"/>
        <w:ind w:left="0" w:right="0" w:hanging="359"/>
        <w:jc w:val="both"/>
        <w:rPr/>
      </w:pPr>
      <w:r>
        <w:rPr>
          <w:rFonts w:ascii="Arial;sans-serif" w:hAnsi="Arial;sans-serif"/>
          <w:b/>
          <w:color w:val="000000"/>
          <w:sz w:val="22"/>
        </w:rPr>
        <w:t>2.</w:t>
      </w:r>
      <w:r>
        <w:rPr>
          <w:rFonts w:ascii="Arial;sans-serif" w:hAnsi="Arial;sans-serif"/>
          <w:b/>
          <w:color w:val="000000"/>
          <w:sz w:val="22"/>
        </w:rPr>
        <w:t>NCR Employee Stock Purchase Plan</w:t>
      </w:r>
    </w:p>
    <w:p>
      <w:pPr>
        <w:pStyle w:val="TextBody"/>
        <w:bidi w:val="0"/>
        <w:spacing w:lineRule="auto" w:line="288" w:before="119" w:after="283"/>
        <w:jc w:val="both"/>
        <w:rPr/>
      </w:pPr>
      <w:r>
        <w:rPr>
          <w:rFonts w:ascii="Arial;sans-serif" w:hAnsi="Arial;sans-serif"/>
          <w:b w:val="false"/>
          <w:color w:val="000000"/>
          <w:sz w:val="22"/>
        </w:rPr>
        <w:t>This policy does not apply to the ongoing acquisition of stock through the ESPP as long as such purchases are made pursuant to a valid pre-existing election (</w:t>
      </w:r>
      <w:r>
        <w:rPr>
          <w:rFonts w:ascii="Arial;sans-serif" w:hAnsi="Arial;sans-serif"/>
          <w:b w:val="false"/>
          <w:i/>
          <w:color w:val="000000"/>
          <w:sz w:val="22"/>
        </w:rPr>
        <w:t>i.e.</w:t>
      </w:r>
      <w:r>
        <w:rPr>
          <w:rFonts w:ascii="Arial;sans-serif" w:hAnsi="Arial;sans-serif"/>
          <w:b w:val="false"/>
          <w:color w:val="000000"/>
          <w:sz w:val="22"/>
        </w:rPr>
        <w:t>, one that that was made when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639" w:type="dxa"/>
        <w:jc w:val="left"/>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Arial;sans-serif" w:hAnsi="Arial;sans-serif"/>
                <w:b/>
                <w:i/>
                <w:color w:val="000000"/>
                <w:sz w:val="24"/>
              </w:rPr>
            </w:pPr>
            <w:r>
              <w:rPr>
                <w:rFonts w:ascii="Arial;sans-serif" w:hAnsi="Arial;sans-serif"/>
                <w:b/>
                <w:i/>
                <w:color w:val="000000"/>
                <w:sz w:val="24"/>
              </w:rPr>
              <w:t>CORPORATE MANAGEMENT POLICY MANUAL</w:t>
            </w:r>
          </w:p>
        </w:tc>
      </w:tr>
    </w:tbl>
    <w:p>
      <w:pPr>
        <w:pStyle w:val="TextBody"/>
        <w:bidi w:val="0"/>
        <w:spacing w:before="74" w:after="283"/>
        <w:jc w:val="left"/>
        <w:rPr/>
      </w:pPr>
      <w:r>
        <w:rPr/>
      </w:r>
    </w:p>
    <w:tbl>
      <w:tblPr>
        <w:tblW w:w="3657" w:type="dxa"/>
        <w:jc w:val="left"/>
        <w:tblInd w:w="0" w:type="dxa"/>
        <w:tblLayout w:type="fixed"/>
        <w:tblCellMar>
          <w:top w:w="28" w:type="dxa"/>
          <w:left w:w="28" w:type="dxa"/>
          <w:bottom w:w="28" w:type="dxa"/>
          <w:right w:w="28" w:type="dxa"/>
        </w:tblCellMar>
      </w:tblPr>
      <w:tblGrid>
        <w:gridCol w:w="765"/>
        <w:gridCol w:w="673"/>
        <w:gridCol w:w="676"/>
        <w:gridCol w:w="299"/>
        <w:gridCol w:w="299"/>
        <w:gridCol w:w="301"/>
        <w:gridCol w:w="188"/>
        <w:gridCol w:w="188"/>
        <w:gridCol w:w="268"/>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left"/>
              <w:rPr>
                <w:rFonts w:ascii="Arial;sans-serif" w:hAnsi="Arial;sans-serif"/>
                <w:b/>
                <w:color w:val="000000"/>
                <w:sz w:val="16"/>
              </w:rPr>
            </w:pPr>
            <w:r>
              <w:rPr>
                <w:rFonts w:ascii="Arial;sans-serif" w:hAnsi="Arial;sans-serif"/>
                <w:b/>
                <w:color w:val="000000"/>
                <w:sz w:val="16"/>
              </w:rPr>
              <w:t>Policy</w:t>
            </w:r>
          </w:p>
          <w:p>
            <w:pPr>
              <w:pStyle w:val="TableContents"/>
              <w:bidi w:val="0"/>
              <w:spacing w:lineRule="auto" w:line="288" w:before="81" w:after="283"/>
              <w:jc w:val="left"/>
              <w:rPr>
                <w:rFonts w:ascii="Arial;sans-serif" w:hAnsi="Arial;sans-serif"/>
                <w:b w:val="false"/>
                <w:color w:val="000000"/>
                <w:sz w:val="22"/>
              </w:rPr>
            </w:pPr>
            <w:r>
              <w:rPr>
                <w:rFonts w:ascii="Arial;sans-serif" w:hAnsi="Arial;sans-serif"/>
                <w:b w:val="false"/>
                <w:color w:val="000000"/>
                <w:sz w:val="22"/>
              </w:rPr>
              <w:t>INSIDER TRADING</w:t>
            </w:r>
          </w:p>
        </w:tc>
        <w:tc>
          <w:tcPr>
            <w:tcW w:w="8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Policy No.</w:t>
            </w:r>
          </w:p>
          <w:p>
            <w:pPr>
              <w:pStyle w:val="TableContents"/>
              <w:bidi w:val="0"/>
              <w:spacing w:lineRule="atLeast" w:line="230" w:before="0" w:after="0"/>
              <w:jc w:val="center"/>
              <w:rPr>
                <w:rFonts w:ascii="Arial;sans-serif" w:hAnsi="Arial;sans-serif"/>
                <w:b w:val="false"/>
                <w:color w:val="000000"/>
                <w:sz w:val="20"/>
              </w:rPr>
            </w:pPr>
            <w:r>
              <w:rPr>
                <w:rFonts w:ascii="Arial;sans-serif" w:hAnsi="Arial;sans-serif"/>
                <w:b w:val="false"/>
                <w:color w:val="000000"/>
                <w:sz w:val="20"/>
              </w:rPr>
              <w:t>922</w:t>
            </w:r>
          </w:p>
        </w:tc>
        <w:tc>
          <w:tcPr>
            <w:tcW w:w="6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Page</w:t>
            </w:r>
          </w:p>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7 of 8</w:t>
            </w:r>
          </w:p>
        </w:tc>
      </w:tr>
    </w:tbl>
    <w:p>
      <w:pPr>
        <w:pStyle w:val="TextBody"/>
        <w:bidi w:val="0"/>
        <w:spacing w:lineRule="auto" w:line="288" w:before="252" w:after="283"/>
        <w:jc w:val="both"/>
        <w:rPr>
          <w:rFonts w:ascii="Arial;sans-serif" w:hAnsi="Arial;sans-serif"/>
          <w:b w:val="false"/>
          <w:color w:val="000000"/>
          <w:sz w:val="22"/>
        </w:rPr>
      </w:pPr>
      <w:r>
        <w:rPr>
          <w:rFonts w:ascii="Arial;sans-serif" w:hAnsi="Arial;sans-serif"/>
          <w:b w:val="false"/>
          <w:color w:val="000000"/>
          <w:sz w:val="22"/>
        </w:rPr>
        <w:t>not in possession of material nonpublic information or, as applicable, during an Employee Benefit Plan Blackout Period or Blackout Period).</w:t>
      </w:r>
    </w:p>
    <w:p>
      <w:pPr>
        <w:pStyle w:val="TextBody"/>
        <w:bidi w:val="0"/>
        <w:spacing w:lineRule="auto" w:line="288" w:before="120" w:after="283"/>
        <w:jc w:val="both"/>
        <w:rPr/>
      </w:pPr>
      <w:r>
        <w:rPr>
          <w:rFonts w:ascii="Arial;sans-serif" w:hAnsi="Arial;sans-serif"/>
          <w:b w:val="false"/>
          <w:color w:val="000000"/>
          <w:sz w:val="22"/>
        </w:rPr>
        <w:t xml:space="preserve">The </w:t>
      </w:r>
      <w:r>
        <w:rPr>
          <w:rFonts w:ascii="Arial;sans-serif" w:hAnsi="Arial;sans-serif"/>
          <w:b w:val="false"/>
          <w:color w:val="000000"/>
          <w:sz w:val="22"/>
          <w:u w:val="single"/>
        </w:rPr>
        <w:t>sale</w:t>
      </w:r>
      <w:r>
        <w:rPr>
          <w:color w:val="000000"/>
        </w:rPr>
        <w:t xml:space="preserve"> </w:t>
      </w:r>
      <w:r>
        <w:rPr>
          <w:rFonts w:ascii="Arial;sans-serif" w:hAnsi="Arial;sans-serif"/>
          <w:b w:val="false"/>
          <w:color w:val="000000"/>
          <w:sz w:val="22"/>
        </w:rPr>
        <w:t>of any stock acquired through the ESPP is subject to this policy.</w:t>
      </w:r>
    </w:p>
    <w:p>
      <w:pPr>
        <w:pStyle w:val="TextBody"/>
        <w:bidi w:val="0"/>
        <w:spacing w:lineRule="auto" w:line="288" w:before="119" w:after="283"/>
        <w:jc w:val="both"/>
        <w:rPr>
          <w:rFonts w:ascii="Arial;sans-serif" w:hAnsi="Arial;sans-serif"/>
          <w:b w:val="false"/>
          <w:color w:val="000000"/>
          <w:sz w:val="22"/>
        </w:rPr>
      </w:pPr>
      <w:r>
        <w:rPr>
          <w:rFonts w:ascii="Arial;sans-serif" w:hAnsi="Arial;sans-serif"/>
          <w:b w:val="false"/>
          <w:color w:val="000000"/>
          <w:sz w:val="22"/>
        </w:rPr>
        <w:t>This policy also covers any changes to an employee’s investment direction under the ESPP. For example, deciding to join the ESPP, to exit the ESPP or to change the amount of money deducted from an employee’s paycheck to buy stock under the ESPP would be considered trades subject to this policy.</w:t>
      </w:r>
    </w:p>
    <w:p>
      <w:pPr>
        <w:pStyle w:val="TextBody"/>
        <w:bidi w:val="0"/>
        <w:spacing w:lineRule="auto" w:line="288" w:before="241" w:after="283"/>
        <w:ind w:left="0" w:right="0" w:hanging="359"/>
        <w:jc w:val="left"/>
        <w:rPr/>
      </w:pPr>
      <w:r>
        <w:rPr>
          <w:rFonts w:ascii="Arial;sans-serif" w:hAnsi="Arial;sans-serif"/>
          <w:b/>
          <w:color w:val="000000"/>
          <w:sz w:val="22"/>
        </w:rPr>
        <w:t>3.</w:t>
      </w:r>
      <w:r>
        <w:rPr>
          <w:rFonts w:ascii="Arial;sans-serif" w:hAnsi="Arial;sans-serif"/>
          <w:b/>
          <w:color w:val="000000"/>
          <w:sz w:val="22"/>
        </w:rPr>
        <w:t>NCR Savings Plan</w:t>
      </w:r>
    </w:p>
    <w:p>
      <w:pPr>
        <w:pStyle w:val="TextBody"/>
        <w:bidi w:val="0"/>
        <w:spacing w:lineRule="auto" w:line="288" w:before="122" w:after="283"/>
        <w:ind w:left="0" w:right="0" w:hanging="1"/>
        <w:jc w:val="both"/>
        <w:rPr>
          <w:rFonts w:ascii="Arial;sans-serif" w:hAnsi="Arial;sans-serif"/>
          <w:b w:val="false"/>
          <w:color w:val="000000"/>
          <w:sz w:val="22"/>
        </w:rPr>
      </w:pPr>
      <w:r>
        <w:rPr>
          <w:rFonts w:ascii="Arial;sans-serif" w:hAnsi="Arial;sans-serif"/>
          <w:b w:val="false"/>
          <w:color w:val="000000"/>
          <w:sz w:val="22"/>
        </w:rPr>
        <w:t>Any decision by a Covered Person to change investment direction under the NCR Savings Plan, including exchanging or rebalancing account balances in or out of an NCR stock fund, or changing the election to direct future contributions in or out of an NCR stock fund within a Covered Persons’ NCR Savings Plan account is subject to this policy.</w:t>
      </w:r>
    </w:p>
    <w:p>
      <w:pPr>
        <w:pStyle w:val="TextBody"/>
        <w:bidi w:val="0"/>
        <w:spacing w:lineRule="auto" w:line="288" w:before="118" w:after="283"/>
        <w:jc w:val="both"/>
        <w:rPr>
          <w:rFonts w:ascii="Arial;sans-serif" w:hAnsi="Arial;sans-serif"/>
          <w:b w:val="false"/>
          <w:color w:val="000000"/>
          <w:sz w:val="22"/>
        </w:rPr>
      </w:pPr>
      <w:r>
        <w:rPr>
          <w:rFonts w:ascii="Arial;sans-serif" w:hAnsi="Arial;sans-serif"/>
          <w:b w:val="false"/>
          <w:color w:val="000000"/>
          <w:sz w:val="22"/>
        </w:rPr>
        <w:t>Ongoing investments in NCR Securities made by the trustee under the NCR Savings Plan are not subject to the restrictions of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639" w:type="dxa"/>
        <w:jc w:val="left"/>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12" w:after="283"/>
              <w:jc w:val="left"/>
              <w:rPr>
                <w:rFonts w:ascii="Arial;sans-serif" w:hAnsi="Arial;sans-serif"/>
                <w:b/>
                <w:i/>
                <w:color w:val="000000"/>
                <w:sz w:val="24"/>
              </w:rPr>
            </w:pPr>
            <w:r>
              <w:rPr>
                <w:rFonts w:ascii="Arial;sans-serif" w:hAnsi="Arial;sans-serif"/>
                <w:b/>
                <w:i/>
                <w:color w:val="000000"/>
                <w:sz w:val="24"/>
              </w:rPr>
              <w:t>CORPORATE MANAGEMENT POLICY MANUAL</w:t>
            </w:r>
          </w:p>
        </w:tc>
      </w:tr>
    </w:tbl>
    <w:p>
      <w:pPr>
        <w:pStyle w:val="TextBody"/>
        <w:bidi w:val="0"/>
        <w:spacing w:before="74" w:after="283"/>
        <w:jc w:val="left"/>
        <w:rPr/>
      </w:pPr>
      <w:r>
        <w:rPr/>
      </w:r>
    </w:p>
    <w:tbl>
      <w:tblPr>
        <w:tblW w:w="3657" w:type="dxa"/>
        <w:jc w:val="left"/>
        <w:tblInd w:w="0" w:type="dxa"/>
        <w:tblLayout w:type="fixed"/>
        <w:tblCellMar>
          <w:top w:w="28" w:type="dxa"/>
          <w:left w:w="28" w:type="dxa"/>
          <w:bottom w:w="28" w:type="dxa"/>
          <w:right w:w="28" w:type="dxa"/>
        </w:tblCellMar>
      </w:tblPr>
      <w:tblGrid>
        <w:gridCol w:w="765"/>
        <w:gridCol w:w="673"/>
        <w:gridCol w:w="676"/>
        <w:gridCol w:w="299"/>
        <w:gridCol w:w="299"/>
        <w:gridCol w:w="301"/>
        <w:gridCol w:w="188"/>
        <w:gridCol w:w="188"/>
        <w:gridCol w:w="268"/>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left"/>
              <w:rPr>
                <w:rFonts w:ascii="Arial;sans-serif" w:hAnsi="Arial;sans-serif"/>
                <w:b/>
                <w:color w:val="000000"/>
                <w:sz w:val="16"/>
              </w:rPr>
            </w:pPr>
            <w:r>
              <w:rPr>
                <w:rFonts w:ascii="Arial;sans-serif" w:hAnsi="Arial;sans-serif"/>
                <w:b/>
                <w:color w:val="000000"/>
                <w:sz w:val="16"/>
              </w:rPr>
              <w:t>Policy</w:t>
            </w:r>
          </w:p>
          <w:p>
            <w:pPr>
              <w:pStyle w:val="TableContents"/>
              <w:bidi w:val="0"/>
              <w:spacing w:lineRule="auto" w:line="288" w:before="81" w:after="283"/>
              <w:jc w:val="left"/>
              <w:rPr>
                <w:rFonts w:ascii="Arial;sans-serif" w:hAnsi="Arial;sans-serif"/>
                <w:b w:val="false"/>
                <w:color w:val="000000"/>
                <w:sz w:val="22"/>
              </w:rPr>
            </w:pPr>
            <w:r>
              <w:rPr>
                <w:rFonts w:ascii="Arial;sans-serif" w:hAnsi="Arial;sans-serif"/>
                <w:b w:val="false"/>
                <w:color w:val="000000"/>
                <w:sz w:val="22"/>
              </w:rPr>
              <w:t>INSIDER TRADING</w:t>
            </w:r>
          </w:p>
        </w:tc>
        <w:tc>
          <w:tcPr>
            <w:tcW w:w="8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Policy No.</w:t>
            </w:r>
          </w:p>
          <w:p>
            <w:pPr>
              <w:pStyle w:val="TableContents"/>
              <w:bidi w:val="0"/>
              <w:spacing w:lineRule="atLeast" w:line="230" w:before="0" w:after="0"/>
              <w:jc w:val="center"/>
              <w:rPr>
                <w:rFonts w:ascii="Arial;sans-serif" w:hAnsi="Arial;sans-serif"/>
                <w:b w:val="false"/>
                <w:color w:val="000000"/>
                <w:sz w:val="20"/>
              </w:rPr>
            </w:pPr>
            <w:r>
              <w:rPr>
                <w:rFonts w:ascii="Arial;sans-serif" w:hAnsi="Arial;sans-serif"/>
                <w:b w:val="false"/>
                <w:color w:val="000000"/>
                <w:sz w:val="20"/>
              </w:rPr>
              <w:t>922</w:t>
            </w:r>
          </w:p>
        </w:tc>
        <w:tc>
          <w:tcPr>
            <w:tcW w:w="6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184" w:before="1" w:after="283"/>
              <w:jc w:val="left"/>
              <w:rPr>
                <w:rFonts w:ascii="Arial;sans-serif" w:hAnsi="Arial;sans-serif"/>
                <w:b/>
                <w:color w:val="000000"/>
                <w:sz w:val="16"/>
              </w:rPr>
            </w:pPr>
            <w:r>
              <w:rPr>
                <w:rFonts w:ascii="Arial;sans-serif" w:hAnsi="Arial;sans-serif"/>
                <w:b/>
                <w:color w:val="000000"/>
                <w:sz w:val="16"/>
              </w:rPr>
              <w:t>Page</w:t>
            </w:r>
          </w:p>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8 of 8</w:t>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INSIDER TRADING POLICY SUPPLEMENT</w:t>
      </w:r>
    </w:p>
    <w:p>
      <w:pPr>
        <w:pStyle w:val="TextBody"/>
        <w:bidi w:val="0"/>
        <w:spacing w:lineRule="auto" w:line="288" w:before="137" w:after="283"/>
        <w:jc w:val="both"/>
        <w:rPr>
          <w:rFonts w:ascii="Arial;sans-serif" w:hAnsi="Arial;sans-serif"/>
          <w:b/>
          <w:color w:val="000000"/>
          <w:sz w:val="22"/>
        </w:rPr>
      </w:pPr>
      <w:r>
        <w:rPr>
          <w:rFonts w:ascii="Arial;sans-serif" w:hAnsi="Arial;sans-serif"/>
          <w:b/>
          <w:color w:val="000000"/>
          <w:sz w:val="22"/>
        </w:rPr>
        <w:t>This list includes information that may be material depending on the circumstances. It is not an exclusive list and there may be other types of information that could be considered material. If you are unsure about whether information is material, refrain from trading until the information becomes public, or contact the Law Department for advice.</w:t>
      </w:r>
    </w:p>
    <w:p>
      <w:pPr>
        <w:pStyle w:val="TextBody"/>
        <w:bidi w:val="0"/>
        <w:spacing w:lineRule="atLeast" w:line="252" w:before="120" w:after="283"/>
        <w:ind w:left="0" w:right="0" w:hanging="435"/>
        <w:jc w:val="both"/>
        <w:rPr>
          <w:rFonts w:ascii="Arial;sans-serif" w:hAnsi="Arial;sans-serif"/>
          <w:b w:val="false"/>
          <w:color w:val="000000"/>
          <w:sz w:val="22"/>
        </w:rPr>
      </w:pPr>
      <w:r>
        <w:rPr>
          <w:rFonts w:ascii="Arial;sans-serif" w:hAnsi="Arial;sans-serif"/>
          <w:b w:val="false"/>
          <w:color w:val="000000"/>
          <w:sz w:val="22"/>
        </w:rPr>
        <w:t>1.Proposed or Pending Major Corporate Transactions</w:t>
      </w:r>
    </w:p>
    <w:p>
      <w:pPr>
        <w:pStyle w:val="TextBody"/>
        <w:bidi w:val="0"/>
        <w:spacing w:lineRule="atLeast" w:line="252" w:before="0" w:after="0"/>
        <w:ind w:left="0" w:right="0" w:hanging="359"/>
        <w:jc w:val="both"/>
        <w:rPr>
          <w:rFonts w:ascii="Arial;sans-serif" w:hAnsi="Arial;sans-serif"/>
          <w:b w:val="false"/>
          <w:color w:val="000000"/>
          <w:sz w:val="22"/>
        </w:rPr>
      </w:pPr>
      <w:r>
        <w:rPr>
          <w:rFonts w:ascii="Arial;sans-serif" w:hAnsi="Arial;sans-serif"/>
          <w:b w:val="false"/>
          <w:color w:val="000000"/>
          <w:sz w:val="22"/>
        </w:rPr>
        <w:t>*mergers, acquisitions or divestitures</w:t>
      </w:r>
    </w:p>
    <w:p>
      <w:pPr>
        <w:pStyle w:val="TextBody"/>
        <w:bidi w:val="0"/>
        <w:spacing w:lineRule="atLeast" w:line="252" w:before="0" w:after="0"/>
        <w:ind w:left="0" w:right="0" w:hanging="359"/>
        <w:jc w:val="both"/>
        <w:rPr>
          <w:rFonts w:ascii="Arial;sans-serif" w:hAnsi="Arial;sans-serif"/>
          <w:b w:val="false"/>
          <w:color w:val="000000"/>
          <w:sz w:val="22"/>
        </w:rPr>
      </w:pPr>
      <w:r>
        <w:rPr>
          <w:rFonts w:ascii="Arial;sans-serif" w:hAnsi="Arial;sans-serif"/>
          <w:b w:val="false"/>
          <w:color w:val="000000"/>
          <w:sz w:val="22"/>
        </w:rPr>
        <w:t>*significant joint ventures</w:t>
      </w:r>
    </w:p>
    <w:p>
      <w:pPr>
        <w:pStyle w:val="TextBody"/>
        <w:bidi w:val="0"/>
        <w:spacing w:lineRule="auto" w:line="288" w:before="122" w:after="283"/>
        <w:ind w:left="0" w:right="0" w:hanging="447"/>
        <w:jc w:val="both"/>
        <w:rPr>
          <w:rFonts w:ascii="Arial;sans-serif" w:hAnsi="Arial;sans-serif"/>
          <w:b w:val="false"/>
          <w:color w:val="000000"/>
          <w:sz w:val="22"/>
        </w:rPr>
      </w:pPr>
      <w:r>
        <w:rPr>
          <w:rFonts w:ascii="Arial;sans-serif" w:hAnsi="Arial;sans-serif"/>
          <w:b w:val="false"/>
          <w:color w:val="000000"/>
          <w:sz w:val="22"/>
        </w:rPr>
        <w:t>2.Non-routine Dividend Action</w:t>
      </w:r>
    </w:p>
    <w:p>
      <w:pPr>
        <w:pStyle w:val="TextBody"/>
        <w:bidi w:val="0"/>
        <w:spacing w:lineRule="auto" w:line="288" w:before="119" w:after="283"/>
        <w:ind w:left="0" w:right="0" w:hanging="447"/>
        <w:jc w:val="both"/>
        <w:rPr>
          <w:rFonts w:ascii="Arial;sans-serif" w:hAnsi="Arial;sans-serif"/>
          <w:b w:val="false"/>
          <w:color w:val="000000"/>
          <w:sz w:val="22"/>
        </w:rPr>
      </w:pPr>
      <w:r>
        <w:rPr>
          <w:rFonts w:ascii="Arial;sans-serif" w:hAnsi="Arial;sans-serif"/>
          <w:b w:val="false"/>
          <w:color w:val="000000"/>
          <w:sz w:val="22"/>
        </w:rPr>
        <w:t>3.Unreleased Financial Information (Actual or Projected)</w:t>
      </w:r>
    </w:p>
    <w:p>
      <w:pPr>
        <w:pStyle w:val="TextBody"/>
        <w:bidi w:val="0"/>
        <w:spacing w:lineRule="atLeast" w:line="252" w:before="1" w:after="283"/>
        <w:jc w:val="both"/>
        <w:rPr>
          <w:rFonts w:ascii="Arial;sans-serif" w:hAnsi="Arial;sans-serif"/>
          <w:b w:val="false"/>
          <w:color w:val="000000"/>
          <w:sz w:val="22"/>
        </w:rPr>
      </w:pPr>
      <w:r>
        <w:rPr>
          <w:rFonts w:ascii="Arial;sans-serif" w:hAnsi="Arial;sans-serif"/>
          <w:b w:val="false"/>
          <w:color w:val="000000"/>
          <w:sz w:val="22"/>
        </w:rPr>
        <w:t>about the Company, or one or more of its lines of business or regions</w:t>
      </w:r>
    </w:p>
    <w:p>
      <w:pPr>
        <w:pStyle w:val="TextBody"/>
        <w:bidi w:val="0"/>
        <w:spacing w:lineRule="atLeast" w:line="252" w:before="0" w:after="0"/>
        <w:ind w:left="0" w:right="0" w:hanging="359"/>
        <w:jc w:val="both"/>
        <w:rPr>
          <w:rFonts w:ascii="Arial;sans-serif" w:hAnsi="Arial;sans-serif"/>
          <w:b w:val="false"/>
          <w:color w:val="000000"/>
          <w:sz w:val="22"/>
        </w:rPr>
      </w:pPr>
      <w:r>
        <w:rPr>
          <w:rFonts w:ascii="Arial;sans-serif" w:hAnsi="Arial;sans-serif"/>
          <w:b w:val="false"/>
          <w:color w:val="000000"/>
          <w:sz w:val="22"/>
        </w:rPr>
        <w:t>*any revenue, earnings or order information indicating a trend</w:t>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*data concerning profitability of lines of business or products and services offered by NCR</w:t>
      </w:r>
    </w:p>
    <w:p>
      <w:pPr>
        <w:pStyle w:val="TextBody"/>
        <w:bidi w:val="0"/>
        <w:spacing w:lineRule="auto" w:line="288" w:before="120" w:after="283"/>
        <w:ind w:left="0" w:right="0" w:hanging="447"/>
        <w:jc w:val="both"/>
        <w:rPr>
          <w:rFonts w:ascii="Arial;sans-serif" w:hAnsi="Arial;sans-serif"/>
          <w:b w:val="false"/>
          <w:color w:val="000000"/>
          <w:sz w:val="22"/>
        </w:rPr>
      </w:pPr>
      <w:r>
        <w:rPr>
          <w:rFonts w:ascii="Arial;sans-serif" w:hAnsi="Arial;sans-serif"/>
          <w:b w:val="false"/>
          <w:color w:val="000000"/>
          <w:sz w:val="22"/>
        </w:rPr>
        <w:t>4.Acquisition or Loss of Major Contracts</w:t>
      </w:r>
    </w:p>
    <w:p>
      <w:pPr>
        <w:pStyle w:val="TextBody"/>
        <w:bidi w:val="0"/>
        <w:spacing w:lineRule="atLeast" w:line="252" w:before="2" w:after="283"/>
        <w:ind w:left="0" w:right="0" w:hanging="360"/>
        <w:jc w:val="left"/>
        <w:rPr>
          <w:rFonts w:ascii="Arial;sans-serif" w:hAnsi="Arial;sans-serif"/>
          <w:b w:val="false"/>
          <w:color w:val="000000"/>
          <w:sz w:val="22"/>
        </w:rPr>
      </w:pPr>
      <w:r>
        <w:rPr>
          <w:rFonts w:ascii="Arial;sans-serif" w:hAnsi="Arial;sans-serif"/>
          <w:b w:val="false"/>
          <w:color w:val="000000"/>
          <w:sz w:val="22"/>
        </w:rPr>
        <w:t>*customer contracts, awards or cancellations</w:t>
      </w:r>
    </w:p>
    <w:p>
      <w:pPr>
        <w:pStyle w:val="TextBody"/>
        <w:bidi w:val="0"/>
        <w:spacing w:lineRule="atLeast" w:line="252" w:before="0" w:after="0"/>
        <w:ind w:left="0" w:right="0" w:hanging="360"/>
        <w:jc w:val="left"/>
        <w:rPr>
          <w:rFonts w:ascii="Arial;sans-serif" w:hAnsi="Arial;sans-serif"/>
          <w:b w:val="false"/>
          <w:color w:val="000000"/>
          <w:sz w:val="22"/>
        </w:rPr>
      </w:pPr>
      <w:r>
        <w:rPr>
          <w:rFonts w:ascii="Arial;sans-serif" w:hAnsi="Arial;sans-serif"/>
          <w:b w:val="false"/>
          <w:color w:val="000000"/>
          <w:sz w:val="22"/>
        </w:rPr>
        <w:t>*partner agreements or licenses</w:t>
      </w:r>
    </w:p>
    <w:p>
      <w:pPr>
        <w:pStyle w:val="TextBody"/>
        <w:bidi w:val="0"/>
        <w:spacing w:lineRule="atLeast" w:line="252" w:before="0" w:after="0"/>
        <w:ind w:left="0" w:right="0" w:hanging="360"/>
        <w:jc w:val="left"/>
        <w:rPr>
          <w:rFonts w:ascii="Arial;sans-serif" w:hAnsi="Arial;sans-serif"/>
          <w:b w:val="false"/>
          <w:color w:val="000000"/>
          <w:sz w:val="22"/>
        </w:rPr>
      </w:pPr>
      <w:r>
        <w:rPr>
          <w:rFonts w:ascii="Arial;sans-serif" w:hAnsi="Arial;sans-serif"/>
          <w:b w:val="false"/>
          <w:color w:val="000000"/>
          <w:sz w:val="22"/>
        </w:rPr>
        <w:t>*supplier contracts; suppliers' ability to perform</w:t>
      </w:r>
    </w:p>
    <w:p>
      <w:pPr>
        <w:pStyle w:val="TextBody"/>
        <w:bidi w:val="0"/>
        <w:spacing w:lineRule="atLeast" w:line="252" w:before="121" w:after="283"/>
        <w:ind w:left="0" w:right="0" w:hanging="449"/>
        <w:jc w:val="left"/>
        <w:rPr>
          <w:rFonts w:ascii="Arial;sans-serif" w:hAnsi="Arial;sans-serif"/>
          <w:b w:val="false"/>
          <w:color w:val="000000"/>
          <w:sz w:val="22"/>
        </w:rPr>
      </w:pPr>
      <w:r>
        <w:rPr>
          <w:rFonts w:ascii="Arial;sans-serif" w:hAnsi="Arial;sans-serif"/>
          <w:b w:val="false"/>
          <w:color w:val="000000"/>
          <w:sz w:val="22"/>
        </w:rPr>
        <w:t>5.Major Products or Services</w:t>
      </w:r>
    </w:p>
    <w:p>
      <w:pPr>
        <w:pStyle w:val="TextBody"/>
        <w:bidi w:val="0"/>
        <w:spacing w:lineRule="atLeast" w:line="252" w:before="0" w:after="0"/>
        <w:ind w:left="0" w:right="0" w:hanging="360"/>
        <w:jc w:val="left"/>
        <w:rPr>
          <w:rFonts w:ascii="Arial;sans-serif" w:hAnsi="Arial;sans-serif"/>
          <w:b w:val="false"/>
          <w:color w:val="000000"/>
          <w:sz w:val="22"/>
        </w:rPr>
      </w:pPr>
      <w:r>
        <w:rPr>
          <w:rFonts w:ascii="Arial;sans-serif" w:hAnsi="Arial;sans-serif"/>
          <w:b w:val="false"/>
          <w:color w:val="000000"/>
          <w:sz w:val="22"/>
        </w:rPr>
        <w:t>*introduction of new ones or discontinuance of old ones</w:t>
      </w:r>
    </w:p>
    <w:p>
      <w:pPr>
        <w:pStyle w:val="TextBody"/>
        <w:bidi w:val="0"/>
        <w:spacing w:lineRule="auto" w:line="288" w:before="1" w:after="283"/>
        <w:ind w:left="0" w:right="0" w:hanging="360"/>
        <w:jc w:val="left"/>
        <w:rPr>
          <w:rFonts w:ascii="Arial;sans-serif" w:hAnsi="Arial;sans-serif"/>
          <w:b w:val="false"/>
          <w:color w:val="000000"/>
          <w:sz w:val="22"/>
        </w:rPr>
      </w:pPr>
      <w:r>
        <w:rPr>
          <w:rFonts w:ascii="Arial;sans-serif" w:hAnsi="Arial;sans-serif"/>
          <w:b w:val="false"/>
          <w:color w:val="000000"/>
          <w:sz w:val="22"/>
        </w:rPr>
        <w:t>*inventions or product developments</w:t>
      </w:r>
    </w:p>
    <w:p>
      <w:pPr>
        <w:pStyle w:val="TextBody"/>
        <w:bidi w:val="0"/>
        <w:spacing w:lineRule="atLeast" w:line="252" w:before="120" w:after="283"/>
        <w:ind w:left="0" w:right="0" w:hanging="449"/>
        <w:jc w:val="left"/>
        <w:rPr>
          <w:rFonts w:ascii="Arial;sans-serif" w:hAnsi="Arial;sans-serif"/>
          <w:b w:val="false"/>
          <w:color w:val="000000"/>
          <w:sz w:val="22"/>
        </w:rPr>
      </w:pPr>
      <w:r>
        <w:rPr>
          <w:rFonts w:ascii="Arial;sans-serif" w:hAnsi="Arial;sans-serif"/>
          <w:b w:val="false"/>
          <w:color w:val="000000"/>
          <w:sz w:val="22"/>
        </w:rPr>
        <w:t>6.Company-Wide Employment Issues</w:t>
      </w:r>
    </w:p>
    <w:p>
      <w:pPr>
        <w:pStyle w:val="TextBody"/>
        <w:bidi w:val="0"/>
        <w:spacing w:lineRule="atLeast" w:line="252" w:before="0" w:after="0"/>
        <w:ind w:left="0" w:right="0" w:hanging="360"/>
        <w:jc w:val="left"/>
        <w:rPr>
          <w:rFonts w:ascii="Arial;sans-serif" w:hAnsi="Arial;sans-serif"/>
          <w:b w:val="false"/>
          <w:color w:val="000000"/>
          <w:sz w:val="22"/>
        </w:rPr>
      </w:pPr>
      <w:r>
        <w:rPr>
          <w:rFonts w:ascii="Arial;sans-serif" w:hAnsi="Arial;sans-serif"/>
          <w:b w:val="false"/>
          <w:color w:val="000000"/>
          <w:sz w:val="22"/>
        </w:rPr>
        <w:t>*major management changes</w:t>
      </w:r>
    </w:p>
    <w:p>
      <w:pPr>
        <w:pStyle w:val="TextBody"/>
        <w:bidi w:val="0"/>
        <w:spacing w:lineRule="atLeast" w:line="252" w:before="1" w:after="283"/>
        <w:ind w:left="0" w:right="0" w:hanging="360"/>
        <w:jc w:val="left"/>
        <w:rPr>
          <w:rFonts w:ascii="Arial;sans-serif" w:hAnsi="Arial;sans-serif"/>
          <w:b w:val="false"/>
          <w:color w:val="000000"/>
          <w:sz w:val="22"/>
        </w:rPr>
      </w:pPr>
      <w:r>
        <w:rPr>
          <w:rFonts w:ascii="Arial;sans-serif" w:hAnsi="Arial;sans-serif"/>
          <w:b w:val="false"/>
          <w:color w:val="000000"/>
          <w:sz w:val="22"/>
        </w:rPr>
        <w:t>*major labor relations matters</w:t>
      </w:r>
    </w:p>
    <w:p>
      <w:pPr>
        <w:pStyle w:val="TextBody"/>
        <w:bidi w:val="0"/>
        <w:spacing w:lineRule="atLeast" w:line="252" w:before="0" w:after="0"/>
        <w:ind w:left="0" w:right="0" w:hanging="360"/>
        <w:jc w:val="left"/>
        <w:rPr>
          <w:rFonts w:ascii="Arial;sans-serif" w:hAnsi="Arial;sans-serif"/>
          <w:b w:val="false"/>
          <w:color w:val="000000"/>
          <w:sz w:val="22"/>
        </w:rPr>
      </w:pPr>
      <w:r>
        <w:rPr>
          <w:rFonts w:ascii="Arial;sans-serif" w:hAnsi="Arial;sans-serif"/>
          <w:b w:val="false"/>
          <w:color w:val="000000"/>
          <w:sz w:val="22"/>
        </w:rPr>
        <w:t>*significant reductions in force and plant closings</w:t>
      </w:r>
    </w:p>
    <w:p>
      <w:pPr>
        <w:pStyle w:val="TextBody"/>
        <w:bidi w:val="0"/>
        <w:spacing w:lineRule="auto" w:line="288" w:before="121" w:after="283"/>
        <w:ind w:left="0" w:right="0" w:hanging="449"/>
        <w:jc w:val="left"/>
        <w:rPr>
          <w:rFonts w:ascii="Arial;sans-serif" w:hAnsi="Arial;sans-serif"/>
          <w:b w:val="false"/>
          <w:color w:val="000000"/>
          <w:sz w:val="22"/>
        </w:rPr>
      </w:pPr>
      <w:r>
        <w:rPr>
          <w:rFonts w:ascii="Arial;sans-serif" w:hAnsi="Arial;sans-serif"/>
          <w:b w:val="false"/>
          <w:color w:val="000000"/>
          <w:sz w:val="22"/>
        </w:rPr>
        <w:t>7.Significant Cybersecurity Incidents</w:t>
      </w:r>
    </w:p>
    <w:p>
      <w:pPr>
        <w:pStyle w:val="TextBody"/>
        <w:bidi w:val="0"/>
        <w:spacing w:lineRule="auto" w:line="288" w:before="119" w:after="283"/>
        <w:ind w:left="0" w:right="0" w:hanging="449"/>
        <w:jc w:val="left"/>
        <w:rPr>
          <w:rFonts w:ascii="Arial;sans-serif" w:hAnsi="Arial;sans-serif"/>
          <w:b w:val="false"/>
          <w:color w:val="000000"/>
          <w:sz w:val="22"/>
        </w:rPr>
      </w:pPr>
      <w:r>
        <w:rPr>
          <w:rFonts w:ascii="Arial;sans-serif" w:hAnsi="Arial;sans-serif"/>
          <w:b w:val="false"/>
          <w:color w:val="000000"/>
          <w:sz w:val="22"/>
        </w:rPr>
        <w:t>8.Significant Changes in Financial Condition or Capital Structure</w:t>
      </w:r>
    </w:p>
    <w:p>
      <w:pPr>
        <w:pStyle w:val="TextBody"/>
        <w:bidi w:val="0"/>
        <w:spacing w:lineRule="atLeast" w:line="252" w:before="2" w:after="283"/>
        <w:ind w:left="0" w:right="0" w:hanging="360"/>
        <w:jc w:val="left"/>
        <w:rPr>
          <w:rFonts w:ascii="Arial;sans-serif" w:hAnsi="Arial;sans-serif"/>
          <w:b w:val="false"/>
          <w:color w:val="000000"/>
          <w:sz w:val="22"/>
        </w:rPr>
      </w:pPr>
      <w:r>
        <w:rPr>
          <w:rFonts w:ascii="Arial;sans-serif" w:hAnsi="Arial;sans-serif"/>
          <w:b w:val="false"/>
          <w:color w:val="000000"/>
          <w:sz w:val="22"/>
        </w:rPr>
        <w:t>*stock splits</w:t>
      </w:r>
    </w:p>
    <w:p>
      <w:pPr>
        <w:pStyle w:val="TextBody"/>
        <w:bidi w:val="0"/>
        <w:spacing w:lineRule="atLeast" w:line="252" w:before="0" w:after="0"/>
        <w:ind w:left="0" w:right="0" w:hanging="360"/>
        <w:jc w:val="left"/>
        <w:rPr>
          <w:rFonts w:ascii="Arial;sans-serif" w:hAnsi="Arial;sans-serif"/>
          <w:b w:val="false"/>
          <w:color w:val="000000"/>
          <w:sz w:val="22"/>
        </w:rPr>
      </w:pPr>
      <w:r>
        <w:rPr>
          <w:rFonts w:ascii="Arial;sans-serif" w:hAnsi="Arial;sans-serif"/>
          <w:b w:val="false"/>
          <w:color w:val="000000"/>
          <w:sz w:val="22"/>
        </w:rPr>
        <w:t>*sale or purchase of NCR Securities</w:t>
      </w:r>
    </w:p>
    <w:p>
      <w:pPr>
        <w:pStyle w:val="TextBody"/>
        <w:bidi w:val="0"/>
        <w:spacing w:lineRule="atLeast" w:line="252" w:before="0" w:after="0"/>
        <w:ind w:left="0" w:right="0" w:hanging="360"/>
        <w:jc w:val="left"/>
        <w:rPr>
          <w:rFonts w:ascii="Arial;sans-serif" w:hAnsi="Arial;sans-serif"/>
          <w:b w:val="false"/>
          <w:color w:val="000000"/>
          <w:sz w:val="22"/>
        </w:rPr>
      </w:pPr>
      <w:r>
        <w:rPr>
          <w:rFonts w:ascii="Arial;sans-serif" w:hAnsi="Arial;sans-serif"/>
          <w:b w:val="false"/>
          <w:color w:val="000000"/>
          <w:sz w:val="22"/>
        </w:rPr>
        <w:t>*major financings or capital investment plans</w:t>
      </w:r>
    </w:p>
    <w:p>
      <w:pPr>
        <w:pStyle w:val="TextBody"/>
        <w:bidi w:val="0"/>
        <w:spacing w:lineRule="auto" w:line="288" w:before="1" w:after="283"/>
        <w:ind w:left="0" w:right="0" w:hanging="360"/>
        <w:jc w:val="left"/>
        <w:rPr>
          <w:rFonts w:ascii="Arial;sans-serif" w:hAnsi="Arial;sans-serif"/>
          <w:b w:val="false"/>
          <w:color w:val="000000"/>
          <w:sz w:val="22"/>
        </w:rPr>
      </w:pPr>
      <w:r>
        <w:rPr>
          <w:rFonts w:ascii="Arial;sans-serif" w:hAnsi="Arial;sans-serif"/>
          <w:b w:val="false"/>
          <w:color w:val="000000"/>
          <w:sz w:val="22"/>
        </w:rPr>
        <w:t>*extraordinary items for accounting purposes such as write-offs and restructuring charges</w:t>
      </w:r>
    </w:p>
    <w:p>
      <w:pPr>
        <w:pStyle w:val="TextBody"/>
        <w:bidi w:val="0"/>
        <w:spacing w:lineRule="atLeast" w:line="252" w:before="121" w:after="283"/>
        <w:ind w:left="0" w:right="0" w:hanging="449"/>
        <w:jc w:val="left"/>
        <w:rPr>
          <w:rFonts w:ascii="Arial;sans-serif" w:hAnsi="Arial;sans-serif"/>
          <w:b w:val="false"/>
          <w:color w:val="000000"/>
          <w:sz w:val="22"/>
        </w:rPr>
      </w:pPr>
      <w:r>
        <w:rPr>
          <w:rFonts w:ascii="Arial;sans-serif" w:hAnsi="Arial;sans-serif"/>
          <w:b w:val="false"/>
          <w:color w:val="000000"/>
          <w:sz w:val="22"/>
        </w:rPr>
        <w:t>9.Significant Litigation or Legal Developments</w:t>
      </w:r>
    </w:p>
    <w:p>
      <w:pPr>
        <w:pStyle w:val="TextBody"/>
        <w:bidi w:val="0"/>
        <w:spacing w:lineRule="atLeast" w:line="252" w:before="0" w:after="0"/>
        <w:ind w:left="0" w:right="0" w:hanging="451"/>
        <w:jc w:val="left"/>
        <w:rPr>
          <w:rFonts w:ascii="Arial;sans-serif" w:hAnsi="Arial;sans-serif"/>
          <w:b w:val="false"/>
          <w:color w:val="000000"/>
          <w:sz w:val="22"/>
        </w:rPr>
      </w:pPr>
      <w:r>
        <w:rPr>
          <w:rFonts w:ascii="Arial;sans-serif" w:hAnsi="Arial;sans-serif"/>
          <w:b w:val="false"/>
          <w:color w:val="000000"/>
          <w:sz w:val="22"/>
        </w:rPr>
        <w:t>*lawsuits filed by or against the Company</w:t>
      </w:r>
    </w:p>
    <w:p>
      <w:pPr>
        <w:pStyle w:val="TextBody"/>
        <w:bidi w:val="0"/>
        <w:spacing w:lineRule="atLeast" w:line="252" w:before="0" w:after="0"/>
        <w:ind w:left="0" w:right="0" w:hanging="451"/>
        <w:jc w:val="left"/>
        <w:rPr>
          <w:rFonts w:ascii="Arial;sans-serif" w:hAnsi="Arial;sans-serif"/>
          <w:b w:val="false"/>
          <w:color w:val="000000"/>
          <w:sz w:val="22"/>
        </w:rPr>
      </w:pPr>
      <w:r>
        <w:rPr>
          <w:rFonts w:ascii="Arial;sans-serif" w:hAnsi="Arial;sans-serif"/>
          <w:b w:val="false"/>
          <w:color w:val="000000"/>
          <w:sz w:val="22"/>
        </w:rPr>
        <w:t>*settlements or other significant developments in major litigation matters</w:t>
      </w:r>
    </w:p>
    <w:p>
      <w:pPr>
        <w:pStyle w:val="TextBody"/>
        <w:bidi w:val="0"/>
        <w:spacing w:lineRule="auto" w:line="288" w:before="1" w:after="283"/>
        <w:ind w:left="0" w:right="0" w:hanging="451"/>
        <w:jc w:val="left"/>
        <w:rPr>
          <w:rFonts w:ascii="Arial;sans-serif" w:hAnsi="Arial;sans-serif"/>
          <w:b w:val="false"/>
          <w:color w:val="000000"/>
          <w:sz w:val="22"/>
        </w:rPr>
      </w:pPr>
      <w:r>
        <w:rPr>
          <w:rFonts w:ascii="Arial;sans-serif" w:hAnsi="Arial;sans-serif"/>
          <w:b w:val="false"/>
          <w:color w:val="000000"/>
          <w:sz w:val="22"/>
        </w:rPr>
        <w:t>*government investigations</w:t>
      </w:r>
    </w:p>
    <w:p>
      <w:pPr>
        <w:pStyle w:val="TextBody"/>
        <w:bidi w:val="0"/>
        <w:spacing w:lineRule="auto" w:line="288" w:before="119" w:after="283"/>
        <w:ind w:left="0" w:right="0" w:hanging="447"/>
        <w:jc w:val="left"/>
        <w:rPr>
          <w:rFonts w:ascii="Arial;sans-serif" w:hAnsi="Arial;sans-serif"/>
          <w:b w:val="false"/>
          <w:color w:val="000000"/>
          <w:sz w:val="22"/>
        </w:rPr>
      </w:pPr>
      <w:r>
        <w:rPr>
          <w:rFonts w:ascii="Arial;sans-serif" w:hAnsi="Arial;sans-serif"/>
          <w:b w:val="false"/>
          <w:color w:val="000000"/>
          <w:sz w:val="22"/>
        </w:rPr>
        <w:t>10.Major Changes in Corporate Strategy</w:t>
      </w:r>
    </w:p>
    <w:p>
      <w:pPr>
        <w:pStyle w:val="TextBody"/>
        <w:bidi w:val="0"/>
        <w:spacing w:lineRule="atLeast" w:line="252" w:before="2" w:after="283"/>
        <w:ind w:left="0" w:right="0" w:hanging="360"/>
        <w:jc w:val="left"/>
        <w:rPr>
          <w:rFonts w:ascii="Arial;sans-serif" w:hAnsi="Arial;sans-serif"/>
          <w:b w:val="false"/>
          <w:color w:val="000000"/>
          <w:sz w:val="22"/>
        </w:rPr>
      </w:pPr>
      <w:r>
        <w:rPr>
          <w:rFonts w:ascii="Arial;sans-serif" w:hAnsi="Arial;sans-serif"/>
          <w:b w:val="false"/>
          <w:color w:val="000000"/>
          <w:sz w:val="22"/>
        </w:rPr>
        <w:t>*discontinuance or addition of lines of business</w:t>
      </w:r>
    </w:p>
    <w:p>
      <w:pPr>
        <w:pStyle w:val="TextBody"/>
        <w:bidi w:val="0"/>
        <w:spacing w:lineRule="atLeast" w:line="252" w:before="0" w:after="0"/>
        <w:ind w:left="0" w:right="0" w:hanging="360"/>
        <w:jc w:val="left"/>
        <w:rPr>
          <w:rFonts w:ascii="Arial;sans-serif" w:hAnsi="Arial;sans-serif"/>
          <w:b w:val="false"/>
          <w:color w:val="000000"/>
          <w:sz w:val="22"/>
        </w:rPr>
      </w:pPr>
      <w:r>
        <w:rPr>
          <w:rFonts w:ascii="Arial;sans-serif" w:hAnsi="Arial;sans-serif"/>
          <w:b w:val="false"/>
          <w:color w:val="000000"/>
          <w:sz w:val="22"/>
        </w:rPr>
        <w:t>*changes in pricing or cost structure</w:t>
      </w:r>
    </w:p>
    <w:p>
      <w:pPr>
        <w:pStyle w:val="TextBody"/>
        <w:bidi w:val="0"/>
        <w:spacing w:lineRule="atLeast" w:line="252" w:before="0" w:after="0"/>
        <w:ind w:left="0" w:right="0" w:hanging="360"/>
        <w:jc w:val="left"/>
        <w:rPr>
          <w:rFonts w:ascii="Arial;sans-serif" w:hAnsi="Arial;sans-serif"/>
          <w:b w:val="false"/>
          <w:color w:val="000000"/>
          <w:sz w:val="22"/>
        </w:rPr>
      </w:pPr>
      <w:r>
        <w:rPr>
          <w:rFonts w:ascii="Arial;sans-serif" w:hAnsi="Arial;sans-serif"/>
          <w:b w:val="false"/>
          <w:color w:val="000000"/>
          <w:sz w:val="22"/>
        </w:rPr>
        <w:t>*research and development efforts</w:t>
      </w:r>
    </w:p>
    <w:p>
      <w:pPr>
        <w:pStyle w:val="TextBody"/>
        <w:bidi w:val="0"/>
        <w:spacing w:lineRule="auto" w:line="288" w:before="1" w:after="283"/>
        <w:ind w:left="0" w:right="0" w:hanging="360"/>
        <w:jc w:val="left"/>
        <w:rPr>
          <w:rFonts w:ascii="Arial;sans-serif" w:hAnsi="Arial;sans-serif"/>
          <w:b w:val="false"/>
          <w:color w:val="000000"/>
          <w:sz w:val="22"/>
        </w:rPr>
      </w:pPr>
      <w:r>
        <w:rPr>
          <w:rFonts w:ascii="Arial;sans-serif" w:hAnsi="Arial;sans-serif"/>
          <w:b w:val="false"/>
          <w:color w:val="000000"/>
          <w:sz w:val="22"/>
        </w:rPr>
        <w:t>*marketing plans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48" w:before="0" w:after="0"/>
        <w:jc w:val="right"/>
        <w:rPr>
          <w:rFonts w:ascii="Times New Roman;serif" w:hAnsi="Times New Roman;serif"/>
          <w:b/>
          <w:color w:val="000000"/>
          <w:sz w:val="20"/>
        </w:rPr>
      </w:pPr>
      <w:r>
        <w:rPr>
          <w:rFonts w:ascii="Times New Roman;serif" w:hAnsi="Times New Roman;serif"/>
          <w:b/>
          <w:color w:val="000000"/>
          <w:sz w:val="20"/>
        </w:rPr>
        <w:t>EXHIBIT 21</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SUBSIDIARIES OF NCR VOYIX CORPORATION</w:t>
      </w:r>
    </w:p>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as of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79"/>
        <w:gridCol w:w="1994"/>
        <w:gridCol w:w="2002"/>
        <w:gridCol w:w="109"/>
        <w:gridCol w:w="109"/>
        <w:gridCol w:w="109"/>
        <w:gridCol w:w="1054"/>
        <w:gridCol w:w="1054"/>
        <w:gridCol w:w="1495"/>
      </w:tblGrid>
      <w:tr>
        <w:trPr/>
        <w:tc>
          <w:tcPr>
            <w:tcW w:w="227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Jurisdiction of Incorporation</w:t>
            </w:r>
          </w:p>
        </w:tc>
      </w:tr>
      <w:tr>
        <w:trPr/>
        <w:tc>
          <w:tcPr>
            <w:tcW w:w="6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Digital First Holdings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Delaware</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Donald Ryan &amp; Associates Systems Consultants,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California</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Freshop,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Delaware</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Kalamazoo River Areas 2,3 And 4 Remediation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Delaware</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Lower Fox River Remediation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Delaware</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Moon Holdings S.P.V.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Israel</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(NZ)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New Zealand</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Asia Pacific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Singapore</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Australia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Australia</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Canada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Canada</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Canada Receivables GP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Canada</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Canada Receivables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Canada</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Charity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Georgia</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Commerce Argentina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Argentina</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Commerce Chile Comercial Limitada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Chile</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Commerce Corporation Ceska Republika, spol.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Czech Republic</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Commerce Del Peru S.A.C.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Peru</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Commerce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France</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Commerce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Germany</w:t>
            </w:r>
          </w:p>
        </w:tc>
      </w:tr>
      <w:tr>
        <w:trPr/>
        <w:tc>
          <w:tcPr>
            <w:tcW w:w="6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Commerce Italia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Italy</w:t>
            </w:r>
          </w:p>
        </w:tc>
      </w:tr>
    </w:tbl>
    <w:p>
      <w:pPr>
        <w:pStyle w:val="TextBody"/>
        <w:bidi w:val="0"/>
        <w:spacing w:lineRule="auto" w:line="448" w:before="0" w:after="0"/>
        <w:jc w:val="right"/>
        <w:rPr>
          <w:rFonts w:ascii="Times New Roman;serif" w:hAnsi="Times New Roman;serif"/>
          <w:b/>
          <w:color w:val="000000"/>
          <w:sz w:val="20"/>
        </w:rPr>
      </w:pPr>
      <w:r>
        <w:rPr>
          <w:rFonts w:ascii="Times New Roman;serif" w:hAnsi="Times New Roman;serif"/>
          <w:b/>
          <w:color w:val="000000"/>
          <w:sz w:val="20"/>
        </w:rPr>
        <w:t>EXHIBIT 21</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SUBSIDIARIES OF NCR VOYIX CORPORATION</w:t>
      </w:r>
    </w:p>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as of December 31, 2025</w:t>
      </w:r>
    </w:p>
    <w:p>
      <w:pPr>
        <w:pStyle w:val="TextBody"/>
        <w:bidi w:val="0"/>
        <w:spacing w:before="0" w:after="0"/>
        <w:jc w:val="left"/>
        <w:rPr/>
      </w:pPr>
      <w:r>
        <w:rPr/>
      </w:r>
    </w:p>
    <w:tbl>
      <w:tblPr>
        <w:tblW w:w="9717" w:type="dxa"/>
        <w:jc w:val="left"/>
        <w:tblInd w:w="0" w:type="dxa"/>
        <w:tblLayout w:type="fixed"/>
        <w:tblCellMar>
          <w:top w:w="28" w:type="dxa"/>
          <w:left w:w="28" w:type="dxa"/>
          <w:bottom w:w="28" w:type="dxa"/>
          <w:right w:w="28" w:type="dxa"/>
        </w:tblCellMar>
      </w:tblPr>
      <w:tblGrid>
        <w:gridCol w:w="2061"/>
        <w:gridCol w:w="1808"/>
        <w:gridCol w:w="1816"/>
        <w:gridCol w:w="109"/>
        <w:gridCol w:w="109"/>
        <w:gridCol w:w="109"/>
        <w:gridCol w:w="1085"/>
        <w:gridCol w:w="1085"/>
        <w:gridCol w:w="1535"/>
      </w:tblGrid>
      <w:tr>
        <w:trPr/>
        <w:tc>
          <w:tcPr>
            <w:tcW w:w="206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Jurisdiction of Incorporation</w:t>
            </w:r>
          </w:p>
        </w:tc>
      </w:tr>
      <w:tr>
        <w:trPr/>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Commerce Japan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Japan</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Commerce Philippines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Philippines</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Commerce 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Delaware</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Corporation de Centroamerica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Panama</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d.o.o, Banja Luka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Bosnia and Herzegovina</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d.o.o. Beograd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Serbia</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Danmark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Denmark</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de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Mexico</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Easypoint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Delaware</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Espana,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Spain</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European And South American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Delaware</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Finland 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Finland</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Global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Israel</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Government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Delaware</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Hospitality Bahrain WLL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Bahrain</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Delaware</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Israel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Israel</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Korea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Korea, Republic of</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England</w:t>
            </w:r>
          </w:p>
        </w:tc>
      </w:tr>
    </w:tbl>
    <w:p>
      <w:pPr>
        <w:pStyle w:val="TextBody"/>
        <w:bidi w:val="0"/>
        <w:spacing w:lineRule="auto" w:line="448" w:before="0" w:after="0"/>
        <w:jc w:val="right"/>
        <w:rPr>
          <w:rFonts w:ascii="Times New Roman;serif" w:hAnsi="Times New Roman;serif"/>
          <w:b/>
          <w:color w:val="000000"/>
          <w:sz w:val="20"/>
        </w:rPr>
      </w:pPr>
      <w:r>
        <w:rPr>
          <w:rFonts w:ascii="Times New Roman;serif" w:hAnsi="Times New Roman;serif"/>
          <w:b/>
          <w:color w:val="000000"/>
          <w:sz w:val="20"/>
        </w:rPr>
        <w:t>EXHIBIT 21</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SUBSIDIARIES OF NCR VOYIX CORPORATION</w:t>
      </w:r>
    </w:p>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as of December 31, 2025</w:t>
      </w:r>
    </w:p>
    <w:p>
      <w:pPr>
        <w:pStyle w:val="TextBody"/>
        <w:bidi w:val="0"/>
        <w:spacing w:before="0" w:after="0"/>
        <w:jc w:val="left"/>
        <w:rPr/>
      </w:pPr>
      <w:r>
        <w:rPr/>
      </w:r>
    </w:p>
    <w:tbl>
      <w:tblPr>
        <w:tblW w:w="8426" w:type="dxa"/>
        <w:jc w:val="left"/>
        <w:tblInd w:w="0" w:type="dxa"/>
        <w:tblLayout w:type="fixed"/>
        <w:tblCellMar>
          <w:top w:w="28" w:type="dxa"/>
          <w:left w:w="28" w:type="dxa"/>
          <w:bottom w:w="28" w:type="dxa"/>
          <w:right w:w="28" w:type="dxa"/>
        </w:tblCellMar>
      </w:tblPr>
      <w:tblGrid>
        <w:gridCol w:w="1593"/>
        <w:gridCol w:w="1397"/>
        <w:gridCol w:w="1404"/>
        <w:gridCol w:w="109"/>
        <w:gridCol w:w="109"/>
        <w:gridCol w:w="109"/>
        <w:gridCol w:w="1085"/>
        <w:gridCol w:w="1085"/>
        <w:gridCol w:w="1535"/>
      </w:tblGrid>
      <w:tr>
        <w:trPr/>
        <w:tc>
          <w:tcPr>
            <w:tcW w:w="15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Jurisdiction of Incorporation</w:t>
            </w:r>
          </w:p>
        </w:tc>
      </w:tr>
      <w:tr>
        <w:trPr/>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Middle East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Delaware</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Nederland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Netherlands</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Norge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Norway</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Payment Solutions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Delaware</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Payment Solutions, FL,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Delaware</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Payment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Texas</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Payment Solutions, PA,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Pennsylvania</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Payroll &amp; HR Solutions,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Pennsylvania</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Poland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Delaware</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Polska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Poland</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Receivables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Delaware</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VOYIX CORPORATION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Maryland</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Voyix Belgium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Belgium</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Voyix Cyprus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Cyprus</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Voyix Jordan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Jordan</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NCR Voyix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Netherlands</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North American Research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Delaware</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Payroll Tax Filing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Pennsylvania</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Radiant Payment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Georgia</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Radiant Systems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Austria</w:t>
            </w:r>
          </w:p>
        </w:tc>
      </w:tr>
    </w:tbl>
    <w:p>
      <w:pPr>
        <w:pStyle w:val="TextBody"/>
        <w:bidi w:val="0"/>
        <w:spacing w:lineRule="auto" w:line="448" w:before="0" w:after="0"/>
        <w:jc w:val="right"/>
        <w:rPr>
          <w:rFonts w:ascii="Times New Roman;serif" w:hAnsi="Times New Roman;serif"/>
          <w:b/>
          <w:color w:val="000000"/>
          <w:sz w:val="20"/>
        </w:rPr>
      </w:pPr>
      <w:r>
        <w:rPr>
          <w:rFonts w:ascii="Times New Roman;serif" w:hAnsi="Times New Roman;serif"/>
          <w:b/>
          <w:color w:val="000000"/>
          <w:sz w:val="20"/>
        </w:rPr>
        <w:t>EXHIBIT 21</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SUBSIDIARIES OF NCR VOYIX CORPORATION</w:t>
      </w:r>
    </w:p>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as of December 31, 2025</w:t>
      </w:r>
    </w:p>
    <w:p>
      <w:pPr>
        <w:pStyle w:val="TextBody"/>
        <w:bidi w:val="0"/>
        <w:spacing w:before="0" w:after="0"/>
        <w:jc w:val="left"/>
        <w:rPr/>
      </w:pPr>
      <w:r>
        <w:rPr/>
      </w:r>
    </w:p>
    <w:tbl>
      <w:tblPr>
        <w:tblW w:w="9582" w:type="dxa"/>
        <w:jc w:val="left"/>
        <w:tblInd w:w="0" w:type="dxa"/>
        <w:tblLayout w:type="fixed"/>
        <w:tblCellMar>
          <w:top w:w="28" w:type="dxa"/>
          <w:left w:w="28" w:type="dxa"/>
          <w:bottom w:w="28" w:type="dxa"/>
          <w:right w:w="28" w:type="dxa"/>
        </w:tblCellMar>
      </w:tblPr>
      <w:tblGrid>
        <w:gridCol w:w="2011"/>
        <w:gridCol w:w="1765"/>
        <w:gridCol w:w="1774"/>
        <w:gridCol w:w="109"/>
        <w:gridCol w:w="109"/>
        <w:gridCol w:w="109"/>
        <w:gridCol w:w="1085"/>
        <w:gridCol w:w="1085"/>
        <w:gridCol w:w="1535"/>
      </w:tblGrid>
      <w:tr>
        <w:trPr/>
        <w:tc>
          <w:tcPr>
            <w:tcW w:w="201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Jurisdiction of Incorporation</w:t>
            </w:r>
          </w:p>
        </w:tc>
      </w:tr>
      <w:tr>
        <w:trPr/>
        <w:tc>
          <w:tcPr>
            <w:tcW w:w="5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Radiant Systems Retail Solutions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Malaysia</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RADS International, S.Á.R.L.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Luxembourg</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Retalix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Australia</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StopLift Infotech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India</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Stoplift,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Delaware</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Tamar M.R. Electronic Industries (1985)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Israel</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TCR Business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Texas</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Terafina Commerce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India</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Terafina Software Solutions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sans-serif" w:hAnsi="sans-serif"/>
                <w:b w:val="false"/>
                <w:color w:val="000000"/>
                <w:sz w:val="22"/>
              </w:rPr>
              <w:t>India</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Terafina,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Delaware</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Texas Digital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Texas</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The National Cash Register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Maryland</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The NCR Foundation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Ohio</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Wyse Sistemas De Informática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Brazil</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Zynstra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Delaware</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Zynstra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England and Wales</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Zynstra,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Delaware</w:t>
            </w:r>
          </w:p>
        </w:tc>
      </w:tr>
    </w:tbl>
    <w:p>
      <w:pPr>
        <w:pStyle w:val="TextBody"/>
        <w:bidi w:val="0"/>
        <w:spacing w:before="33" w:after="3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Exhibit 23.1</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480" w:after="480"/>
        <w:jc w:val="center"/>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S-8 (No. 333-257203, No. 333-268937, No. 333-273625, and No. 333-276159) of NCR Voyix Corporation of our report dated February 26, 2026 relating to the financial statements, financial statement schedule and the effectiveness of internal control over financial reporting, which appears in this Form 10-K.</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/s/ PricewaterhouseCoopers LLP</w:t>
        <w:br/>
        <w:t>Atlanta, Georgia</w:t>
        <w:br/>
        <w:t>February 26,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25780"/>
                <wp:effectExtent l="0" t="0" r="0" b="0"/>
                <wp:wrapNone/>
                <wp:docPr id="172" name="Frame17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James Kelly, certify that: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NCR Voyix Corporation;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tbl>
      <w:tblPr>
        <w:tblW w:w="4540"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06"/>
        <w:gridCol w:w="606"/>
        <w:gridCol w:w="85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Kelly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Brian Webb-Walsh, certify that: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NCR Voyix Corporation;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tbl>
      <w:tblPr>
        <w:tblW w:w="6911"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Webb-Walsh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Webb-Walsh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Annual Report on Form 10-K of NCR Voyix Corporation (the “Company”) for the period ending December 31, 2025 as filed with the U.S. Securities and Exchange Commission on the date hereof (the “Report”), each of the undersigned officers of the Company does hereby certify, pursuant to 18 U.S.C. § 1350 (section 906 of the Sarbanes-Oxley Act of 2002), that: </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The foregoing certification (i) is given to such officers’ knowledge, based upon such officers’ investigation as such officers reasonably deem appropriate; and (ii) is being furnished solely pursuant to 18 U.S.C. § 1350 (section 906 of the Sarbanes-Oxley Act of 2002) and is not being filed as part of the Report or as a separate disclosure document. </w:t>
      </w:r>
    </w:p>
    <w:p>
      <w:pPr>
        <w:pStyle w:val="TextBody"/>
        <w:bidi w:val="0"/>
        <w:spacing w:before="100" w:after="100"/>
        <w:jc w:val="left"/>
        <w:rPr/>
      </w:pPr>
      <w:r>
        <w:rPr/>
      </w:r>
    </w:p>
    <w:tbl>
      <w:tblPr>
        <w:tblW w:w="4645" w:type="dxa"/>
        <w:jc w:val="center"/>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606"/>
        <w:gridCol w:w="606"/>
        <w:gridCol w:w="85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Kelly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Kelly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tbl>
      <w:tblPr>
        <w:tblW w:w="7016" w:type="dxa"/>
        <w:jc w:val="center"/>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1297"/>
        <w:gridCol w:w="1297"/>
        <w:gridCol w:w="184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Webb-Walsh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Webb-Walsh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NCR Voyix Corporation and will be retained by NCR Voyix Corporation and furnished to the United States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70866/000119312523257806/d569776dex21.htm" TargetMode="External"/><Relationship Id="rId5" Type="http://schemas.openxmlformats.org/officeDocument/2006/relationships/hyperlink" Target="https://www.sec.gov/Archives/edgar/data/70866/000119312524194328/d153288dex101.htm" TargetMode="External"/><Relationship Id="rId6" Type="http://schemas.openxmlformats.org/officeDocument/2006/relationships/hyperlink" Target="https://www.sec.gov/Archives/edgar/data/70866/000119312523257806/d569776dex31.htm" TargetMode="External"/><Relationship Id="rId7" Type="http://schemas.openxmlformats.org/officeDocument/2006/relationships/hyperlink" Target="https://www.sec.gov/Archives/edgar/data/70866/000007086619000019/exhibit31articlesofame.htm" TargetMode="External"/><Relationship Id="rId8" Type="http://schemas.openxmlformats.org/officeDocument/2006/relationships/hyperlink" Target="https://www.sec.gov/Archives/edgar/data/70866/000119312523257806/d569776dex33.htm" TargetMode="External"/><Relationship Id="rId9" Type="http://schemas.openxmlformats.org/officeDocument/2006/relationships/hyperlink" Target="https://www.sec.gov/Archives/edgar/data/70866/000119312520225743/d19966dex41.htm" TargetMode="External"/><Relationship Id="rId10" Type="http://schemas.openxmlformats.org/officeDocument/2006/relationships/hyperlink" Target="https://www.sec.gov/Archives/edgar/data/70866/000007086622000008/exhibit441ncrsupplementali.htm" TargetMode="External"/><Relationship Id="rId11" Type="http://schemas.openxmlformats.org/officeDocument/2006/relationships/hyperlink" Target="https://www.sec.gov/Archives/edgar/data/70866/000007086623000044/exhibit43secondsupplementa.htm" TargetMode="External"/><Relationship Id="rId12" Type="http://schemas.openxmlformats.org/officeDocument/2006/relationships/hyperlink" Target="https://www.sec.gov/Archives/edgar/data/70866/000119312520225743/d19966dex43.htm" TargetMode="External"/><Relationship Id="rId13" Type="http://schemas.openxmlformats.org/officeDocument/2006/relationships/hyperlink" Target="https://www.sec.gov/Archives/edgar/data/70866/000007086622000008/exhibit451ncrsupplementali.htm" TargetMode="External"/><Relationship Id="rId14" Type="http://schemas.openxmlformats.org/officeDocument/2006/relationships/hyperlink" Target="https://www.sec.gov/Archives/edgar/data/70866/000007086623000044/exhibit45secondsupplementa.htm" TargetMode="External"/><Relationship Id="rId15" Type="http://schemas.openxmlformats.org/officeDocument/2006/relationships/hyperlink" Target="https://www.sec.gov/Archives/edgar/data/70866/000119312521107843/d333252dex41.htm" TargetMode="External"/><Relationship Id="rId16" Type="http://schemas.openxmlformats.org/officeDocument/2006/relationships/hyperlink" Target="https://www.sec.gov/Archives/edgar/data/70866/000007086622000008/exhibit461ncrsupplementali.htm" TargetMode="External"/><Relationship Id="rId17" Type="http://schemas.openxmlformats.org/officeDocument/2006/relationships/hyperlink" Target="https://www.sec.gov/Archives/edgar/data/70866/000007086623000044/exhibit44secondsupplementa.htm" TargetMode="External"/><Relationship Id="rId18" Type="http://schemas.openxmlformats.org/officeDocument/2006/relationships/hyperlink" Target="https://www.sec.gov/Archives/edgar/data/70866/000007086622000008/exhibit47descriptionofncrc.htm" TargetMode="External"/><Relationship Id="rId19" Type="http://schemas.openxmlformats.org/officeDocument/2006/relationships/hyperlink" Target="https://www.sec.gov/Archives/edgar/data/70866/000007086624000014/exhibit1013ncrvoyixcorpora.htm" TargetMode="External"/><Relationship Id="rId20" Type="http://schemas.openxmlformats.org/officeDocument/2006/relationships/hyperlink" Target="https://www.sec.gov/Archives/edgar/data/70866/000007086615000009/exhibit1042ncrdirectorcomp.htm" TargetMode="External"/><Relationship Id="rId21" Type="http://schemas.openxmlformats.org/officeDocument/2006/relationships/hyperlink" Target="https://www.sec.gov/Archives/edgar/data/70866/000119312521198709/d168982dex101.htm" TargetMode="External"/><Relationship Id="rId22" Type="http://schemas.openxmlformats.org/officeDocument/2006/relationships/hyperlink" Target="https://www.sec.gov/Archives/edgar/data/70866/000119312522313721/d400188dex101.htm" TargetMode="External"/><Relationship Id="rId23" Type="http://schemas.openxmlformats.org/officeDocument/2006/relationships/hyperlink" Target="https://www.sec.gov/Archives/edgar/data/70866/000119312521198709/d168982dex102.htm" TargetMode="External"/><Relationship Id="rId24" Type="http://schemas.openxmlformats.org/officeDocument/2006/relationships/hyperlink" Target="https://www.sec.gov/Archives/edgar/data/70866/000119312516529490/d174695dex102.htm" TargetMode="External"/><Relationship Id="rId25" Type="http://schemas.openxmlformats.org/officeDocument/2006/relationships/hyperlink" Target="https://www.sec.gov/Archives/edgar/data/70866/000007086621000031/exhibit105supplement1tothe.htm" TargetMode="External"/><Relationship Id="rId26" Type="http://schemas.openxmlformats.org/officeDocument/2006/relationships/hyperlink" Target="https://www.sec.gov/Archives/edgar/data/70866/000007086616000111/a10-qexhibit101.htm" TargetMode="External"/><Relationship Id="rId27" Type="http://schemas.openxmlformats.org/officeDocument/2006/relationships/hyperlink" Target="https://www.sec.gov/Archives/edgar/data/70866/000007086619000013/exhibit1012019optionaw.htm" TargetMode="External"/><Relationship Id="rId28" Type="http://schemas.openxmlformats.org/officeDocument/2006/relationships/hyperlink" Target="https://www.sec.gov/Archives/edgar/data/70866/000007086620000020/exhibit101formof2020pr.htm" TargetMode="External"/><Relationship Id="rId29" Type="http://schemas.openxmlformats.org/officeDocument/2006/relationships/hyperlink" Target="https://www.sec.gov/Archives/edgar/data/70866/000007086620000032/exhibit1012020director.htm" TargetMode="External"/><Relationship Id="rId30" Type="http://schemas.openxmlformats.org/officeDocument/2006/relationships/hyperlink" Target="https://www.sec.gov/ix?doc=/Archives/edgar/data/0000070866/000119312523076678/d376177ddef14a.htm" TargetMode="External"/><Relationship Id="rId31" Type="http://schemas.openxmlformats.org/officeDocument/2006/relationships/hyperlink" Target="https://www.sec.gov/Archives/edgar/data/70866/000007086622000026/exhibit101formofsepbtsr.htm" TargetMode="External"/><Relationship Id="rId32" Type="http://schemas.openxmlformats.org/officeDocument/2006/relationships/hyperlink" Target="https://www.sec.gov/Archives/edgar/data/70866/000007086623000008/exhibit10982022pb-rsuagree.htm" TargetMode="External"/><Relationship Id="rId33" Type="http://schemas.openxmlformats.org/officeDocument/2006/relationships/hyperlink" Target="https://www.sec.gov/Archives/edgar/data/70866/000007086623000008/exhibit10992023pb-rsuagree.htm" TargetMode="External"/><Relationship Id="rId34" Type="http://schemas.openxmlformats.org/officeDocument/2006/relationships/hyperlink" Target="https://www.sec.gov/Archives/edgar/data/70866/000007086623000008/exhibit109102023pb-rsuxsen.htm" TargetMode="External"/><Relationship Id="rId35" Type="http://schemas.openxmlformats.org/officeDocument/2006/relationships/hyperlink" Target="https://www.sec.gov/Archives/edgar/data/70866/000007086624000031/exhibit1062024time-basedrs.htm" TargetMode="External"/><Relationship Id="rId36" Type="http://schemas.openxmlformats.org/officeDocument/2006/relationships/hyperlink" Target="https://www.sec.gov/Archives/edgar/data/70866/000007086624000031/exhibit1072024pb-rsuagreem.htm" TargetMode="External"/><Relationship Id="rId37" Type="http://schemas.openxmlformats.org/officeDocument/2006/relationships/hyperlink" Target="https://www.sec.gov/Archives/edgar/data/70866/000007086625000010/exhibit10615executivechair.htm" TargetMode="External"/><Relationship Id="rId38" Type="http://schemas.openxmlformats.org/officeDocument/2006/relationships/hyperlink" Target="https://www.sec.gov/Archives/edgar/data/70866/000007086625000010/exhibit106162024pb-rsuagre.htm" TargetMode="External"/><Relationship Id="rId39" Type="http://schemas.openxmlformats.org/officeDocument/2006/relationships/hyperlink" Target="https://www.sec.gov/Archives/edgar/data/70866/000007086624000031/exhibit1032024_pbrsuxexecx.htm" TargetMode="External"/><Relationship Id="rId40" Type="http://schemas.openxmlformats.org/officeDocument/2006/relationships/hyperlink" Target="https://www.sec.gov/Archives/edgar/data/70866/000007086624000031/exhibit1042024_tbrsuxexecx.htm" TargetMode="External"/><Relationship Id="rId41" Type="http://schemas.openxmlformats.org/officeDocument/2006/relationships/hyperlink" Target="https://www.sec.gov/Archives/edgar/data/70866/000007086617000058/exhibit101directorcompensa.htm" TargetMode="External"/><Relationship Id="rId42" Type="http://schemas.openxmlformats.org/officeDocument/2006/relationships/hyperlink" Target="https://www.sec.gov/Archives/edgar/data/70866/000007086623000044/exhibit1017employmentagree.htm" TargetMode="External"/><Relationship Id="rId43" Type="http://schemas.openxmlformats.org/officeDocument/2006/relationships/hyperlink" Target="https://www.sec.gov/Archives/edgar/data/70866/000007086624000014/exhibit10171amendmenttoemp.htm" TargetMode="External"/><Relationship Id="rId44" Type="http://schemas.openxmlformats.org/officeDocument/2006/relationships/hyperlink" Target="https://www.sec.gov/Archives/edgar/data/70866/000007086624000014/exhibit1018letteragreement.htm" TargetMode="External"/><Relationship Id="rId45" Type="http://schemas.openxmlformats.org/officeDocument/2006/relationships/hyperlink" Target="https://www.sec.gov/Archives/edgar/data/70866/000007086624000014/exhibit10181amendmentbrian.htm" TargetMode="External"/><Relationship Id="rId46" Type="http://schemas.openxmlformats.org/officeDocument/2006/relationships/hyperlink" Target="https://www.sec.gov/Archives/edgar/data/70866/000007086624000014/exhibit1019kellisterrettle.htm" TargetMode="External"/><Relationship Id="rId47" Type="http://schemas.openxmlformats.org/officeDocument/2006/relationships/hyperlink" Target="https://www.sec.gov/Archives/edgar/data/70866/000007086624000014/exhibit1021letteragreement.htm" TargetMode="External"/><Relationship Id="rId48" Type="http://schemas.openxmlformats.org/officeDocument/2006/relationships/hyperlink" Target="https://www.sec.gov/Archives/edgar/data/70866/000007086624000014/exhibit10211amendmenttolet.htm" TargetMode="External"/><Relationship Id="rId49" Type="http://schemas.openxmlformats.org/officeDocument/2006/relationships/hyperlink" Target="https://www.sec.gov/Archives/edgar/data/70866/000007086624000031/exhibit101vyx-managementin.htm" TargetMode="External"/><Relationship Id="rId50" Type="http://schemas.openxmlformats.org/officeDocument/2006/relationships/hyperlink" Target="https://www.sec.gov/Archives/edgar/data/70866/000007086624000031/exhibit102offerletteragree.htm" TargetMode="External"/><Relationship Id="rId51" Type="http://schemas.openxmlformats.org/officeDocument/2006/relationships/hyperlink" Target="https://www.sec.gov/Archives/edgar/data/70866/000007086624000031/exhibit105offerletteragree.htm" TargetMode="External"/><Relationship Id="rId52" Type="http://schemas.openxmlformats.org/officeDocument/2006/relationships/hyperlink" Target="https://www.sec.gov/Archives/edgar/data/70866/000119312525020393/d817151dex101.htm" TargetMode="External"/><Relationship Id="rId53" Type="http://schemas.openxmlformats.org/officeDocument/2006/relationships/hyperlink" Target="https://www.sec.gov/Archives/edgar/data/70866/000119312525020393/d817151dex102.htm" TargetMode="External"/><Relationship Id="rId54" Type="http://schemas.openxmlformats.org/officeDocument/2006/relationships/hyperlink" Target="https://www.sec.gov/Archives/edgar/data/70866/000007086625000010/exhibit1018ncrvoyixdirecto.htm" TargetMode="External"/><Relationship Id="rId55" Type="http://schemas.openxmlformats.org/officeDocument/2006/relationships/hyperlink" Target="https://www.sec.gov/Archives/edgar/data/70866/000119312523244174/d555514dex101.htm" TargetMode="External"/><Relationship Id="rId56" Type="http://schemas.openxmlformats.org/officeDocument/2006/relationships/hyperlink" Target="https://www.sec.gov/Archives/edgar/data/70866/000119312523257806/d569776dex101.htm" TargetMode="External"/><Relationship Id="rId57" Type="http://schemas.openxmlformats.org/officeDocument/2006/relationships/hyperlink" Target="https://www.sec.gov/Archives/edgar/data/70866/000119312523257806/d569776dex102.htm" TargetMode="External"/><Relationship Id="rId58" Type="http://schemas.openxmlformats.org/officeDocument/2006/relationships/hyperlink" Target="https://www.sec.gov/Archives/edgar/data/70866/000119312523257806/d569776dex103.htm" TargetMode="External"/><Relationship Id="rId59" Type="http://schemas.openxmlformats.org/officeDocument/2006/relationships/hyperlink" Target="https://www.sec.gov/Archives/edgar/data/70866/000119312523257806/d569776dex104.htm" TargetMode="External"/><Relationship Id="rId60" Type="http://schemas.openxmlformats.org/officeDocument/2006/relationships/hyperlink" Target="https://www.sec.gov/Archives/edgar/data/70866/000119312523257806/d569776dex105.htm" TargetMode="External"/><Relationship Id="rId61" Type="http://schemas.openxmlformats.org/officeDocument/2006/relationships/hyperlink" Target="https://www.sec.gov/Archives/edgar/data/70866/000119312523257806/d569776dex106.htm" TargetMode="External"/><Relationship Id="rId62" Type="http://schemas.openxmlformats.org/officeDocument/2006/relationships/hyperlink" Target="https://www.sec.gov/Archives/edgar/data/70866/000119312523257806/d569776dex107.htm" TargetMode="External"/><Relationship Id="rId63" Type="http://schemas.openxmlformats.org/officeDocument/2006/relationships/hyperlink" Target="https://www.sec.gov/Archives/edgar/data/70866/000119312523257806/d569776dex108.htm" TargetMode="External"/><Relationship Id="rId64" Type="http://schemas.openxmlformats.org/officeDocument/2006/relationships/hyperlink" Target="https://www.sec.gov/Archives/edgar/data/70866/000119312523230684/d525668dex101.htm" TargetMode="External"/><Relationship Id="rId65" Type="http://schemas.openxmlformats.org/officeDocument/2006/relationships/hyperlink" Target="https://www.sec.gov/Archives/edgar/data/70866/000007086625000088/exhibit101jameswise-offerl.htm" TargetMode="External"/><Relationship Id="rId66" Type="http://schemas.openxmlformats.org/officeDocument/2006/relationships/hyperlink" Target="https://www.sec.gov/Archives/edgar/data/70866/000007086624000014/exhibit97ncrvoyixclawbackp.htm" TargetMode="External"/><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90643</Words>
  <Characters>502445</Characters>
  <CharactersWithSpaces>589398</CharactersWithSpaces>
  <Paragraphs>6892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